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50FB6">
      <w:pPr>
        <w:jc w:val="center"/>
        <w:rPr>
          <w:rFonts w:ascii="宋体" w:hAnsi="宋体" w:eastAsia="宋体" w:cs="Times New Roman"/>
          <w:b/>
          <w:bCs/>
          <w:sz w:val="72"/>
          <w:szCs w:val="72"/>
        </w:rPr>
      </w:pPr>
    </w:p>
    <w:p w14:paraId="13411EBF">
      <w:pPr>
        <w:jc w:val="center"/>
        <w:rPr>
          <w:rFonts w:ascii="宋体" w:hAnsi="宋体" w:eastAsia="宋体" w:cs="Times New Roman"/>
          <w:b/>
          <w:bCs/>
          <w:sz w:val="72"/>
          <w:szCs w:val="72"/>
        </w:rPr>
      </w:pPr>
    </w:p>
    <w:p w14:paraId="0670FCB2">
      <w:pPr>
        <w:jc w:val="center"/>
        <w:rPr>
          <w:rFonts w:ascii="宋体" w:hAnsi="宋体" w:eastAsia="宋体" w:cs="Times New Roman"/>
          <w:b/>
          <w:bCs/>
          <w:sz w:val="72"/>
          <w:szCs w:val="72"/>
        </w:rPr>
      </w:pPr>
      <w:r>
        <w:rPr>
          <w:rFonts w:hint="eastAsia" w:ascii="宋体" w:hAnsi="宋体" w:eastAsia="宋体" w:cs="宋体"/>
          <w:b/>
          <w:bCs/>
          <w:sz w:val="72"/>
          <w:szCs w:val="72"/>
        </w:rPr>
        <w:t>广西龙瑞工程管理有限公司</w:t>
      </w:r>
    </w:p>
    <w:p w14:paraId="7E43C8F8">
      <w:pPr>
        <w:jc w:val="center"/>
        <w:rPr>
          <w:rFonts w:ascii="宋体" w:hAnsi="宋体" w:eastAsia="宋体" w:cs="Times New Roman"/>
          <w:b/>
          <w:bCs/>
          <w:sz w:val="72"/>
          <w:szCs w:val="72"/>
        </w:rPr>
      </w:pPr>
    </w:p>
    <w:p w14:paraId="265F0F24">
      <w:pPr>
        <w:jc w:val="center"/>
        <w:rPr>
          <w:rFonts w:ascii="宋体" w:hAnsi="宋体" w:eastAsia="宋体" w:cs="Times New Roman"/>
          <w:b/>
          <w:bCs/>
          <w:sz w:val="72"/>
          <w:szCs w:val="72"/>
        </w:rPr>
      </w:pPr>
    </w:p>
    <w:p w14:paraId="41D3DB66">
      <w:pPr>
        <w:jc w:val="center"/>
        <w:rPr>
          <w:rFonts w:ascii="宋体" w:hAnsi="宋体" w:eastAsia="宋体" w:cs="Times New Roman"/>
          <w:b/>
          <w:bCs/>
          <w:sz w:val="72"/>
          <w:szCs w:val="72"/>
        </w:rPr>
      </w:pPr>
      <w:r>
        <w:rPr>
          <w:rFonts w:hint="eastAsia" w:ascii="宋体" w:hAnsi="宋体" w:eastAsia="宋体" w:cs="宋体"/>
          <w:b/>
          <w:bCs/>
          <w:sz w:val="72"/>
          <w:szCs w:val="72"/>
        </w:rPr>
        <w:t>竞争性磋商文件</w:t>
      </w:r>
    </w:p>
    <w:p w14:paraId="3F193F7C">
      <w:pPr>
        <w:jc w:val="center"/>
        <w:rPr>
          <w:rFonts w:ascii="宋体" w:hAnsi="宋体" w:eastAsia="宋体" w:cs="Times New Roman"/>
          <w:b/>
          <w:bCs/>
          <w:sz w:val="72"/>
          <w:szCs w:val="72"/>
        </w:rPr>
      </w:pPr>
    </w:p>
    <w:p w14:paraId="702472ED">
      <w:pPr>
        <w:jc w:val="center"/>
        <w:rPr>
          <w:rFonts w:ascii="宋体" w:hAnsi="宋体" w:eastAsia="宋体" w:cs="Times New Roman"/>
          <w:sz w:val="32"/>
          <w:szCs w:val="32"/>
        </w:rPr>
      </w:pPr>
    </w:p>
    <w:p w14:paraId="307D35D0">
      <w:pPr>
        <w:tabs>
          <w:tab w:val="left" w:pos="2100"/>
        </w:tabs>
        <w:ind w:left="2251" w:leftChars="800" w:hanging="571" w:hangingChars="203"/>
        <w:rPr>
          <w:rFonts w:ascii="宋体" w:hAnsi="宋体" w:eastAsia="宋体" w:cs="Times New Roman"/>
          <w:b/>
          <w:bCs/>
          <w:sz w:val="28"/>
          <w:szCs w:val="28"/>
        </w:rPr>
      </w:pPr>
      <w:r>
        <w:rPr>
          <w:rFonts w:hint="eastAsia" w:ascii="宋体" w:hAnsi="宋体" w:eastAsia="宋体" w:cs="宋体"/>
          <w:b/>
          <w:bCs/>
          <w:sz w:val="28"/>
          <w:szCs w:val="28"/>
        </w:rPr>
        <w:t>项目名称：亚山镇清湖村泵站灌区改造工程</w:t>
      </w:r>
    </w:p>
    <w:p w14:paraId="081D171B">
      <w:pPr>
        <w:tabs>
          <w:tab w:val="left" w:pos="2100"/>
        </w:tabs>
        <w:ind w:left="2251" w:leftChars="800" w:hanging="571" w:hangingChars="203"/>
        <w:rPr>
          <w:rFonts w:ascii="宋体" w:hAnsi="宋体" w:eastAsia="宋体" w:cs="宋体"/>
          <w:b/>
          <w:bCs/>
          <w:sz w:val="28"/>
          <w:szCs w:val="28"/>
        </w:rPr>
      </w:pPr>
      <w:r>
        <w:rPr>
          <w:rFonts w:hint="eastAsia" w:ascii="宋体" w:hAnsi="宋体" w:eastAsia="宋体" w:cs="宋体"/>
          <w:b/>
          <w:bCs/>
          <w:sz w:val="28"/>
          <w:szCs w:val="28"/>
        </w:rPr>
        <w:t>项目编号：</w:t>
      </w:r>
      <w:r>
        <w:rPr>
          <w:rFonts w:ascii="宋体" w:hAnsi="宋体" w:eastAsia="宋体" w:cs="宋体"/>
          <w:b/>
          <w:bCs/>
          <w:sz w:val="28"/>
          <w:szCs w:val="28"/>
        </w:rPr>
        <w:t>YLZC2026-C2-230034-LRGL</w:t>
      </w:r>
    </w:p>
    <w:p w14:paraId="31D99445">
      <w:pPr>
        <w:tabs>
          <w:tab w:val="left" w:pos="2100"/>
        </w:tabs>
        <w:ind w:left="2248" w:leftChars="800" w:hanging="568" w:hangingChars="203"/>
        <w:rPr>
          <w:rFonts w:ascii="宋体" w:hAnsi="宋体" w:eastAsia="宋体" w:cs="Times New Roman"/>
          <w:sz w:val="28"/>
          <w:szCs w:val="28"/>
        </w:rPr>
      </w:pPr>
    </w:p>
    <w:p w14:paraId="728B18B4">
      <w:pPr>
        <w:tabs>
          <w:tab w:val="left" w:pos="2100"/>
        </w:tabs>
        <w:ind w:left="2248" w:leftChars="800" w:hanging="568" w:hangingChars="203"/>
        <w:rPr>
          <w:rFonts w:ascii="宋体" w:hAnsi="宋体" w:eastAsia="宋体" w:cs="Times New Roman"/>
          <w:sz w:val="28"/>
          <w:szCs w:val="28"/>
        </w:rPr>
      </w:pPr>
    </w:p>
    <w:p w14:paraId="5AD11A59">
      <w:pPr>
        <w:tabs>
          <w:tab w:val="left" w:pos="2100"/>
        </w:tabs>
        <w:ind w:left="2251" w:leftChars="800" w:hanging="571" w:hangingChars="203"/>
        <w:rPr>
          <w:rFonts w:ascii="宋体" w:hAnsi="宋体" w:eastAsia="宋体" w:cs="Times New Roman"/>
          <w:b/>
          <w:bCs/>
          <w:sz w:val="28"/>
          <w:szCs w:val="28"/>
        </w:rPr>
      </w:pPr>
    </w:p>
    <w:p w14:paraId="736A069E">
      <w:pPr>
        <w:tabs>
          <w:tab w:val="left" w:pos="2100"/>
        </w:tabs>
        <w:ind w:left="2251" w:leftChars="800" w:hanging="571" w:hangingChars="203"/>
        <w:rPr>
          <w:rFonts w:ascii="宋体" w:hAnsi="宋体" w:eastAsia="宋体" w:cs="Times New Roman"/>
          <w:b/>
          <w:bCs/>
          <w:sz w:val="28"/>
          <w:szCs w:val="28"/>
        </w:rPr>
      </w:pPr>
      <w:r>
        <w:rPr>
          <w:rFonts w:hint="eastAsia" w:ascii="宋体" w:hAnsi="宋体" w:eastAsia="宋体" w:cs="宋体"/>
          <w:b/>
          <w:bCs/>
          <w:sz w:val="28"/>
          <w:szCs w:val="28"/>
        </w:rPr>
        <w:t>采购人：博白县水利局</w:t>
      </w:r>
    </w:p>
    <w:p w14:paraId="686D93D6">
      <w:pPr>
        <w:tabs>
          <w:tab w:val="left" w:pos="2100"/>
        </w:tabs>
        <w:ind w:left="2251" w:leftChars="800" w:hanging="571" w:hangingChars="203"/>
        <w:rPr>
          <w:rFonts w:ascii="宋体" w:hAnsi="宋体" w:eastAsia="宋体" w:cs="Times New Roman"/>
          <w:b/>
          <w:bCs/>
          <w:sz w:val="28"/>
          <w:szCs w:val="28"/>
        </w:rPr>
      </w:pPr>
      <w:r>
        <w:rPr>
          <w:rFonts w:hint="eastAsia" w:ascii="宋体" w:hAnsi="宋体" w:eastAsia="宋体" w:cs="宋体"/>
          <w:b/>
          <w:bCs/>
          <w:sz w:val="28"/>
          <w:szCs w:val="28"/>
        </w:rPr>
        <w:t>采购代理机构：广西龙瑞工程管理有限公司</w:t>
      </w:r>
    </w:p>
    <w:p w14:paraId="56D683BF">
      <w:pPr>
        <w:jc w:val="center"/>
        <w:rPr>
          <w:rFonts w:ascii="宋体" w:hAnsi="宋体" w:eastAsia="宋体" w:cs="Times New Roman"/>
          <w:b/>
          <w:bCs/>
          <w:sz w:val="28"/>
          <w:szCs w:val="28"/>
        </w:rPr>
      </w:pPr>
    </w:p>
    <w:p w14:paraId="0CF145BE">
      <w:pPr>
        <w:jc w:val="center"/>
        <w:rPr>
          <w:rFonts w:ascii="宋体" w:hAnsi="宋体" w:eastAsia="宋体" w:cs="Times New Roman"/>
          <w:b/>
          <w:bCs/>
          <w:sz w:val="28"/>
          <w:szCs w:val="28"/>
        </w:rPr>
      </w:pPr>
      <w:r>
        <w:rPr>
          <w:rFonts w:ascii="宋体" w:hAnsi="宋体" w:eastAsia="宋体" w:cs="宋体"/>
          <w:b/>
          <w:bCs/>
          <w:sz w:val="28"/>
          <w:szCs w:val="28"/>
        </w:rPr>
        <w:t>2026</w:t>
      </w:r>
      <w:r>
        <w:rPr>
          <w:rFonts w:hint="eastAsia" w:ascii="宋体" w:hAnsi="宋体" w:eastAsia="宋体" w:cs="宋体"/>
          <w:b/>
          <w:bCs/>
          <w:sz w:val="28"/>
          <w:szCs w:val="28"/>
        </w:rPr>
        <w:t>年</w:t>
      </w:r>
      <w:r>
        <w:rPr>
          <w:rFonts w:ascii="宋体" w:hAnsi="宋体" w:eastAsia="宋体" w:cs="宋体"/>
          <w:b/>
          <w:bCs/>
          <w:sz w:val="28"/>
          <w:szCs w:val="28"/>
        </w:rPr>
        <w:t>03</w:t>
      </w:r>
      <w:r>
        <w:rPr>
          <w:rFonts w:hint="eastAsia" w:ascii="宋体" w:hAnsi="宋体" w:eastAsia="宋体" w:cs="宋体"/>
          <w:b/>
          <w:bCs/>
          <w:sz w:val="28"/>
          <w:szCs w:val="28"/>
        </w:rPr>
        <w:t>月</w:t>
      </w:r>
    </w:p>
    <w:p w14:paraId="3C6F8447">
      <w:pPr>
        <w:spacing w:line="360" w:lineRule="auto"/>
        <w:jc w:val="center"/>
        <w:rPr>
          <w:rFonts w:ascii="宋体" w:hAnsi="宋体" w:eastAsia="宋体" w:cs="Times New Roman"/>
          <w:b/>
          <w:bCs/>
          <w:sz w:val="44"/>
          <w:szCs w:val="44"/>
        </w:rPr>
      </w:pPr>
    </w:p>
    <w:p w14:paraId="1C3D140F">
      <w:pPr>
        <w:widowControl/>
        <w:jc w:val="left"/>
        <w:rPr>
          <w:rFonts w:ascii="宋体" w:hAnsi="宋体" w:eastAsia="宋体" w:cs="Times New Roman"/>
          <w:b/>
          <w:bCs/>
          <w:sz w:val="44"/>
          <w:szCs w:val="44"/>
        </w:rPr>
      </w:pPr>
      <w:r>
        <w:rPr>
          <w:rFonts w:ascii="宋体" w:hAnsi="宋体" w:eastAsia="宋体" w:cs="Times New Roman"/>
          <w:b/>
          <w:bCs/>
          <w:sz w:val="44"/>
          <w:szCs w:val="44"/>
        </w:rPr>
        <w:br w:type="page"/>
      </w:r>
    </w:p>
    <w:p w14:paraId="33338865">
      <w:pPr>
        <w:spacing w:line="360" w:lineRule="auto"/>
        <w:jc w:val="center"/>
        <w:rPr>
          <w:rFonts w:ascii="宋体" w:hAnsi="宋体" w:eastAsia="宋体" w:cs="Times New Roman"/>
          <w:b/>
          <w:bCs/>
          <w:sz w:val="44"/>
          <w:szCs w:val="44"/>
        </w:rPr>
      </w:pPr>
    </w:p>
    <w:p w14:paraId="6F992839">
      <w:pPr>
        <w:spacing w:line="360" w:lineRule="auto"/>
        <w:jc w:val="center"/>
        <w:rPr>
          <w:rFonts w:ascii="宋体" w:hAnsi="宋体" w:eastAsia="宋体" w:cs="Times New Roman"/>
          <w:b/>
          <w:bCs/>
          <w:sz w:val="44"/>
          <w:szCs w:val="44"/>
        </w:rPr>
      </w:pPr>
      <w:r>
        <w:rPr>
          <w:rFonts w:hint="eastAsia" w:ascii="宋体" w:hAnsi="宋体" w:eastAsia="宋体" w:cs="宋体"/>
          <w:b/>
          <w:bCs/>
          <w:sz w:val="44"/>
          <w:szCs w:val="44"/>
        </w:rPr>
        <w:t>目</w:t>
      </w:r>
      <w:r>
        <w:rPr>
          <w:rFonts w:ascii="宋体" w:hAnsi="宋体" w:eastAsia="宋体" w:cs="宋体"/>
          <w:b/>
          <w:bCs/>
          <w:sz w:val="44"/>
          <w:szCs w:val="44"/>
        </w:rPr>
        <w:t xml:space="preserve"> </w:t>
      </w:r>
      <w:r>
        <w:rPr>
          <w:rFonts w:hint="eastAsia" w:ascii="宋体" w:hAnsi="宋体" w:eastAsia="宋体" w:cs="宋体"/>
          <w:b/>
          <w:bCs/>
          <w:sz w:val="44"/>
          <w:szCs w:val="44"/>
        </w:rPr>
        <w:t>录</w:t>
      </w:r>
    </w:p>
    <w:p w14:paraId="4219DF1D">
      <w:pPr>
        <w:pStyle w:val="30"/>
        <w:tabs>
          <w:tab w:val="right" w:leader="dot" w:pos="9184"/>
        </w:tabs>
        <w:spacing w:line="480" w:lineRule="auto"/>
        <w:rPr>
          <w:rFonts w:ascii="宋体" w:hAnsi="宋体" w:eastAsia="宋体" w:cs="Times New Roman"/>
          <w:sz w:val="24"/>
          <w:szCs w:val="24"/>
        </w:rPr>
      </w:pPr>
      <w:r>
        <w:rPr>
          <w:rFonts w:ascii="宋体" w:hAnsi="宋体" w:eastAsia="宋体" w:cs="宋体"/>
          <w:b/>
          <w:bCs/>
          <w:sz w:val="24"/>
          <w:szCs w:val="24"/>
        </w:rPr>
        <w:fldChar w:fldCharType="begin"/>
      </w:r>
      <w:r>
        <w:rPr>
          <w:rFonts w:ascii="宋体" w:hAnsi="宋体" w:eastAsia="宋体" w:cs="宋体"/>
          <w:b/>
          <w:bCs/>
          <w:sz w:val="24"/>
          <w:szCs w:val="24"/>
        </w:rPr>
        <w:instrText xml:space="preserve"> TOC \o "1-3" \h \z \u </w:instrText>
      </w:r>
      <w:r>
        <w:rPr>
          <w:rFonts w:ascii="宋体" w:hAnsi="宋体" w:eastAsia="宋体" w:cs="宋体"/>
          <w:b/>
          <w:bCs/>
          <w:sz w:val="24"/>
          <w:szCs w:val="24"/>
        </w:rPr>
        <w:fldChar w:fldCharType="separate"/>
      </w:r>
      <w:r>
        <w:fldChar w:fldCharType="begin"/>
      </w:r>
      <w:r>
        <w:instrText xml:space="preserve"> HYPERLINK \l "_Toc394" </w:instrText>
      </w:r>
      <w:r>
        <w:fldChar w:fldCharType="separate"/>
      </w:r>
      <w:r>
        <w:rPr>
          <w:rFonts w:hint="eastAsia" w:ascii="宋体" w:hAnsi="宋体" w:eastAsia="宋体" w:cs="宋体"/>
          <w:sz w:val="24"/>
          <w:szCs w:val="24"/>
        </w:rPr>
        <w:t>第一章</w:t>
      </w:r>
      <w:r>
        <w:rPr>
          <w:rFonts w:ascii="宋体" w:hAnsi="宋体" w:eastAsia="宋体" w:cs="宋体"/>
          <w:sz w:val="24"/>
          <w:szCs w:val="24"/>
        </w:rPr>
        <w:t xml:space="preserve"> </w:t>
      </w:r>
      <w:r>
        <w:rPr>
          <w:rFonts w:hint="eastAsia" w:ascii="宋体" w:hAnsi="宋体" w:eastAsia="宋体" w:cs="宋体"/>
          <w:sz w:val="24"/>
          <w:szCs w:val="24"/>
        </w:rPr>
        <w:t>竞争性磋商公告</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_Toc394 \h </w:instrText>
      </w:r>
      <w:r>
        <w:rPr>
          <w:rFonts w:ascii="宋体" w:hAnsi="宋体" w:eastAsia="宋体" w:cs="宋体"/>
          <w:sz w:val="24"/>
          <w:szCs w:val="24"/>
        </w:rPr>
        <w:fldChar w:fldCharType="separate"/>
      </w:r>
      <w:r>
        <w:rPr>
          <w:rFonts w:ascii="宋体" w:hAnsi="宋体" w:eastAsia="宋体" w:cs="宋体"/>
          <w:sz w:val="24"/>
          <w:szCs w:val="24"/>
        </w:rPr>
        <w:t>2</w:t>
      </w:r>
      <w:r>
        <w:rPr>
          <w:rFonts w:ascii="宋体" w:hAnsi="宋体" w:eastAsia="宋体" w:cs="宋体"/>
          <w:sz w:val="24"/>
          <w:szCs w:val="24"/>
        </w:rPr>
        <w:fldChar w:fldCharType="end"/>
      </w:r>
      <w:r>
        <w:rPr>
          <w:rFonts w:ascii="宋体" w:hAnsi="宋体" w:eastAsia="宋体" w:cs="宋体"/>
          <w:sz w:val="24"/>
          <w:szCs w:val="24"/>
        </w:rPr>
        <w:fldChar w:fldCharType="end"/>
      </w:r>
    </w:p>
    <w:p w14:paraId="53995F30">
      <w:pPr>
        <w:pStyle w:val="30"/>
        <w:tabs>
          <w:tab w:val="right" w:leader="dot" w:pos="9184"/>
        </w:tabs>
        <w:spacing w:line="480" w:lineRule="auto"/>
        <w:rPr>
          <w:rFonts w:ascii="宋体" w:hAnsi="宋体" w:eastAsia="宋体" w:cs="Times New Roman"/>
          <w:sz w:val="24"/>
          <w:szCs w:val="24"/>
        </w:rPr>
      </w:pPr>
      <w:r>
        <w:fldChar w:fldCharType="begin"/>
      </w:r>
      <w:r>
        <w:instrText xml:space="preserve"> HYPERLINK \l "_Toc23705" </w:instrText>
      </w:r>
      <w:r>
        <w:fldChar w:fldCharType="separate"/>
      </w:r>
      <w:r>
        <w:rPr>
          <w:rFonts w:hint="eastAsia" w:ascii="宋体" w:hAnsi="宋体" w:eastAsia="宋体" w:cs="宋体"/>
          <w:sz w:val="24"/>
          <w:szCs w:val="24"/>
        </w:rPr>
        <w:t>第二章</w:t>
      </w:r>
      <w:r>
        <w:rPr>
          <w:rFonts w:ascii="宋体" w:hAnsi="宋体" w:eastAsia="宋体" w:cs="宋体"/>
          <w:sz w:val="24"/>
          <w:szCs w:val="24"/>
        </w:rPr>
        <w:t xml:space="preserve"> </w:t>
      </w:r>
      <w:r>
        <w:rPr>
          <w:rFonts w:hint="eastAsia" w:ascii="宋体" w:hAnsi="宋体" w:eastAsia="宋体" w:cs="宋体"/>
          <w:sz w:val="24"/>
          <w:szCs w:val="24"/>
        </w:rPr>
        <w:t>采购需求</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_Toc23705 \h </w:instrText>
      </w:r>
      <w:r>
        <w:rPr>
          <w:rFonts w:ascii="宋体" w:hAnsi="宋体" w:eastAsia="宋体" w:cs="宋体"/>
          <w:sz w:val="24"/>
          <w:szCs w:val="24"/>
        </w:rPr>
        <w:fldChar w:fldCharType="separate"/>
      </w:r>
      <w:r>
        <w:rPr>
          <w:rFonts w:ascii="宋体" w:hAnsi="宋体" w:eastAsia="宋体" w:cs="宋体"/>
          <w:sz w:val="24"/>
          <w:szCs w:val="24"/>
        </w:rPr>
        <w:t>6</w:t>
      </w:r>
      <w:r>
        <w:rPr>
          <w:rFonts w:ascii="宋体" w:hAnsi="宋体" w:eastAsia="宋体" w:cs="宋体"/>
          <w:sz w:val="24"/>
          <w:szCs w:val="24"/>
        </w:rPr>
        <w:fldChar w:fldCharType="end"/>
      </w:r>
      <w:r>
        <w:rPr>
          <w:rFonts w:ascii="宋体" w:hAnsi="宋体" w:eastAsia="宋体" w:cs="宋体"/>
          <w:sz w:val="24"/>
          <w:szCs w:val="24"/>
        </w:rPr>
        <w:fldChar w:fldCharType="end"/>
      </w:r>
    </w:p>
    <w:p w14:paraId="1CBD171F">
      <w:pPr>
        <w:pStyle w:val="30"/>
        <w:tabs>
          <w:tab w:val="right" w:leader="dot" w:pos="9184"/>
        </w:tabs>
        <w:spacing w:line="480" w:lineRule="auto"/>
        <w:rPr>
          <w:rFonts w:ascii="宋体" w:hAnsi="宋体" w:eastAsia="宋体" w:cs="Times New Roman"/>
          <w:sz w:val="24"/>
          <w:szCs w:val="24"/>
        </w:rPr>
      </w:pPr>
      <w:r>
        <w:fldChar w:fldCharType="begin"/>
      </w:r>
      <w:r>
        <w:instrText xml:space="preserve"> HYPERLINK \l "_Toc18374" </w:instrText>
      </w:r>
      <w:r>
        <w:fldChar w:fldCharType="separate"/>
      </w:r>
      <w:r>
        <w:rPr>
          <w:rFonts w:hint="eastAsia" w:ascii="宋体" w:hAnsi="宋体" w:eastAsia="宋体" w:cs="宋体"/>
          <w:sz w:val="24"/>
          <w:szCs w:val="24"/>
        </w:rPr>
        <w:t>第三章</w:t>
      </w:r>
      <w:r>
        <w:rPr>
          <w:rFonts w:ascii="宋体" w:hAnsi="宋体" w:eastAsia="宋体" w:cs="宋体"/>
          <w:sz w:val="24"/>
          <w:szCs w:val="24"/>
        </w:rPr>
        <w:t xml:space="preserve"> </w:t>
      </w:r>
      <w:r>
        <w:rPr>
          <w:rFonts w:hint="eastAsia" w:ascii="宋体" w:hAnsi="宋体" w:eastAsia="宋体" w:cs="宋体"/>
          <w:sz w:val="24"/>
          <w:szCs w:val="24"/>
        </w:rPr>
        <w:t>供应商须知</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_Toc18374 \h </w:instrText>
      </w:r>
      <w:r>
        <w:rPr>
          <w:rFonts w:ascii="宋体" w:hAnsi="宋体" w:eastAsia="宋体" w:cs="宋体"/>
          <w:sz w:val="24"/>
          <w:szCs w:val="24"/>
        </w:rPr>
        <w:fldChar w:fldCharType="separate"/>
      </w:r>
      <w:r>
        <w:rPr>
          <w:rFonts w:ascii="宋体" w:hAnsi="宋体" w:eastAsia="宋体" w:cs="宋体"/>
          <w:sz w:val="24"/>
          <w:szCs w:val="24"/>
        </w:rPr>
        <w:t>10</w:t>
      </w:r>
      <w:r>
        <w:rPr>
          <w:rFonts w:ascii="宋体" w:hAnsi="宋体" w:eastAsia="宋体" w:cs="宋体"/>
          <w:sz w:val="24"/>
          <w:szCs w:val="24"/>
        </w:rPr>
        <w:fldChar w:fldCharType="end"/>
      </w:r>
      <w:r>
        <w:rPr>
          <w:rFonts w:ascii="宋体" w:hAnsi="宋体" w:eastAsia="宋体" w:cs="宋体"/>
          <w:sz w:val="24"/>
          <w:szCs w:val="24"/>
        </w:rPr>
        <w:fldChar w:fldCharType="end"/>
      </w:r>
    </w:p>
    <w:p w14:paraId="7B0D57AF">
      <w:pPr>
        <w:pStyle w:val="37"/>
        <w:tabs>
          <w:tab w:val="right" w:leader="dot" w:pos="9184"/>
        </w:tabs>
        <w:spacing w:line="480" w:lineRule="auto"/>
        <w:ind w:left="31680"/>
        <w:rPr>
          <w:rFonts w:ascii="宋体" w:hAnsi="宋体" w:eastAsia="宋体" w:cs="Times New Roman"/>
          <w:sz w:val="24"/>
          <w:szCs w:val="24"/>
        </w:rPr>
      </w:pPr>
      <w:r>
        <w:fldChar w:fldCharType="begin"/>
      </w:r>
      <w:r>
        <w:instrText xml:space="preserve"> HYPERLINK \l "_Toc12961" </w:instrText>
      </w:r>
      <w:r>
        <w:fldChar w:fldCharType="separate"/>
      </w:r>
      <w:r>
        <w:rPr>
          <w:rFonts w:hint="eastAsia" w:ascii="宋体" w:hAnsi="宋体" w:eastAsia="宋体" w:cs="宋体"/>
          <w:sz w:val="24"/>
          <w:szCs w:val="24"/>
        </w:rPr>
        <w:t>第一节</w:t>
      </w:r>
      <w:r>
        <w:rPr>
          <w:rFonts w:ascii="宋体" w:hAnsi="宋体" w:eastAsia="宋体" w:cs="宋体"/>
          <w:sz w:val="24"/>
          <w:szCs w:val="24"/>
        </w:rPr>
        <w:t xml:space="preserve"> </w:t>
      </w:r>
      <w:r>
        <w:rPr>
          <w:rFonts w:hint="eastAsia" w:ascii="宋体" w:hAnsi="宋体" w:eastAsia="宋体" w:cs="宋体"/>
          <w:sz w:val="24"/>
          <w:szCs w:val="24"/>
        </w:rPr>
        <w:t>供应商须知前附表</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_Toc12961 \h </w:instrText>
      </w:r>
      <w:r>
        <w:rPr>
          <w:rFonts w:ascii="宋体" w:hAnsi="宋体" w:eastAsia="宋体" w:cs="宋体"/>
          <w:sz w:val="24"/>
          <w:szCs w:val="24"/>
        </w:rPr>
        <w:fldChar w:fldCharType="separate"/>
      </w:r>
      <w:r>
        <w:rPr>
          <w:rFonts w:ascii="宋体" w:hAnsi="宋体" w:eastAsia="宋体" w:cs="宋体"/>
          <w:sz w:val="24"/>
          <w:szCs w:val="24"/>
        </w:rPr>
        <w:t>10</w:t>
      </w:r>
      <w:r>
        <w:rPr>
          <w:rFonts w:ascii="宋体" w:hAnsi="宋体" w:eastAsia="宋体" w:cs="宋体"/>
          <w:sz w:val="24"/>
          <w:szCs w:val="24"/>
        </w:rPr>
        <w:fldChar w:fldCharType="end"/>
      </w:r>
      <w:r>
        <w:rPr>
          <w:rFonts w:ascii="宋体" w:hAnsi="宋体" w:eastAsia="宋体" w:cs="宋体"/>
          <w:sz w:val="24"/>
          <w:szCs w:val="24"/>
        </w:rPr>
        <w:fldChar w:fldCharType="end"/>
      </w:r>
    </w:p>
    <w:p w14:paraId="0CA0D399">
      <w:pPr>
        <w:pStyle w:val="37"/>
        <w:tabs>
          <w:tab w:val="right" w:leader="dot" w:pos="9184"/>
        </w:tabs>
        <w:spacing w:line="480" w:lineRule="auto"/>
        <w:ind w:left="31680"/>
        <w:rPr>
          <w:rFonts w:ascii="宋体" w:hAnsi="宋体" w:eastAsia="宋体" w:cs="Times New Roman"/>
          <w:sz w:val="24"/>
          <w:szCs w:val="24"/>
        </w:rPr>
      </w:pPr>
      <w:r>
        <w:fldChar w:fldCharType="begin"/>
      </w:r>
      <w:r>
        <w:instrText xml:space="preserve"> HYPERLINK \l "_Toc18584" </w:instrText>
      </w:r>
      <w:r>
        <w:fldChar w:fldCharType="separate"/>
      </w:r>
      <w:r>
        <w:rPr>
          <w:rFonts w:hint="eastAsia" w:ascii="宋体" w:hAnsi="宋体" w:eastAsia="宋体" w:cs="宋体"/>
          <w:sz w:val="24"/>
          <w:szCs w:val="24"/>
        </w:rPr>
        <w:t>第二节</w:t>
      </w:r>
      <w:r>
        <w:rPr>
          <w:rFonts w:ascii="宋体" w:hAnsi="宋体" w:eastAsia="宋体" w:cs="宋体"/>
          <w:sz w:val="24"/>
          <w:szCs w:val="24"/>
        </w:rPr>
        <w:t xml:space="preserve"> </w:t>
      </w:r>
      <w:r>
        <w:rPr>
          <w:rFonts w:hint="eastAsia" w:ascii="宋体" w:hAnsi="宋体" w:eastAsia="宋体" w:cs="宋体"/>
          <w:sz w:val="24"/>
          <w:szCs w:val="24"/>
        </w:rPr>
        <w:t>供应商须知正文</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_Toc18584 \h </w:instrText>
      </w:r>
      <w:r>
        <w:rPr>
          <w:rFonts w:ascii="宋体" w:hAnsi="宋体" w:eastAsia="宋体" w:cs="宋体"/>
          <w:sz w:val="24"/>
          <w:szCs w:val="24"/>
        </w:rPr>
        <w:fldChar w:fldCharType="separate"/>
      </w:r>
      <w:r>
        <w:rPr>
          <w:rFonts w:ascii="宋体" w:hAnsi="宋体" w:eastAsia="宋体" w:cs="宋体"/>
          <w:sz w:val="24"/>
          <w:szCs w:val="24"/>
        </w:rPr>
        <w:t>17</w:t>
      </w:r>
      <w:r>
        <w:rPr>
          <w:rFonts w:ascii="宋体" w:hAnsi="宋体" w:eastAsia="宋体" w:cs="宋体"/>
          <w:sz w:val="24"/>
          <w:szCs w:val="24"/>
        </w:rPr>
        <w:fldChar w:fldCharType="end"/>
      </w:r>
      <w:r>
        <w:rPr>
          <w:rFonts w:ascii="宋体" w:hAnsi="宋体" w:eastAsia="宋体" w:cs="宋体"/>
          <w:sz w:val="24"/>
          <w:szCs w:val="24"/>
        </w:rPr>
        <w:fldChar w:fldCharType="end"/>
      </w:r>
    </w:p>
    <w:p w14:paraId="4B93ADB6">
      <w:pPr>
        <w:pStyle w:val="22"/>
        <w:tabs>
          <w:tab w:val="right" w:leader="dot" w:pos="9184"/>
        </w:tabs>
        <w:spacing w:line="480" w:lineRule="auto"/>
        <w:ind w:left="31680"/>
        <w:rPr>
          <w:rFonts w:ascii="宋体" w:hAnsi="宋体" w:eastAsia="宋体" w:cs="Times New Roman"/>
          <w:sz w:val="24"/>
          <w:szCs w:val="24"/>
        </w:rPr>
      </w:pPr>
      <w:r>
        <w:fldChar w:fldCharType="begin"/>
      </w:r>
      <w:r>
        <w:instrText xml:space="preserve"> HYPERLINK \l "_Toc12304" </w:instrText>
      </w:r>
      <w:r>
        <w:fldChar w:fldCharType="separate"/>
      </w:r>
      <w:r>
        <w:rPr>
          <w:rFonts w:hint="eastAsia" w:ascii="宋体" w:hAnsi="宋体" w:eastAsia="宋体" w:cs="宋体"/>
          <w:sz w:val="24"/>
          <w:szCs w:val="24"/>
        </w:rPr>
        <w:t>一、总则</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_Toc12304 \h </w:instrText>
      </w:r>
      <w:r>
        <w:rPr>
          <w:rFonts w:ascii="宋体" w:hAnsi="宋体" w:eastAsia="宋体" w:cs="宋体"/>
          <w:sz w:val="24"/>
          <w:szCs w:val="24"/>
        </w:rPr>
        <w:fldChar w:fldCharType="separate"/>
      </w:r>
      <w:r>
        <w:rPr>
          <w:rFonts w:ascii="宋体" w:hAnsi="宋体" w:eastAsia="宋体" w:cs="宋体"/>
          <w:sz w:val="24"/>
          <w:szCs w:val="24"/>
        </w:rPr>
        <w:t>17</w:t>
      </w:r>
      <w:r>
        <w:rPr>
          <w:rFonts w:ascii="宋体" w:hAnsi="宋体" w:eastAsia="宋体" w:cs="宋体"/>
          <w:sz w:val="24"/>
          <w:szCs w:val="24"/>
        </w:rPr>
        <w:fldChar w:fldCharType="end"/>
      </w:r>
      <w:r>
        <w:rPr>
          <w:rFonts w:ascii="宋体" w:hAnsi="宋体" w:eastAsia="宋体" w:cs="宋体"/>
          <w:sz w:val="24"/>
          <w:szCs w:val="24"/>
        </w:rPr>
        <w:fldChar w:fldCharType="end"/>
      </w:r>
    </w:p>
    <w:p w14:paraId="522395EB">
      <w:pPr>
        <w:pStyle w:val="22"/>
        <w:tabs>
          <w:tab w:val="right" w:leader="dot" w:pos="9184"/>
        </w:tabs>
        <w:spacing w:line="480" w:lineRule="auto"/>
        <w:ind w:left="31680"/>
        <w:rPr>
          <w:rFonts w:ascii="宋体" w:hAnsi="宋体" w:eastAsia="宋体" w:cs="Times New Roman"/>
          <w:sz w:val="24"/>
          <w:szCs w:val="24"/>
        </w:rPr>
      </w:pPr>
      <w:r>
        <w:fldChar w:fldCharType="begin"/>
      </w:r>
      <w:r>
        <w:instrText xml:space="preserve"> HYPERLINK \l "_Toc14017" </w:instrText>
      </w:r>
      <w:r>
        <w:fldChar w:fldCharType="separate"/>
      </w:r>
      <w:r>
        <w:rPr>
          <w:rFonts w:hint="eastAsia" w:ascii="宋体" w:hAnsi="宋体" w:eastAsia="宋体" w:cs="宋体"/>
          <w:sz w:val="24"/>
          <w:szCs w:val="24"/>
        </w:rPr>
        <w:t>二、磋商文件</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_Toc14017 \h </w:instrText>
      </w:r>
      <w:r>
        <w:rPr>
          <w:rFonts w:ascii="宋体" w:hAnsi="宋体" w:eastAsia="宋体" w:cs="宋体"/>
          <w:sz w:val="24"/>
          <w:szCs w:val="24"/>
        </w:rPr>
        <w:fldChar w:fldCharType="separate"/>
      </w:r>
      <w:r>
        <w:rPr>
          <w:rFonts w:ascii="宋体" w:hAnsi="宋体" w:eastAsia="宋体" w:cs="宋体"/>
          <w:sz w:val="24"/>
          <w:szCs w:val="24"/>
        </w:rPr>
        <w:t>20</w:t>
      </w:r>
      <w:r>
        <w:rPr>
          <w:rFonts w:ascii="宋体" w:hAnsi="宋体" w:eastAsia="宋体" w:cs="宋体"/>
          <w:sz w:val="24"/>
          <w:szCs w:val="24"/>
        </w:rPr>
        <w:fldChar w:fldCharType="end"/>
      </w:r>
      <w:r>
        <w:rPr>
          <w:rFonts w:ascii="宋体" w:hAnsi="宋体" w:eastAsia="宋体" w:cs="宋体"/>
          <w:sz w:val="24"/>
          <w:szCs w:val="24"/>
        </w:rPr>
        <w:fldChar w:fldCharType="end"/>
      </w:r>
    </w:p>
    <w:p w14:paraId="7A5E9E53">
      <w:pPr>
        <w:pStyle w:val="22"/>
        <w:tabs>
          <w:tab w:val="right" w:leader="dot" w:pos="9184"/>
        </w:tabs>
        <w:spacing w:line="480" w:lineRule="auto"/>
        <w:ind w:left="31680"/>
        <w:rPr>
          <w:rFonts w:ascii="宋体" w:hAnsi="宋体" w:eastAsia="宋体" w:cs="Times New Roman"/>
          <w:sz w:val="24"/>
          <w:szCs w:val="24"/>
        </w:rPr>
      </w:pPr>
      <w:bookmarkStart w:id="2564" w:name="_GoBack"/>
      <w:bookmarkEnd w:id="2564"/>
      <w:r>
        <w:fldChar w:fldCharType="begin"/>
      </w:r>
      <w:r>
        <w:instrText xml:space="preserve"> HYPERLINK \l "_Toc32719" </w:instrText>
      </w:r>
      <w:r>
        <w:fldChar w:fldCharType="separate"/>
      </w:r>
      <w:r>
        <w:rPr>
          <w:rFonts w:hint="eastAsia" w:ascii="宋体" w:hAnsi="宋体" w:eastAsia="宋体" w:cs="宋体"/>
          <w:sz w:val="24"/>
          <w:szCs w:val="24"/>
        </w:rPr>
        <w:t>三、响应文件的编制</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_Toc32719 \h </w:instrText>
      </w:r>
      <w:r>
        <w:rPr>
          <w:rFonts w:ascii="宋体" w:hAnsi="宋体" w:eastAsia="宋体" w:cs="宋体"/>
          <w:sz w:val="24"/>
          <w:szCs w:val="24"/>
        </w:rPr>
        <w:fldChar w:fldCharType="separate"/>
      </w:r>
      <w:r>
        <w:rPr>
          <w:rFonts w:ascii="宋体" w:hAnsi="宋体" w:eastAsia="宋体" w:cs="宋体"/>
          <w:sz w:val="24"/>
          <w:szCs w:val="24"/>
        </w:rPr>
        <w:t>21</w:t>
      </w:r>
      <w:r>
        <w:rPr>
          <w:rFonts w:ascii="宋体" w:hAnsi="宋体" w:eastAsia="宋体" w:cs="宋体"/>
          <w:sz w:val="24"/>
          <w:szCs w:val="24"/>
        </w:rPr>
        <w:fldChar w:fldCharType="end"/>
      </w:r>
      <w:r>
        <w:rPr>
          <w:rFonts w:ascii="宋体" w:hAnsi="宋体" w:eastAsia="宋体" w:cs="宋体"/>
          <w:sz w:val="24"/>
          <w:szCs w:val="24"/>
        </w:rPr>
        <w:fldChar w:fldCharType="end"/>
      </w:r>
    </w:p>
    <w:p w14:paraId="40116A21">
      <w:pPr>
        <w:pStyle w:val="22"/>
        <w:tabs>
          <w:tab w:val="right" w:leader="dot" w:pos="9184"/>
        </w:tabs>
        <w:spacing w:line="480" w:lineRule="auto"/>
        <w:ind w:left="31680"/>
        <w:rPr>
          <w:rFonts w:ascii="宋体" w:hAnsi="宋体" w:eastAsia="宋体" w:cs="Times New Roman"/>
          <w:sz w:val="24"/>
          <w:szCs w:val="24"/>
        </w:rPr>
      </w:pPr>
      <w:r>
        <w:fldChar w:fldCharType="begin"/>
      </w:r>
      <w:r>
        <w:instrText xml:space="preserve"> HYPERLINK \l "_Toc4083" </w:instrText>
      </w:r>
      <w:r>
        <w:fldChar w:fldCharType="separate"/>
      </w:r>
      <w:r>
        <w:rPr>
          <w:rFonts w:hint="eastAsia" w:ascii="宋体" w:hAnsi="宋体" w:eastAsia="宋体" w:cs="宋体"/>
          <w:sz w:val="24"/>
          <w:szCs w:val="24"/>
        </w:rPr>
        <w:t>四、评审及磋商</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_Toc4083 \h </w:instrText>
      </w:r>
      <w:r>
        <w:rPr>
          <w:rFonts w:ascii="宋体" w:hAnsi="宋体" w:eastAsia="宋体" w:cs="宋体"/>
          <w:sz w:val="24"/>
          <w:szCs w:val="24"/>
        </w:rPr>
        <w:fldChar w:fldCharType="separate"/>
      </w:r>
      <w:r>
        <w:rPr>
          <w:rFonts w:ascii="宋体" w:hAnsi="宋体" w:eastAsia="宋体" w:cs="宋体"/>
          <w:sz w:val="24"/>
          <w:szCs w:val="24"/>
        </w:rPr>
        <w:t>24</w:t>
      </w:r>
      <w:r>
        <w:rPr>
          <w:rFonts w:ascii="宋体" w:hAnsi="宋体" w:eastAsia="宋体" w:cs="宋体"/>
          <w:sz w:val="24"/>
          <w:szCs w:val="24"/>
        </w:rPr>
        <w:fldChar w:fldCharType="end"/>
      </w:r>
      <w:r>
        <w:rPr>
          <w:rFonts w:ascii="宋体" w:hAnsi="宋体" w:eastAsia="宋体" w:cs="宋体"/>
          <w:sz w:val="24"/>
          <w:szCs w:val="24"/>
        </w:rPr>
        <w:fldChar w:fldCharType="end"/>
      </w:r>
    </w:p>
    <w:p w14:paraId="6A8EB12C">
      <w:pPr>
        <w:pStyle w:val="22"/>
        <w:tabs>
          <w:tab w:val="right" w:leader="dot" w:pos="9184"/>
        </w:tabs>
        <w:spacing w:line="480" w:lineRule="auto"/>
        <w:ind w:left="31680"/>
        <w:rPr>
          <w:rFonts w:ascii="宋体" w:hAnsi="宋体" w:eastAsia="宋体" w:cs="Times New Roman"/>
          <w:sz w:val="24"/>
          <w:szCs w:val="24"/>
        </w:rPr>
      </w:pPr>
      <w:r>
        <w:fldChar w:fldCharType="begin"/>
      </w:r>
      <w:r>
        <w:instrText xml:space="preserve"> HYPERLINK \l "_Toc21902" </w:instrText>
      </w:r>
      <w:r>
        <w:fldChar w:fldCharType="separate"/>
      </w:r>
      <w:r>
        <w:rPr>
          <w:rFonts w:hint="eastAsia" w:ascii="宋体" w:hAnsi="宋体" w:eastAsia="宋体" w:cs="宋体"/>
          <w:sz w:val="24"/>
          <w:szCs w:val="24"/>
        </w:rPr>
        <w:t>五、成交及合同</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_Toc21902 \h </w:instrText>
      </w:r>
      <w:r>
        <w:rPr>
          <w:rFonts w:ascii="宋体" w:hAnsi="宋体" w:eastAsia="宋体" w:cs="宋体"/>
          <w:sz w:val="24"/>
          <w:szCs w:val="24"/>
        </w:rPr>
        <w:fldChar w:fldCharType="separate"/>
      </w:r>
      <w:r>
        <w:rPr>
          <w:rFonts w:ascii="宋体" w:hAnsi="宋体" w:eastAsia="宋体" w:cs="宋体"/>
          <w:sz w:val="24"/>
          <w:szCs w:val="24"/>
        </w:rPr>
        <w:t>25</w:t>
      </w:r>
      <w:r>
        <w:rPr>
          <w:rFonts w:ascii="宋体" w:hAnsi="宋体" w:eastAsia="宋体" w:cs="宋体"/>
          <w:sz w:val="24"/>
          <w:szCs w:val="24"/>
        </w:rPr>
        <w:fldChar w:fldCharType="end"/>
      </w:r>
      <w:r>
        <w:rPr>
          <w:rFonts w:ascii="宋体" w:hAnsi="宋体" w:eastAsia="宋体" w:cs="宋体"/>
          <w:sz w:val="24"/>
          <w:szCs w:val="24"/>
        </w:rPr>
        <w:fldChar w:fldCharType="end"/>
      </w:r>
    </w:p>
    <w:p w14:paraId="705B0199">
      <w:pPr>
        <w:pStyle w:val="22"/>
        <w:tabs>
          <w:tab w:val="right" w:leader="dot" w:pos="9184"/>
        </w:tabs>
        <w:spacing w:line="480" w:lineRule="auto"/>
        <w:ind w:left="31680"/>
        <w:rPr>
          <w:rFonts w:ascii="宋体" w:hAnsi="宋体" w:eastAsia="宋体" w:cs="Times New Roman"/>
          <w:sz w:val="24"/>
          <w:szCs w:val="24"/>
        </w:rPr>
      </w:pPr>
      <w:r>
        <w:fldChar w:fldCharType="begin"/>
      </w:r>
      <w:r>
        <w:instrText xml:space="preserve"> HYPERLINK \l "_Toc15060" </w:instrText>
      </w:r>
      <w:r>
        <w:fldChar w:fldCharType="separate"/>
      </w:r>
      <w:r>
        <w:rPr>
          <w:rFonts w:hint="eastAsia" w:ascii="宋体" w:hAnsi="宋体" w:eastAsia="宋体" w:cs="宋体"/>
          <w:sz w:val="24"/>
          <w:szCs w:val="24"/>
        </w:rPr>
        <w:t>六、验收</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_Toc15060 \h </w:instrText>
      </w:r>
      <w:r>
        <w:rPr>
          <w:rFonts w:ascii="宋体" w:hAnsi="宋体" w:eastAsia="宋体" w:cs="宋体"/>
          <w:sz w:val="24"/>
          <w:szCs w:val="24"/>
        </w:rPr>
        <w:fldChar w:fldCharType="separate"/>
      </w:r>
      <w:r>
        <w:rPr>
          <w:rFonts w:ascii="宋体" w:hAnsi="宋体" w:eastAsia="宋体" w:cs="宋体"/>
          <w:sz w:val="24"/>
          <w:szCs w:val="24"/>
        </w:rPr>
        <w:t>28</w:t>
      </w:r>
      <w:r>
        <w:rPr>
          <w:rFonts w:ascii="宋体" w:hAnsi="宋体" w:eastAsia="宋体" w:cs="宋体"/>
          <w:sz w:val="24"/>
          <w:szCs w:val="24"/>
        </w:rPr>
        <w:fldChar w:fldCharType="end"/>
      </w:r>
      <w:r>
        <w:rPr>
          <w:rFonts w:ascii="宋体" w:hAnsi="宋体" w:eastAsia="宋体" w:cs="宋体"/>
          <w:sz w:val="24"/>
          <w:szCs w:val="24"/>
        </w:rPr>
        <w:fldChar w:fldCharType="end"/>
      </w:r>
    </w:p>
    <w:p w14:paraId="5DB163E9">
      <w:pPr>
        <w:pStyle w:val="22"/>
        <w:tabs>
          <w:tab w:val="right" w:leader="dot" w:pos="9184"/>
        </w:tabs>
        <w:spacing w:line="480" w:lineRule="auto"/>
        <w:ind w:left="31680"/>
        <w:rPr>
          <w:rFonts w:ascii="宋体" w:hAnsi="宋体" w:eastAsia="宋体" w:cs="Times New Roman"/>
          <w:sz w:val="24"/>
          <w:szCs w:val="24"/>
        </w:rPr>
      </w:pPr>
      <w:r>
        <w:fldChar w:fldCharType="begin"/>
      </w:r>
      <w:r>
        <w:instrText xml:space="preserve"> HYPERLINK \l "_Toc24621" </w:instrText>
      </w:r>
      <w:r>
        <w:fldChar w:fldCharType="separate"/>
      </w:r>
      <w:r>
        <w:rPr>
          <w:rFonts w:hint="eastAsia" w:ascii="宋体" w:hAnsi="宋体" w:eastAsia="宋体" w:cs="宋体"/>
          <w:sz w:val="24"/>
          <w:szCs w:val="24"/>
        </w:rPr>
        <w:t>七、其他事项</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_Toc24621 \h </w:instrText>
      </w:r>
      <w:r>
        <w:rPr>
          <w:rFonts w:ascii="宋体" w:hAnsi="宋体" w:eastAsia="宋体" w:cs="宋体"/>
          <w:sz w:val="24"/>
          <w:szCs w:val="24"/>
        </w:rPr>
        <w:fldChar w:fldCharType="separate"/>
      </w:r>
      <w:r>
        <w:rPr>
          <w:rFonts w:ascii="宋体" w:hAnsi="宋体" w:eastAsia="宋体" w:cs="宋体"/>
          <w:sz w:val="24"/>
          <w:szCs w:val="24"/>
        </w:rPr>
        <w:t>29</w:t>
      </w:r>
      <w:r>
        <w:rPr>
          <w:rFonts w:ascii="宋体" w:hAnsi="宋体" w:eastAsia="宋体" w:cs="宋体"/>
          <w:sz w:val="24"/>
          <w:szCs w:val="24"/>
        </w:rPr>
        <w:fldChar w:fldCharType="end"/>
      </w:r>
      <w:r>
        <w:rPr>
          <w:rFonts w:ascii="宋体" w:hAnsi="宋体" w:eastAsia="宋体" w:cs="宋体"/>
          <w:sz w:val="24"/>
          <w:szCs w:val="24"/>
        </w:rPr>
        <w:fldChar w:fldCharType="end"/>
      </w:r>
    </w:p>
    <w:p w14:paraId="3A8EB64A">
      <w:pPr>
        <w:pStyle w:val="30"/>
        <w:tabs>
          <w:tab w:val="right" w:leader="dot" w:pos="9184"/>
        </w:tabs>
        <w:spacing w:line="480" w:lineRule="auto"/>
        <w:rPr>
          <w:rFonts w:ascii="宋体" w:hAnsi="宋体" w:eastAsia="宋体" w:cs="Times New Roman"/>
          <w:sz w:val="24"/>
          <w:szCs w:val="24"/>
        </w:rPr>
      </w:pPr>
      <w:r>
        <w:fldChar w:fldCharType="begin"/>
      </w:r>
      <w:r>
        <w:instrText xml:space="preserve"> HYPERLINK \l "_Toc19027" </w:instrText>
      </w:r>
      <w:r>
        <w:fldChar w:fldCharType="separate"/>
      </w:r>
      <w:r>
        <w:rPr>
          <w:rFonts w:hint="eastAsia" w:ascii="宋体" w:hAnsi="宋体" w:eastAsia="宋体" w:cs="宋体"/>
          <w:sz w:val="24"/>
          <w:szCs w:val="24"/>
        </w:rPr>
        <w:t>第四章评审程序、评审方法和评审标准</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_Toc19027 \h </w:instrText>
      </w:r>
      <w:r>
        <w:rPr>
          <w:rFonts w:ascii="宋体" w:hAnsi="宋体" w:eastAsia="宋体" w:cs="宋体"/>
          <w:sz w:val="24"/>
          <w:szCs w:val="24"/>
        </w:rPr>
        <w:fldChar w:fldCharType="separate"/>
      </w:r>
      <w:r>
        <w:rPr>
          <w:rFonts w:ascii="宋体" w:hAnsi="宋体" w:eastAsia="宋体" w:cs="宋体"/>
          <w:sz w:val="24"/>
          <w:szCs w:val="24"/>
        </w:rPr>
        <w:t>30</w:t>
      </w:r>
      <w:r>
        <w:rPr>
          <w:rFonts w:ascii="宋体" w:hAnsi="宋体" w:eastAsia="宋体" w:cs="宋体"/>
          <w:sz w:val="24"/>
          <w:szCs w:val="24"/>
        </w:rPr>
        <w:fldChar w:fldCharType="end"/>
      </w:r>
      <w:r>
        <w:rPr>
          <w:rFonts w:ascii="宋体" w:hAnsi="宋体" w:eastAsia="宋体" w:cs="宋体"/>
          <w:sz w:val="24"/>
          <w:szCs w:val="24"/>
        </w:rPr>
        <w:fldChar w:fldCharType="end"/>
      </w:r>
    </w:p>
    <w:p w14:paraId="4A4A8AAE">
      <w:pPr>
        <w:pStyle w:val="30"/>
        <w:tabs>
          <w:tab w:val="right" w:leader="dot" w:pos="9184"/>
        </w:tabs>
        <w:spacing w:line="480" w:lineRule="auto"/>
        <w:rPr>
          <w:rFonts w:ascii="宋体" w:hAnsi="宋体" w:eastAsia="宋体" w:cs="Times New Roman"/>
          <w:sz w:val="24"/>
          <w:szCs w:val="24"/>
        </w:rPr>
      </w:pPr>
      <w:r>
        <w:fldChar w:fldCharType="begin"/>
      </w:r>
      <w:r>
        <w:instrText xml:space="preserve"> HYPERLINK \l "_Toc15805" </w:instrText>
      </w:r>
      <w:r>
        <w:fldChar w:fldCharType="separate"/>
      </w:r>
      <w:r>
        <w:rPr>
          <w:rFonts w:hint="eastAsia" w:ascii="宋体" w:hAnsi="宋体" w:eastAsia="宋体" w:cs="宋体"/>
          <w:sz w:val="24"/>
          <w:szCs w:val="24"/>
        </w:rPr>
        <w:t>第五章</w:t>
      </w:r>
      <w:r>
        <w:rPr>
          <w:rFonts w:ascii="宋体" w:hAnsi="宋体" w:eastAsia="宋体" w:cs="宋体"/>
          <w:sz w:val="24"/>
          <w:szCs w:val="24"/>
        </w:rPr>
        <w:t xml:space="preserve"> </w:t>
      </w:r>
      <w:r>
        <w:rPr>
          <w:rFonts w:hint="eastAsia" w:ascii="宋体" w:hAnsi="宋体" w:eastAsia="宋体" w:cs="宋体"/>
          <w:sz w:val="24"/>
          <w:szCs w:val="24"/>
        </w:rPr>
        <w:t>响应文件格式</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_Toc15805 \h </w:instrText>
      </w:r>
      <w:r>
        <w:rPr>
          <w:rFonts w:ascii="宋体" w:hAnsi="宋体" w:eastAsia="宋体" w:cs="宋体"/>
          <w:sz w:val="24"/>
          <w:szCs w:val="24"/>
        </w:rPr>
        <w:fldChar w:fldCharType="separate"/>
      </w:r>
      <w:r>
        <w:rPr>
          <w:rFonts w:ascii="宋体" w:hAnsi="宋体" w:eastAsia="宋体" w:cs="宋体"/>
          <w:sz w:val="24"/>
          <w:szCs w:val="24"/>
        </w:rPr>
        <w:t>45</w:t>
      </w:r>
      <w:r>
        <w:rPr>
          <w:rFonts w:ascii="宋体" w:hAnsi="宋体" w:eastAsia="宋体" w:cs="宋体"/>
          <w:sz w:val="24"/>
          <w:szCs w:val="24"/>
        </w:rPr>
        <w:fldChar w:fldCharType="end"/>
      </w:r>
      <w:r>
        <w:rPr>
          <w:rFonts w:ascii="宋体" w:hAnsi="宋体" w:eastAsia="宋体" w:cs="宋体"/>
          <w:sz w:val="24"/>
          <w:szCs w:val="24"/>
        </w:rPr>
        <w:fldChar w:fldCharType="end"/>
      </w:r>
    </w:p>
    <w:p w14:paraId="1C3B4380">
      <w:pPr>
        <w:pStyle w:val="30"/>
        <w:tabs>
          <w:tab w:val="right" w:leader="dot" w:pos="9184"/>
        </w:tabs>
        <w:spacing w:line="480" w:lineRule="auto"/>
        <w:rPr>
          <w:rFonts w:ascii="宋体" w:hAnsi="宋体" w:eastAsia="宋体" w:cs="Times New Roman"/>
          <w:sz w:val="24"/>
          <w:szCs w:val="24"/>
        </w:rPr>
      </w:pPr>
      <w:r>
        <w:fldChar w:fldCharType="begin"/>
      </w:r>
      <w:r>
        <w:instrText xml:space="preserve"> HYPERLINK \l "_Toc30715" </w:instrText>
      </w:r>
      <w:r>
        <w:fldChar w:fldCharType="separate"/>
      </w:r>
      <w:r>
        <w:rPr>
          <w:rFonts w:hint="eastAsia" w:ascii="宋体" w:hAnsi="宋体" w:eastAsia="宋体" w:cs="宋体"/>
          <w:sz w:val="24"/>
          <w:szCs w:val="24"/>
        </w:rPr>
        <w:t>第六章</w:t>
      </w:r>
      <w:r>
        <w:rPr>
          <w:rFonts w:ascii="宋体" w:hAnsi="宋体" w:eastAsia="宋体" w:cs="宋体"/>
          <w:sz w:val="24"/>
          <w:szCs w:val="24"/>
        </w:rPr>
        <w:t xml:space="preserve">  </w:t>
      </w:r>
      <w:r>
        <w:rPr>
          <w:rFonts w:hint="eastAsia" w:ascii="宋体" w:hAnsi="宋体" w:eastAsia="宋体" w:cs="宋体"/>
          <w:sz w:val="24"/>
          <w:szCs w:val="24"/>
        </w:rPr>
        <w:t>合同文本</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_Toc30715 \h </w:instrText>
      </w:r>
      <w:r>
        <w:rPr>
          <w:rFonts w:ascii="宋体" w:hAnsi="宋体" w:eastAsia="宋体" w:cs="宋体"/>
          <w:sz w:val="24"/>
          <w:szCs w:val="24"/>
        </w:rPr>
        <w:fldChar w:fldCharType="separate"/>
      </w:r>
      <w:r>
        <w:rPr>
          <w:rFonts w:ascii="宋体" w:hAnsi="宋体" w:eastAsia="宋体" w:cs="宋体"/>
          <w:sz w:val="24"/>
          <w:szCs w:val="24"/>
        </w:rPr>
        <w:t>73</w:t>
      </w:r>
      <w:r>
        <w:rPr>
          <w:rFonts w:ascii="宋体" w:hAnsi="宋体" w:eastAsia="宋体" w:cs="宋体"/>
          <w:sz w:val="24"/>
          <w:szCs w:val="24"/>
        </w:rPr>
        <w:fldChar w:fldCharType="end"/>
      </w:r>
      <w:r>
        <w:rPr>
          <w:rFonts w:ascii="宋体" w:hAnsi="宋体" w:eastAsia="宋体" w:cs="宋体"/>
          <w:sz w:val="24"/>
          <w:szCs w:val="24"/>
        </w:rPr>
        <w:fldChar w:fldCharType="end"/>
      </w:r>
    </w:p>
    <w:p w14:paraId="17ABA17F">
      <w:pPr>
        <w:pStyle w:val="30"/>
        <w:tabs>
          <w:tab w:val="right" w:leader="dot" w:pos="9184"/>
        </w:tabs>
        <w:spacing w:line="480" w:lineRule="auto"/>
        <w:rPr>
          <w:rFonts w:ascii="宋体" w:hAnsi="宋体" w:eastAsia="宋体" w:cs="Times New Roman"/>
          <w:sz w:val="24"/>
          <w:szCs w:val="24"/>
        </w:rPr>
      </w:pPr>
      <w:r>
        <w:fldChar w:fldCharType="begin"/>
      </w:r>
      <w:r>
        <w:instrText xml:space="preserve"> HYPERLINK \l "_Toc23813" </w:instrText>
      </w:r>
      <w:r>
        <w:fldChar w:fldCharType="separate"/>
      </w:r>
      <w:r>
        <w:rPr>
          <w:rFonts w:hint="eastAsia" w:ascii="宋体" w:hAnsi="宋体" w:eastAsia="宋体" w:cs="宋体"/>
          <w:sz w:val="24"/>
          <w:szCs w:val="24"/>
        </w:rPr>
        <w:t>第七章</w:t>
      </w:r>
      <w:r>
        <w:rPr>
          <w:rFonts w:ascii="宋体" w:hAnsi="宋体" w:eastAsia="宋体" w:cs="宋体"/>
          <w:sz w:val="24"/>
          <w:szCs w:val="24"/>
        </w:rPr>
        <w:t xml:space="preserve"> </w:t>
      </w:r>
      <w:r>
        <w:rPr>
          <w:rFonts w:hint="eastAsia" w:ascii="宋体" w:hAnsi="宋体" w:eastAsia="宋体" w:cs="宋体"/>
          <w:sz w:val="24"/>
          <w:szCs w:val="24"/>
        </w:rPr>
        <w:t>质疑、投诉材料格式</w:t>
      </w:r>
      <w:r>
        <w:rPr>
          <w:rFonts w:ascii="宋体" w:hAnsi="宋体" w:eastAsia="宋体" w:cs="Times New Roman"/>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_Toc23813 \h </w:instrText>
      </w:r>
      <w:r>
        <w:rPr>
          <w:rFonts w:ascii="宋体" w:hAnsi="宋体" w:eastAsia="宋体" w:cs="宋体"/>
          <w:sz w:val="24"/>
          <w:szCs w:val="24"/>
        </w:rPr>
        <w:fldChar w:fldCharType="separate"/>
      </w:r>
      <w:r>
        <w:rPr>
          <w:rFonts w:ascii="宋体" w:hAnsi="宋体" w:eastAsia="宋体" w:cs="宋体"/>
          <w:sz w:val="24"/>
          <w:szCs w:val="24"/>
        </w:rPr>
        <w:t>137</w:t>
      </w:r>
      <w:r>
        <w:rPr>
          <w:rFonts w:ascii="宋体" w:hAnsi="宋体" w:eastAsia="宋体" w:cs="宋体"/>
          <w:sz w:val="24"/>
          <w:szCs w:val="24"/>
        </w:rPr>
        <w:fldChar w:fldCharType="end"/>
      </w:r>
      <w:r>
        <w:rPr>
          <w:rFonts w:ascii="宋体" w:hAnsi="宋体" w:eastAsia="宋体" w:cs="宋体"/>
          <w:sz w:val="24"/>
          <w:szCs w:val="24"/>
        </w:rPr>
        <w:fldChar w:fldCharType="end"/>
      </w:r>
    </w:p>
    <w:p w14:paraId="53CEB2D0">
      <w:pPr>
        <w:pStyle w:val="99"/>
        <w:spacing w:line="480" w:lineRule="auto"/>
        <w:ind w:firstLine="0" w:firstLineChars="0"/>
        <w:rPr>
          <w:rFonts w:ascii="宋体"/>
          <w:b/>
          <w:bCs/>
          <w:sz w:val="32"/>
          <w:szCs w:val="32"/>
        </w:rPr>
        <w:sectPr>
          <w:footerReference r:id="rId3" w:type="default"/>
          <w:pgSz w:w="11906" w:h="16838"/>
          <w:pgMar w:top="1247" w:right="1361" w:bottom="1247" w:left="1361" w:header="851" w:footer="992" w:gutter="0"/>
          <w:pgNumType w:start="0"/>
          <w:cols w:space="720" w:num="1"/>
          <w:titlePg/>
          <w:docGrid w:type="lines" w:linePitch="312" w:charSpace="0"/>
        </w:sectPr>
      </w:pPr>
      <w:r>
        <w:rPr>
          <w:rFonts w:ascii="宋体" w:hAnsi="宋体" w:cs="宋体"/>
          <w:b/>
          <w:bCs/>
          <w:sz w:val="24"/>
          <w:szCs w:val="24"/>
        </w:rPr>
        <w:fldChar w:fldCharType="end"/>
      </w:r>
    </w:p>
    <w:p w14:paraId="4EECE9DB">
      <w:pPr>
        <w:pStyle w:val="2"/>
      </w:pPr>
      <w:bookmarkStart w:id="0" w:name="_Toc394"/>
      <w:r>
        <w:rPr>
          <w:rFonts w:hint="eastAsia" w:cs="宋体"/>
        </w:rPr>
        <w:t>第一章</w:t>
      </w:r>
      <w:r>
        <w:t xml:space="preserve"> </w:t>
      </w:r>
      <w:r>
        <w:rPr>
          <w:rFonts w:hint="eastAsia" w:cs="宋体"/>
        </w:rPr>
        <w:t>竞争性磋商公告</w:t>
      </w:r>
      <w:bookmarkEnd w:id="0"/>
      <w:bookmarkStart w:id="1" w:name="_Toc44229878"/>
      <w:bookmarkStart w:id="2" w:name="_Toc35393629"/>
      <w:bookmarkStart w:id="3" w:name="_Toc28359089"/>
      <w:bookmarkStart w:id="4" w:name="_Toc35393798"/>
      <w:bookmarkStart w:id="5" w:name="_Toc28359012"/>
      <w:bookmarkStart w:id="6" w:name="_Toc28359081"/>
      <w:bookmarkStart w:id="7" w:name="_Toc35393623"/>
      <w:bookmarkStart w:id="8" w:name="_Toc28359004"/>
      <w:bookmarkStart w:id="9" w:name="_Toc35393792"/>
    </w:p>
    <w:p w14:paraId="0D43DDB9">
      <w:pPr>
        <w:spacing w:line="460" w:lineRule="exact"/>
        <w:jc w:val="center"/>
        <w:rPr>
          <w:rFonts w:ascii="宋体" w:hAnsi="宋体" w:eastAsia="宋体" w:cs="Times New Roman"/>
          <w:b/>
          <w:bCs/>
          <w:sz w:val="28"/>
          <w:szCs w:val="28"/>
        </w:rPr>
      </w:pPr>
      <w:r>
        <w:rPr>
          <w:rFonts w:hint="eastAsia" w:ascii="宋体" w:hAnsi="宋体" w:eastAsia="宋体" w:cs="宋体"/>
          <w:b/>
          <w:bCs/>
          <w:sz w:val="28"/>
          <w:szCs w:val="28"/>
        </w:rPr>
        <w:t>亚山镇清湖村泵站灌区改造工程（项目编号：</w:t>
      </w:r>
      <w:r>
        <w:rPr>
          <w:rFonts w:ascii="宋体" w:hAnsi="宋体" w:eastAsia="宋体" w:cs="宋体"/>
          <w:b/>
          <w:bCs/>
          <w:sz w:val="28"/>
          <w:szCs w:val="28"/>
        </w:rPr>
        <w:t>YLZC2026-C2-230034-LRGL</w:t>
      </w:r>
      <w:r>
        <w:rPr>
          <w:rFonts w:hint="eastAsia" w:ascii="宋体" w:hAnsi="宋体" w:eastAsia="宋体" w:cs="宋体"/>
          <w:b/>
          <w:bCs/>
          <w:sz w:val="28"/>
          <w:szCs w:val="28"/>
        </w:rPr>
        <w:t>）竞争性磋商公告</w:t>
      </w:r>
    </w:p>
    <w:p w14:paraId="18522B0E">
      <w:pPr>
        <w:spacing w:line="460" w:lineRule="exact"/>
        <w:jc w:val="center"/>
        <w:rPr>
          <w:rFonts w:ascii="宋体" w:hAnsi="宋体" w:eastAsia="宋体" w:cs="Times New Roman"/>
          <w:b/>
          <w:bCs/>
          <w:sz w:val="28"/>
          <w:szCs w:val="28"/>
        </w:rPr>
      </w:pPr>
      <w:r>
        <mc:AlternateContent>
          <mc:Choice Requires="wps">
            <w:drawing>
              <wp:anchor distT="0" distB="0" distL="114300" distR="114300" simplePos="0" relativeHeight="251659264" behindDoc="0" locked="0" layoutInCell="1" allowOverlap="1">
                <wp:simplePos x="0" y="0"/>
                <wp:positionH relativeFrom="column">
                  <wp:posOffset>-255905</wp:posOffset>
                </wp:positionH>
                <wp:positionV relativeFrom="paragraph">
                  <wp:posOffset>119380</wp:posOffset>
                </wp:positionV>
                <wp:extent cx="5970270" cy="1431925"/>
                <wp:effectExtent l="0" t="0" r="11430" b="15875"/>
                <wp:wrapNone/>
                <wp:docPr id="1" name="文本框 6"/>
                <wp:cNvGraphicFramePr/>
                <a:graphic xmlns:a="http://schemas.openxmlformats.org/drawingml/2006/main">
                  <a:graphicData uri="http://schemas.microsoft.com/office/word/2010/wordprocessingShape">
                    <wps:wsp>
                      <wps:cNvSpPr txBox="1"/>
                      <wps:spPr>
                        <a:xfrm>
                          <a:off x="0" y="0"/>
                          <a:ext cx="5970270" cy="1431925"/>
                        </a:xfrm>
                        <a:prstGeom prst="rect">
                          <a:avLst/>
                        </a:prstGeom>
                        <a:solidFill>
                          <a:srgbClr val="FFFFFF"/>
                        </a:solidFill>
                        <a:ln>
                          <a:noFill/>
                        </a:ln>
                      </wps:spPr>
                      <wps:txbx>
                        <w:txbxContent>
                          <w:p w14:paraId="0202FF7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color w:val="000000"/>
                              </w:rPr>
                            </w:pPr>
                            <w:r>
                              <w:rPr>
                                <w:rFonts w:hint="eastAsia" w:ascii="宋体" w:hAnsi="宋体" w:eastAsia="宋体" w:cs="宋体"/>
                                <w:color w:val="000000"/>
                              </w:rPr>
                              <w:t>项目概况</w:t>
                            </w:r>
                          </w:p>
                          <w:p w14:paraId="1D69772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rPr>
                            </w:pPr>
                            <w:r>
                              <w:rPr>
                                <w:rFonts w:hint="eastAsia" w:ascii="宋体" w:hAnsi="宋体" w:eastAsia="宋体" w:cs="宋体"/>
                                <w:color w:val="000000"/>
                                <w:u w:val="single"/>
                              </w:rPr>
                              <w:t>亚山镇清湖村泵站灌区改造工程</w:t>
                            </w:r>
                            <w:r>
                              <w:rPr>
                                <w:rFonts w:hint="eastAsia" w:ascii="宋体" w:hAnsi="宋体" w:eastAsia="宋体" w:cs="宋体"/>
                                <w:color w:val="000000"/>
                              </w:rPr>
                              <w:t>的潜在供应商应在广西政府采购云平台（</w:t>
                            </w:r>
                            <w:r>
                              <w:rPr>
                                <w:rFonts w:ascii="宋体" w:hAnsi="宋体" w:eastAsia="宋体" w:cs="宋体"/>
                                <w:color w:val="000000"/>
                              </w:rPr>
                              <w:t>https://www.gcy.zfc</w:t>
                            </w:r>
                            <w:r>
                              <w:rPr>
                                <w:rFonts w:ascii="宋体" w:hAnsi="宋体" w:eastAsia="宋体" w:cs="宋体"/>
                              </w:rPr>
                              <w:t>g.gxzf.gov.cn/</w:t>
                            </w:r>
                            <w:r>
                              <w:rPr>
                                <w:rFonts w:hint="eastAsia" w:ascii="宋体" w:hAnsi="宋体" w:eastAsia="宋体" w:cs="宋体"/>
                              </w:rPr>
                              <w:t>）</w:t>
                            </w:r>
                            <w:r>
                              <w:rPr>
                                <w:rFonts w:hint="eastAsia" w:ascii="宋体" w:hAnsi="宋体" w:eastAsia="宋体" w:cs="宋体"/>
                                <w:snapToGrid w:val="0"/>
                              </w:rPr>
                              <w:t>获取（下载）</w:t>
                            </w:r>
                            <w:r>
                              <w:rPr>
                                <w:rFonts w:hint="eastAsia" w:ascii="宋体" w:hAnsi="宋体" w:eastAsia="宋体" w:cs="宋体"/>
                              </w:rPr>
                              <w:t>获取竞争性磋商文件，并于</w:t>
                            </w:r>
                            <w:r>
                              <w:rPr>
                                <w:rFonts w:ascii="宋体" w:hAnsi="宋体" w:eastAsia="宋体" w:cs="宋体"/>
                                <w:u w:val="single"/>
                              </w:rPr>
                              <w:t>2026</w:t>
                            </w:r>
                            <w:r>
                              <w:rPr>
                                <w:rFonts w:hint="eastAsia" w:ascii="宋体" w:hAnsi="宋体" w:eastAsia="宋体" w:cs="宋体"/>
                                <w:u w:val="single"/>
                              </w:rPr>
                              <w:t>年</w:t>
                            </w:r>
                            <w:r>
                              <w:rPr>
                                <w:rFonts w:ascii="宋体" w:hAnsi="宋体" w:eastAsia="宋体" w:cs="宋体"/>
                                <w:u w:val="single"/>
                              </w:rPr>
                              <w:t>4</w:t>
                            </w:r>
                            <w:r>
                              <w:rPr>
                                <w:rFonts w:hint="eastAsia" w:ascii="宋体" w:hAnsi="宋体" w:eastAsia="宋体" w:cs="宋体"/>
                                <w:u w:val="single"/>
                              </w:rPr>
                              <w:t>月</w:t>
                            </w:r>
                            <w:bookmarkStart w:id="2563" w:name="PO_3000001868_PM015_2"/>
                            <w:r>
                              <w:rPr>
                                <w:rFonts w:ascii="宋体" w:hAnsi="宋体" w:eastAsia="宋体" w:cs="宋体"/>
                                <w:u w:val="single"/>
                              </w:rPr>
                              <w:t>3</w:t>
                            </w:r>
                            <w:r>
                              <w:rPr>
                                <w:rFonts w:hint="eastAsia" w:ascii="宋体" w:hAnsi="宋体" w:eastAsia="宋体" w:cs="宋体"/>
                                <w:u w:val="single"/>
                              </w:rPr>
                              <w:t>日</w:t>
                            </w:r>
                            <w:r>
                              <w:rPr>
                                <w:rFonts w:ascii="宋体" w:hAnsi="宋体" w:eastAsia="宋体" w:cs="宋体"/>
                                <w:u w:val="single"/>
                              </w:rPr>
                              <w:t>09:00:00</w:t>
                            </w:r>
                            <w:bookmarkEnd w:id="2563"/>
                            <w:r>
                              <w:rPr>
                                <w:rFonts w:hint="eastAsia" w:ascii="宋体" w:hAnsi="宋体" w:eastAsia="宋体" w:cs="宋体"/>
                              </w:rPr>
                              <w:t>（北京时间）前提交响应文件。</w:t>
                            </w:r>
                          </w:p>
                        </w:txbxContent>
                      </wps:txbx>
                      <wps:bodyPr upright="1"/>
                    </wps:wsp>
                  </a:graphicData>
                </a:graphic>
              </wp:anchor>
            </w:drawing>
          </mc:Choice>
          <mc:Fallback>
            <w:pict>
              <v:shape id="文本框 6" o:spid="_x0000_s1026" o:spt="202" type="#_x0000_t202" style="position:absolute;left:0pt;margin-left:-20.15pt;margin-top:9.4pt;height:112.75pt;width:470.1pt;z-index:251659264;mso-width-relative:page;mso-height-relative:page;" fillcolor="#FFFFFF" filled="t" stroked="f" coordsize="21600,21600" o:gfxdata="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giXxG2AAAAAoBAAAPAAAAAAAAAAEAIAAAACIAAABkcnMvZG93bnJldi54&#10;bWxQSwECFAAUAAAACACHTuJAA/OcQMEBAAB4AwAADgAAAAAAAAABACAAAAAnAQAAZHJzL2Uyb0Rv&#10;Yy54bWxQSwUGAAAAAAYABgBZAQAAWgUAAAAA&#10;">
                <v:fill on="t" focussize="0,0"/>
                <v:stroke on="f"/>
                <v:imagedata o:title=""/>
                <o:lock v:ext="edit" aspectratio="f"/>
                <v:textbox>
                  <w:txbxContent>
                    <w:p w14:paraId="0202FF7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color w:val="000000"/>
                        </w:rPr>
                      </w:pPr>
                      <w:r>
                        <w:rPr>
                          <w:rFonts w:hint="eastAsia" w:ascii="宋体" w:hAnsi="宋体" w:eastAsia="宋体" w:cs="宋体"/>
                          <w:color w:val="000000"/>
                        </w:rPr>
                        <w:t>项目概况</w:t>
                      </w:r>
                    </w:p>
                    <w:p w14:paraId="1D69772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rPr>
                      </w:pPr>
                      <w:r>
                        <w:rPr>
                          <w:rFonts w:hint="eastAsia" w:ascii="宋体" w:hAnsi="宋体" w:eastAsia="宋体" w:cs="宋体"/>
                          <w:color w:val="000000"/>
                          <w:u w:val="single"/>
                        </w:rPr>
                        <w:t>亚山镇清湖村泵站灌区改造工程</w:t>
                      </w:r>
                      <w:r>
                        <w:rPr>
                          <w:rFonts w:hint="eastAsia" w:ascii="宋体" w:hAnsi="宋体" w:eastAsia="宋体" w:cs="宋体"/>
                          <w:color w:val="000000"/>
                        </w:rPr>
                        <w:t>的潜在供应商应在广西政府采购云平台（</w:t>
                      </w:r>
                      <w:r>
                        <w:rPr>
                          <w:rFonts w:ascii="宋体" w:hAnsi="宋体" w:eastAsia="宋体" w:cs="宋体"/>
                          <w:color w:val="000000"/>
                        </w:rPr>
                        <w:t>https://www.gcy.zfc</w:t>
                      </w:r>
                      <w:r>
                        <w:rPr>
                          <w:rFonts w:ascii="宋体" w:hAnsi="宋体" w:eastAsia="宋体" w:cs="宋体"/>
                        </w:rPr>
                        <w:t>g.gxzf.gov.cn/</w:t>
                      </w:r>
                      <w:r>
                        <w:rPr>
                          <w:rFonts w:hint="eastAsia" w:ascii="宋体" w:hAnsi="宋体" w:eastAsia="宋体" w:cs="宋体"/>
                        </w:rPr>
                        <w:t>）</w:t>
                      </w:r>
                      <w:r>
                        <w:rPr>
                          <w:rFonts w:hint="eastAsia" w:ascii="宋体" w:hAnsi="宋体" w:eastAsia="宋体" w:cs="宋体"/>
                          <w:snapToGrid w:val="0"/>
                        </w:rPr>
                        <w:t>获取（下载）</w:t>
                      </w:r>
                      <w:r>
                        <w:rPr>
                          <w:rFonts w:hint="eastAsia" w:ascii="宋体" w:hAnsi="宋体" w:eastAsia="宋体" w:cs="宋体"/>
                        </w:rPr>
                        <w:t>获取竞争性磋商文件，并于</w:t>
                      </w:r>
                      <w:r>
                        <w:rPr>
                          <w:rFonts w:ascii="宋体" w:hAnsi="宋体" w:eastAsia="宋体" w:cs="宋体"/>
                          <w:u w:val="single"/>
                        </w:rPr>
                        <w:t>2026</w:t>
                      </w:r>
                      <w:r>
                        <w:rPr>
                          <w:rFonts w:hint="eastAsia" w:ascii="宋体" w:hAnsi="宋体" w:eastAsia="宋体" w:cs="宋体"/>
                          <w:u w:val="single"/>
                        </w:rPr>
                        <w:t>年</w:t>
                      </w:r>
                      <w:r>
                        <w:rPr>
                          <w:rFonts w:ascii="宋体" w:hAnsi="宋体" w:eastAsia="宋体" w:cs="宋体"/>
                          <w:u w:val="single"/>
                        </w:rPr>
                        <w:t>4</w:t>
                      </w:r>
                      <w:r>
                        <w:rPr>
                          <w:rFonts w:hint="eastAsia" w:ascii="宋体" w:hAnsi="宋体" w:eastAsia="宋体" w:cs="宋体"/>
                          <w:u w:val="single"/>
                        </w:rPr>
                        <w:t>月</w:t>
                      </w:r>
                      <w:bookmarkStart w:id="2563" w:name="PO_3000001868_PM015_2"/>
                      <w:r>
                        <w:rPr>
                          <w:rFonts w:ascii="宋体" w:hAnsi="宋体" w:eastAsia="宋体" w:cs="宋体"/>
                          <w:u w:val="single"/>
                        </w:rPr>
                        <w:t>3</w:t>
                      </w:r>
                      <w:r>
                        <w:rPr>
                          <w:rFonts w:hint="eastAsia" w:ascii="宋体" w:hAnsi="宋体" w:eastAsia="宋体" w:cs="宋体"/>
                          <w:u w:val="single"/>
                        </w:rPr>
                        <w:t>日</w:t>
                      </w:r>
                      <w:r>
                        <w:rPr>
                          <w:rFonts w:ascii="宋体" w:hAnsi="宋体" w:eastAsia="宋体" w:cs="宋体"/>
                          <w:u w:val="single"/>
                        </w:rPr>
                        <w:t>09:00:00</w:t>
                      </w:r>
                      <w:bookmarkEnd w:id="2563"/>
                      <w:r>
                        <w:rPr>
                          <w:rFonts w:hint="eastAsia" w:ascii="宋体" w:hAnsi="宋体" w:eastAsia="宋体" w:cs="宋体"/>
                        </w:rPr>
                        <w:t>（北京时间）前提交响应文件。</w:t>
                      </w:r>
                    </w:p>
                  </w:txbxContent>
                </v:textbox>
              </v:shape>
            </w:pict>
          </mc:Fallback>
        </mc:AlternateContent>
      </w:r>
    </w:p>
    <w:p w14:paraId="3D14618E">
      <w:pPr>
        <w:spacing w:line="480" w:lineRule="exact"/>
        <w:jc w:val="center"/>
        <w:rPr>
          <w:rFonts w:ascii="宋体" w:hAnsi="宋体" w:eastAsia="宋体" w:cs="Times New Roman"/>
          <w:b/>
          <w:bCs/>
        </w:rPr>
      </w:pPr>
    </w:p>
    <w:p w14:paraId="39A9AB51">
      <w:pPr>
        <w:spacing w:line="480" w:lineRule="exact"/>
        <w:jc w:val="center"/>
        <w:rPr>
          <w:rFonts w:ascii="宋体" w:hAnsi="宋体" w:eastAsia="宋体" w:cs="Times New Roman"/>
          <w:b/>
          <w:bCs/>
        </w:rPr>
      </w:pPr>
    </w:p>
    <w:p w14:paraId="3649DD8E">
      <w:pPr>
        <w:spacing w:line="480" w:lineRule="exact"/>
        <w:jc w:val="center"/>
        <w:rPr>
          <w:rFonts w:ascii="宋体" w:hAnsi="宋体" w:eastAsia="宋体" w:cs="Times New Roman"/>
          <w:b/>
          <w:bCs/>
        </w:rPr>
      </w:pPr>
    </w:p>
    <w:p w14:paraId="6FBF6009">
      <w:pPr>
        <w:spacing w:line="480" w:lineRule="exact"/>
        <w:jc w:val="center"/>
        <w:rPr>
          <w:rFonts w:ascii="宋体" w:hAnsi="宋体" w:eastAsia="宋体" w:cs="Times New Roman"/>
          <w:b/>
          <w:bCs/>
        </w:rPr>
      </w:pPr>
    </w:p>
    <w:p w14:paraId="4F5C75E0">
      <w:pPr>
        <w:spacing w:line="460" w:lineRule="exact"/>
        <w:ind w:firstLine="422" w:firstLineChars="200"/>
        <w:rPr>
          <w:rFonts w:ascii="宋体" w:hAnsi="宋体" w:eastAsia="宋体" w:cs="Times New Roman"/>
          <w:b/>
          <w:bCs/>
        </w:rPr>
      </w:pPr>
      <w:r>
        <w:rPr>
          <w:rFonts w:hint="eastAsia" w:ascii="宋体" w:hAnsi="宋体" w:eastAsia="宋体" w:cs="宋体"/>
          <w:b/>
          <w:bCs/>
        </w:rPr>
        <w:t>一、项目基本情况</w:t>
      </w:r>
      <w:bookmarkEnd w:id="1"/>
      <w:bookmarkEnd w:id="2"/>
      <w:bookmarkEnd w:id="3"/>
      <w:bookmarkEnd w:id="4"/>
      <w:bookmarkEnd w:id="5"/>
    </w:p>
    <w:p w14:paraId="308F2B1F">
      <w:pPr>
        <w:spacing w:line="460" w:lineRule="exact"/>
        <w:ind w:firstLine="420" w:firstLineChars="200"/>
        <w:rPr>
          <w:rFonts w:ascii="宋体" w:hAnsi="宋体" w:eastAsia="宋体" w:cs="宋体"/>
        </w:rPr>
      </w:pPr>
      <w:r>
        <w:rPr>
          <w:rFonts w:ascii="宋体" w:hAnsi="宋体" w:eastAsia="宋体" w:cs="宋体"/>
        </w:rPr>
        <w:t>1.</w:t>
      </w:r>
      <w:r>
        <w:rPr>
          <w:rFonts w:hint="eastAsia" w:ascii="宋体" w:hAnsi="宋体" w:eastAsia="宋体" w:cs="宋体"/>
        </w:rPr>
        <w:t>项目编号：</w:t>
      </w:r>
      <w:r>
        <w:rPr>
          <w:rFonts w:ascii="宋体" w:hAnsi="宋体" w:eastAsia="宋体" w:cs="宋体"/>
        </w:rPr>
        <w:t>YLZC2026-C2-230034-LRGL</w:t>
      </w:r>
    </w:p>
    <w:p w14:paraId="69B11954">
      <w:pPr>
        <w:spacing w:line="460" w:lineRule="exact"/>
        <w:ind w:firstLine="420" w:firstLineChars="200"/>
        <w:rPr>
          <w:rFonts w:ascii="宋体" w:hAnsi="宋体" w:eastAsia="宋体" w:cs="Times New Roman"/>
          <w:u w:val="single"/>
        </w:rPr>
      </w:pPr>
      <w:r>
        <w:rPr>
          <w:rFonts w:ascii="宋体" w:hAnsi="宋体" w:eastAsia="宋体" w:cs="宋体"/>
        </w:rPr>
        <w:t>2.</w:t>
      </w:r>
      <w:r>
        <w:rPr>
          <w:rFonts w:hint="eastAsia" w:ascii="宋体" w:hAnsi="宋体" w:eastAsia="宋体" w:cs="宋体"/>
        </w:rPr>
        <w:t>项目名称：亚山镇清湖村泵站灌区改造工程</w:t>
      </w:r>
    </w:p>
    <w:p w14:paraId="65835E61">
      <w:pPr>
        <w:spacing w:line="460" w:lineRule="exact"/>
        <w:ind w:firstLine="420" w:firstLineChars="200"/>
        <w:rPr>
          <w:rFonts w:ascii="宋体" w:hAnsi="宋体" w:eastAsia="宋体" w:cs="Times New Roman"/>
        </w:rPr>
      </w:pPr>
      <w:r>
        <w:rPr>
          <w:rFonts w:ascii="宋体" w:hAnsi="宋体" w:eastAsia="宋体" w:cs="宋体"/>
        </w:rPr>
        <w:t>3.</w:t>
      </w:r>
      <w:r>
        <w:rPr>
          <w:rFonts w:hint="eastAsia" w:ascii="宋体" w:hAnsi="宋体" w:eastAsia="宋体" w:cs="宋体"/>
        </w:rPr>
        <w:t>采购方式：竞争性磋商</w:t>
      </w:r>
    </w:p>
    <w:p w14:paraId="7CB4AC0B">
      <w:pPr>
        <w:spacing w:line="460" w:lineRule="exact"/>
        <w:ind w:firstLine="420" w:firstLineChars="200"/>
        <w:rPr>
          <w:rFonts w:ascii="宋体" w:hAnsi="宋体" w:eastAsia="宋体" w:cs="Times New Roman"/>
        </w:rPr>
      </w:pPr>
      <w:r>
        <w:rPr>
          <w:rFonts w:ascii="宋体" w:hAnsi="宋体" w:eastAsia="宋体" w:cs="宋体"/>
        </w:rPr>
        <w:t>4.</w:t>
      </w:r>
      <w:r>
        <w:rPr>
          <w:rFonts w:hint="eastAsia" w:ascii="宋体" w:hAnsi="宋体" w:eastAsia="宋体" w:cs="宋体"/>
        </w:rPr>
        <w:t>预算金额：</w:t>
      </w:r>
      <w:r>
        <w:rPr>
          <w:rFonts w:ascii="宋体" w:hAnsi="宋体" w:eastAsia="宋体" w:cs="宋体"/>
        </w:rPr>
        <w:t>666700.00</w:t>
      </w:r>
      <w:r>
        <w:rPr>
          <w:rFonts w:hint="eastAsia" w:ascii="宋体" w:hAnsi="宋体" w:eastAsia="宋体" w:cs="宋体"/>
        </w:rPr>
        <w:t>元</w:t>
      </w:r>
    </w:p>
    <w:p w14:paraId="75AE2BDA">
      <w:pPr>
        <w:spacing w:line="460" w:lineRule="exact"/>
        <w:ind w:firstLine="420" w:firstLineChars="200"/>
        <w:rPr>
          <w:rFonts w:ascii="宋体" w:hAnsi="宋体" w:eastAsia="宋体" w:cs="宋体"/>
        </w:rPr>
      </w:pPr>
      <w:r>
        <w:rPr>
          <w:rFonts w:ascii="宋体" w:hAnsi="宋体" w:eastAsia="宋体" w:cs="宋体"/>
        </w:rPr>
        <w:t>5.</w:t>
      </w:r>
      <w:r>
        <w:rPr>
          <w:rFonts w:hint="eastAsia" w:ascii="宋体" w:hAnsi="宋体" w:eastAsia="宋体" w:cs="宋体"/>
        </w:rPr>
        <w:t>采购需求：</w:t>
      </w:r>
      <w:r>
        <w:rPr>
          <w:rFonts w:ascii="宋体" w:hAnsi="宋体" w:eastAsia="宋体" w:cs="宋体"/>
        </w:rPr>
        <w:t xml:space="preserve"> </w:t>
      </w:r>
      <w:bookmarkStart w:id="10" w:name="PO_3000001868_PM004"/>
    </w:p>
    <w:p w14:paraId="713AF518">
      <w:pPr>
        <w:spacing w:line="460" w:lineRule="exact"/>
        <w:ind w:firstLine="420" w:firstLineChars="200"/>
        <w:rPr>
          <w:rFonts w:ascii="宋体" w:hAnsi="宋体" w:eastAsia="宋体" w:cs="Times New Roman"/>
        </w:rPr>
      </w:pPr>
      <w:r>
        <w:rPr>
          <w:rFonts w:hint="eastAsia" w:ascii="宋体" w:hAnsi="宋体" w:eastAsia="宋体" w:cs="宋体"/>
        </w:rPr>
        <w:t>标项名称</w:t>
      </w:r>
      <w:r>
        <w:rPr>
          <w:rFonts w:ascii="宋体" w:hAnsi="宋体" w:eastAsia="宋体" w:cs="宋体"/>
        </w:rPr>
        <w:t>:</w:t>
      </w:r>
      <w:r>
        <w:rPr>
          <w:rFonts w:hint="eastAsia" w:ascii="宋体" w:hAnsi="宋体" w:eastAsia="宋体" w:cs="宋体"/>
        </w:rPr>
        <w:t>亚山镇清湖村泵站灌区改造工程</w:t>
      </w:r>
    </w:p>
    <w:p w14:paraId="49C18B8F">
      <w:pPr>
        <w:spacing w:line="460" w:lineRule="exact"/>
        <w:ind w:firstLine="420" w:firstLineChars="200"/>
        <w:rPr>
          <w:rFonts w:ascii="宋体" w:hAnsi="宋体" w:eastAsia="宋体" w:cs="宋体"/>
        </w:rPr>
      </w:pPr>
      <w:r>
        <w:rPr>
          <w:rFonts w:hint="eastAsia" w:ascii="宋体" w:hAnsi="宋体" w:eastAsia="宋体" w:cs="宋体"/>
        </w:rPr>
        <w:t>数量</w:t>
      </w:r>
      <w:r>
        <w:rPr>
          <w:rFonts w:ascii="宋体" w:hAnsi="宋体" w:eastAsia="宋体" w:cs="宋体"/>
        </w:rPr>
        <w:t>:1</w:t>
      </w:r>
    </w:p>
    <w:p w14:paraId="771BE93A">
      <w:pPr>
        <w:spacing w:line="460" w:lineRule="exact"/>
        <w:ind w:firstLine="420" w:firstLineChars="200"/>
        <w:rPr>
          <w:rFonts w:ascii="宋体" w:hAnsi="宋体" w:eastAsia="宋体" w:cs="宋体"/>
        </w:rPr>
      </w:pPr>
      <w:r>
        <w:rPr>
          <w:rFonts w:hint="eastAsia" w:ascii="宋体" w:hAnsi="宋体" w:eastAsia="宋体" w:cs="宋体"/>
        </w:rPr>
        <w:t>预算金额（元）</w:t>
      </w:r>
      <w:r>
        <w:rPr>
          <w:rFonts w:ascii="宋体" w:hAnsi="宋体" w:eastAsia="宋体" w:cs="宋体"/>
        </w:rPr>
        <w:t>:666700.00</w:t>
      </w:r>
    </w:p>
    <w:p w14:paraId="26E9D11E">
      <w:pPr>
        <w:spacing w:line="460" w:lineRule="exact"/>
        <w:ind w:firstLine="420" w:firstLineChars="200"/>
        <w:rPr>
          <w:rFonts w:ascii="宋体" w:hAnsi="宋体" w:eastAsia="宋体" w:cs="Times New Roman"/>
        </w:rPr>
      </w:pPr>
      <w:r>
        <w:rPr>
          <w:rFonts w:hint="eastAsia" w:ascii="宋体" w:hAnsi="宋体" w:eastAsia="宋体" w:cs="宋体"/>
        </w:rPr>
        <w:t>简要规格描述或项目基本概况介绍、用途：取水井、抽水设备、监控设备、输配管网及附属建筑物安装等，图纸及工程量清单包括的全部内容。</w:t>
      </w:r>
    </w:p>
    <w:p w14:paraId="1E627B83">
      <w:pPr>
        <w:spacing w:line="460" w:lineRule="exact"/>
        <w:ind w:firstLine="420" w:firstLineChars="200"/>
        <w:rPr>
          <w:rFonts w:ascii="宋体" w:hAnsi="宋体" w:eastAsia="宋体" w:cs="宋体"/>
        </w:rPr>
      </w:pPr>
      <w:r>
        <w:rPr>
          <w:rFonts w:hint="eastAsia" w:ascii="宋体" w:hAnsi="宋体" w:eastAsia="宋体" w:cs="宋体"/>
        </w:rPr>
        <w:t>最高限价（如有）：</w:t>
      </w:r>
      <w:r>
        <w:rPr>
          <w:rFonts w:ascii="宋体" w:hAnsi="宋体" w:eastAsia="宋体" w:cs="宋体"/>
        </w:rPr>
        <w:t>666700.00</w:t>
      </w:r>
    </w:p>
    <w:p w14:paraId="36237C9B">
      <w:pPr>
        <w:spacing w:line="460" w:lineRule="exact"/>
        <w:ind w:firstLine="420" w:firstLineChars="200"/>
        <w:rPr>
          <w:rFonts w:ascii="宋体" w:hAnsi="宋体" w:eastAsia="宋体" w:cs="Times New Roman"/>
        </w:rPr>
      </w:pPr>
      <w:r>
        <w:rPr>
          <w:rFonts w:hint="eastAsia" w:ascii="宋体" w:hAnsi="宋体" w:eastAsia="宋体" w:cs="宋体"/>
        </w:rPr>
        <w:t>合同</w:t>
      </w:r>
      <w:r>
        <w:rPr>
          <w:rFonts w:hint="eastAsia" w:ascii="宋体" w:hAnsi="宋体" w:eastAsia="宋体" w:cs="宋体"/>
          <w:color w:val="auto"/>
        </w:rPr>
        <w:t>履约期限：</w:t>
      </w:r>
      <w:r>
        <w:rPr>
          <w:rFonts w:ascii="宋体" w:hAnsi="宋体" w:eastAsia="宋体" w:cs="宋体"/>
          <w:color w:val="auto"/>
        </w:rPr>
        <w:t>180</w:t>
      </w:r>
      <w:r>
        <w:rPr>
          <w:rFonts w:hint="eastAsia" w:ascii="宋体" w:hAnsi="宋体" w:eastAsia="宋体" w:cs="宋体"/>
          <w:color w:val="auto"/>
        </w:rPr>
        <w:t>日历天。</w:t>
      </w:r>
    </w:p>
    <w:p w14:paraId="0EA92325">
      <w:pPr>
        <w:spacing w:line="460" w:lineRule="exact"/>
        <w:ind w:firstLine="420" w:firstLineChars="200"/>
        <w:rPr>
          <w:rFonts w:ascii="宋体" w:hAnsi="宋体" w:eastAsia="宋体" w:cs="Times New Roman"/>
        </w:rPr>
      </w:pPr>
      <w:r>
        <w:rPr>
          <w:rFonts w:hint="eastAsia" w:ascii="宋体" w:hAnsi="宋体" w:eastAsia="宋体" w:cs="宋体"/>
        </w:rPr>
        <w:t>本标项（否）接受联合体投标</w:t>
      </w:r>
    </w:p>
    <w:p w14:paraId="536BC719">
      <w:pPr>
        <w:spacing w:line="460" w:lineRule="exact"/>
        <w:ind w:firstLine="420" w:firstLineChars="200"/>
        <w:rPr>
          <w:rFonts w:ascii="宋体" w:hAnsi="宋体" w:eastAsia="宋体" w:cs="宋体"/>
        </w:rPr>
      </w:pPr>
      <w:r>
        <w:rPr>
          <w:rFonts w:hint="eastAsia" w:ascii="宋体" w:hAnsi="宋体" w:eastAsia="宋体" w:cs="宋体"/>
        </w:rPr>
        <w:t>备注：</w:t>
      </w:r>
      <w:r>
        <w:rPr>
          <w:rFonts w:ascii="宋体" w:hAnsi="宋体" w:eastAsia="宋体" w:cs="宋体"/>
        </w:rPr>
        <w:t>/</w:t>
      </w:r>
    </w:p>
    <w:bookmarkEnd w:id="10"/>
    <w:p w14:paraId="098BB38A">
      <w:pPr>
        <w:spacing w:line="460" w:lineRule="exact"/>
        <w:ind w:firstLine="413" w:firstLineChars="196"/>
        <w:rPr>
          <w:rFonts w:ascii="宋体" w:hAnsi="宋体" w:eastAsia="宋体" w:cs="Times New Roman"/>
        </w:rPr>
      </w:pPr>
      <w:bookmarkStart w:id="11" w:name="_Toc28359013"/>
      <w:bookmarkStart w:id="12" w:name="_Toc35393799"/>
      <w:bookmarkStart w:id="13" w:name="_Toc35393630"/>
      <w:bookmarkStart w:id="14" w:name="_Toc28359090"/>
      <w:bookmarkStart w:id="15" w:name="_Toc44229879"/>
      <w:r>
        <w:rPr>
          <w:rFonts w:hint="eastAsia" w:ascii="宋体" w:hAnsi="宋体" w:eastAsia="宋体" w:cs="宋体"/>
          <w:b/>
          <w:bCs/>
          <w:kern w:val="44"/>
        </w:rPr>
        <w:t>二、</w:t>
      </w:r>
      <w:bookmarkEnd w:id="11"/>
      <w:bookmarkEnd w:id="12"/>
      <w:bookmarkEnd w:id="13"/>
      <w:bookmarkEnd w:id="14"/>
      <w:bookmarkEnd w:id="15"/>
      <w:r>
        <w:rPr>
          <w:rFonts w:hint="eastAsia" w:ascii="宋体" w:hAnsi="宋体" w:eastAsia="宋体" w:cs="宋体"/>
          <w:b/>
          <w:bCs/>
          <w:kern w:val="44"/>
        </w:rPr>
        <w:t>申请人的资格要求：</w:t>
      </w:r>
    </w:p>
    <w:p w14:paraId="2B001F40">
      <w:pPr>
        <w:spacing w:line="460" w:lineRule="exact"/>
        <w:ind w:firstLine="420" w:firstLineChars="200"/>
        <w:rPr>
          <w:rFonts w:ascii="宋体" w:hAnsi="宋体" w:eastAsia="宋体" w:cs="Times New Roman"/>
        </w:rPr>
      </w:pPr>
      <w:bookmarkStart w:id="16" w:name="PO_3000001868_PM005"/>
      <w:r>
        <w:rPr>
          <w:rFonts w:ascii="宋体" w:hAnsi="宋体" w:eastAsia="宋体" w:cs="宋体"/>
        </w:rPr>
        <w:t>1.</w:t>
      </w:r>
      <w:r>
        <w:rPr>
          <w:rFonts w:hint="eastAsia" w:ascii="宋体" w:hAnsi="宋体" w:eastAsia="宋体" w:cs="宋体"/>
        </w:rPr>
        <w:t>满足《中华人民共和国政府采购法》第二十二条的规定；</w:t>
      </w:r>
    </w:p>
    <w:p w14:paraId="1333E56D">
      <w:pPr>
        <w:spacing w:line="460" w:lineRule="exact"/>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落实政府采购政策需满足的资格要求：本项目属于专门面向中小企业采购的项目，供应商应为中小企业、监狱企业、残疾人福利性单位。</w:t>
      </w:r>
    </w:p>
    <w:bookmarkEnd w:id="16"/>
    <w:p w14:paraId="2F289044">
      <w:pPr>
        <w:spacing w:line="460" w:lineRule="exact"/>
        <w:ind w:firstLine="411" w:firstLineChars="196"/>
        <w:rPr>
          <w:rFonts w:ascii="宋体" w:hAnsi="宋体" w:eastAsia="宋体" w:cs="Times New Roman"/>
        </w:rPr>
      </w:pPr>
      <w:r>
        <w:rPr>
          <w:rFonts w:ascii="宋体" w:hAnsi="宋体" w:eastAsia="宋体" w:cs="宋体"/>
        </w:rPr>
        <w:t>3.</w:t>
      </w:r>
      <w:r>
        <w:rPr>
          <w:rFonts w:hint="eastAsia" w:ascii="宋体" w:hAnsi="宋体" w:eastAsia="宋体" w:cs="宋体"/>
        </w:rPr>
        <w:t>本项目的特定资格要求：供应商须具有水利水电工程施工总承包叁级或叁级以上资质；具有省级及以上建设行政主管部门颁发的安全生产许可证。在人员、设备、资金等方面具备相应的施工能力。</w:t>
      </w:r>
    </w:p>
    <w:p w14:paraId="0A0AF25F">
      <w:pPr>
        <w:spacing w:line="460" w:lineRule="exact"/>
        <w:ind w:firstLine="413" w:firstLineChars="196"/>
        <w:rPr>
          <w:rFonts w:ascii="宋体" w:hAnsi="宋体" w:eastAsia="宋体" w:cs="Times New Roman"/>
          <w:b/>
          <w:bCs/>
        </w:rPr>
      </w:pPr>
      <w:r>
        <w:rPr>
          <w:rFonts w:hint="eastAsia" w:ascii="宋体" w:hAnsi="宋体" w:eastAsia="宋体" w:cs="宋体"/>
          <w:b/>
          <w:bCs/>
        </w:rPr>
        <w:t>三、</w:t>
      </w:r>
      <w:bookmarkEnd w:id="6"/>
      <w:bookmarkEnd w:id="7"/>
      <w:bookmarkEnd w:id="8"/>
      <w:bookmarkEnd w:id="9"/>
      <w:r>
        <w:rPr>
          <w:rFonts w:hint="eastAsia" w:ascii="宋体" w:hAnsi="宋体" w:eastAsia="宋体" w:cs="宋体"/>
          <w:b/>
          <w:bCs/>
        </w:rPr>
        <w:t>获取采购文件</w:t>
      </w:r>
    </w:p>
    <w:p w14:paraId="0CCDC374">
      <w:pPr>
        <w:spacing w:line="460" w:lineRule="exact"/>
        <w:ind w:firstLine="420" w:firstLineChars="200"/>
        <w:rPr>
          <w:rFonts w:ascii="宋体" w:hAnsi="宋体" w:eastAsia="宋体" w:cs="Times New Roman"/>
        </w:rPr>
      </w:pPr>
      <w:bookmarkStart w:id="17" w:name="_Toc35393624"/>
      <w:bookmarkStart w:id="18" w:name="_Toc28359005"/>
      <w:bookmarkStart w:id="19" w:name="_Toc35393793"/>
      <w:bookmarkStart w:id="20" w:name="_Toc28359082"/>
      <w:r>
        <w:rPr>
          <w:rFonts w:hint="eastAsia" w:ascii="宋体" w:hAnsi="宋体" w:eastAsia="宋体" w:cs="宋体"/>
        </w:rPr>
        <w:t>时间：</w:t>
      </w:r>
      <w:r>
        <w:rPr>
          <w:rFonts w:ascii="宋体" w:hAnsi="宋体" w:eastAsia="宋体" w:cs="宋体"/>
        </w:rPr>
        <w:t>2026</w:t>
      </w:r>
      <w:r>
        <w:rPr>
          <w:rFonts w:hint="eastAsia" w:ascii="宋体" w:hAnsi="宋体" w:eastAsia="宋体" w:cs="宋体"/>
        </w:rPr>
        <w:t>年</w:t>
      </w:r>
      <w:r>
        <w:rPr>
          <w:rFonts w:ascii="宋体" w:hAnsi="宋体" w:eastAsia="宋体" w:cs="宋体"/>
        </w:rPr>
        <w:t>3</w:t>
      </w:r>
      <w:r>
        <w:rPr>
          <w:rFonts w:hint="eastAsia" w:ascii="宋体" w:hAnsi="宋体" w:eastAsia="宋体" w:cs="宋体"/>
        </w:rPr>
        <w:t>月</w:t>
      </w:r>
      <w:r>
        <w:rPr>
          <w:rFonts w:ascii="宋体" w:hAnsi="宋体" w:eastAsia="宋体" w:cs="宋体"/>
        </w:rPr>
        <w:t>23</w:t>
      </w:r>
      <w:r>
        <w:rPr>
          <w:rFonts w:hint="eastAsia" w:ascii="宋体" w:hAnsi="宋体" w:eastAsia="宋体" w:cs="宋体"/>
        </w:rPr>
        <w:t>日至</w:t>
      </w:r>
      <w:r>
        <w:rPr>
          <w:rFonts w:ascii="宋体" w:hAnsi="宋体" w:eastAsia="宋体" w:cs="宋体"/>
        </w:rPr>
        <w:t>2026</w:t>
      </w:r>
      <w:r>
        <w:rPr>
          <w:rFonts w:hint="eastAsia" w:ascii="宋体" w:hAnsi="宋体" w:eastAsia="宋体" w:cs="宋体"/>
        </w:rPr>
        <w:t>年</w:t>
      </w:r>
      <w:r>
        <w:rPr>
          <w:rFonts w:ascii="宋体" w:hAnsi="宋体" w:eastAsia="宋体" w:cs="宋体"/>
        </w:rPr>
        <w:t>3</w:t>
      </w:r>
      <w:r>
        <w:rPr>
          <w:rFonts w:hint="eastAsia" w:ascii="宋体" w:hAnsi="宋体" w:eastAsia="宋体" w:cs="宋体"/>
        </w:rPr>
        <w:t>月</w:t>
      </w:r>
      <w:r>
        <w:rPr>
          <w:rFonts w:ascii="宋体" w:hAnsi="宋体" w:eastAsia="宋体" w:cs="宋体"/>
        </w:rPr>
        <w:t>30</w:t>
      </w:r>
      <w:r>
        <w:rPr>
          <w:rFonts w:hint="eastAsia" w:ascii="宋体" w:hAnsi="宋体" w:eastAsia="宋体" w:cs="宋体"/>
        </w:rPr>
        <w:t>日，每天上午</w:t>
      </w:r>
      <w:r>
        <w:rPr>
          <w:rFonts w:ascii="宋体" w:hAnsi="宋体" w:eastAsia="宋体" w:cs="宋体"/>
        </w:rPr>
        <w:t>00:00</w:t>
      </w:r>
      <w:r>
        <w:rPr>
          <w:rFonts w:hint="eastAsia" w:ascii="宋体" w:hAnsi="宋体" w:eastAsia="宋体" w:cs="宋体"/>
        </w:rPr>
        <w:t>至</w:t>
      </w:r>
      <w:r>
        <w:rPr>
          <w:rFonts w:ascii="宋体" w:hAnsi="宋体" w:eastAsia="宋体" w:cs="宋体"/>
        </w:rPr>
        <w:t>11:59</w:t>
      </w:r>
      <w:r>
        <w:rPr>
          <w:rFonts w:hint="eastAsia" w:ascii="宋体" w:hAnsi="宋体" w:eastAsia="宋体" w:cs="宋体"/>
        </w:rPr>
        <w:t>，下午</w:t>
      </w:r>
      <w:r>
        <w:rPr>
          <w:rFonts w:ascii="宋体" w:hAnsi="宋体" w:eastAsia="宋体" w:cs="宋体"/>
        </w:rPr>
        <w:t>12:00</w:t>
      </w:r>
      <w:r>
        <w:rPr>
          <w:rFonts w:hint="eastAsia" w:ascii="宋体" w:hAnsi="宋体" w:eastAsia="宋体" w:cs="宋体"/>
        </w:rPr>
        <w:t>至</w:t>
      </w:r>
      <w:r>
        <w:rPr>
          <w:rFonts w:ascii="宋体" w:hAnsi="宋体" w:eastAsia="宋体" w:cs="宋体"/>
        </w:rPr>
        <w:t>23:59</w:t>
      </w:r>
      <w:r>
        <w:rPr>
          <w:rFonts w:hint="eastAsia" w:ascii="宋体" w:hAnsi="宋体" w:eastAsia="宋体" w:cs="宋体"/>
        </w:rPr>
        <w:t>（北京时间，法定节假日除外）。</w:t>
      </w:r>
    </w:p>
    <w:p w14:paraId="7889210F">
      <w:pPr>
        <w:spacing w:line="460" w:lineRule="exact"/>
        <w:ind w:firstLine="420" w:firstLineChars="200"/>
        <w:rPr>
          <w:rFonts w:ascii="宋体" w:hAnsi="宋体" w:eastAsia="宋体" w:cs="Times New Roman"/>
        </w:rPr>
      </w:pPr>
      <w:r>
        <w:rPr>
          <w:rFonts w:hint="eastAsia" w:ascii="宋体" w:hAnsi="宋体" w:eastAsia="宋体" w:cs="宋体"/>
        </w:rPr>
        <w:t>地点（网址）：广西政府采购云平台（</w:t>
      </w:r>
      <w:r>
        <w:rPr>
          <w:rFonts w:ascii="宋体" w:hAnsi="宋体" w:eastAsia="宋体" w:cs="宋体"/>
        </w:rPr>
        <w:t>https://www.gcy.zfcg.gxzf.gov.cn/</w:t>
      </w:r>
      <w:r>
        <w:rPr>
          <w:rFonts w:hint="eastAsia" w:ascii="宋体" w:hAnsi="宋体" w:eastAsia="宋体" w:cs="宋体"/>
        </w:rPr>
        <w:t>）。</w:t>
      </w:r>
    </w:p>
    <w:p w14:paraId="693BAB84">
      <w:pPr>
        <w:spacing w:line="460" w:lineRule="exact"/>
        <w:ind w:firstLine="420" w:firstLineChars="200"/>
        <w:rPr>
          <w:rFonts w:ascii="宋体" w:hAnsi="宋体" w:eastAsia="宋体" w:cs="Times New Roman"/>
        </w:rPr>
      </w:pPr>
      <w:r>
        <w:rPr>
          <w:rFonts w:hint="eastAsia" w:ascii="宋体" w:hAnsi="宋体" w:eastAsia="宋体" w:cs="宋体"/>
        </w:rPr>
        <w:t>方式：供应商登录广西政府采购云平台</w:t>
      </w:r>
      <w:r>
        <w:rPr>
          <w:rFonts w:ascii="宋体" w:hAnsi="宋体" w:eastAsia="宋体" w:cs="宋体"/>
        </w:rPr>
        <w:t>https://www.gcy.zfcg.gxzf.gov.cn/</w:t>
      </w:r>
      <w:r>
        <w:rPr>
          <w:rFonts w:hint="eastAsia" w:ascii="宋体" w:hAnsi="宋体" w:eastAsia="宋体" w:cs="宋体"/>
        </w:rPr>
        <w:t>在线申请获取采购文件（进入“项目采购”应用，在获取采购文件菜单中选择项目，申请获取采购文件）</w:t>
      </w:r>
      <w:r>
        <w:rPr>
          <w:rFonts w:ascii="宋体" w:hAnsi="宋体" w:eastAsia="宋体" w:cs="Times New Roman"/>
        </w:rPr>
        <w:t> </w:t>
      </w:r>
    </w:p>
    <w:p w14:paraId="16379FA9">
      <w:pPr>
        <w:snapToGrid w:val="0"/>
        <w:spacing w:line="460" w:lineRule="exact"/>
        <w:ind w:firstLine="420" w:firstLineChars="200"/>
        <w:rPr>
          <w:rFonts w:ascii="宋体" w:hAnsi="宋体" w:eastAsia="宋体" w:cs="宋体"/>
        </w:rPr>
      </w:pPr>
      <w:r>
        <w:rPr>
          <w:rFonts w:hint="eastAsia" w:ascii="宋体" w:hAnsi="宋体" w:eastAsia="宋体" w:cs="宋体"/>
        </w:rPr>
        <w:t>售价（元）：</w:t>
      </w:r>
      <w:r>
        <w:rPr>
          <w:rFonts w:ascii="宋体" w:hAnsi="宋体" w:eastAsia="宋体" w:cs="宋体"/>
        </w:rPr>
        <w:t>0</w:t>
      </w:r>
    </w:p>
    <w:p w14:paraId="37F5AA92">
      <w:pPr>
        <w:spacing w:line="460" w:lineRule="exact"/>
        <w:ind w:firstLine="413" w:firstLineChars="196"/>
        <w:rPr>
          <w:rFonts w:ascii="宋体" w:hAnsi="宋体" w:eastAsia="宋体" w:cs="Times New Roman"/>
          <w:b/>
          <w:bCs/>
        </w:rPr>
      </w:pPr>
      <w:r>
        <w:rPr>
          <w:rFonts w:hint="eastAsia" w:ascii="宋体" w:hAnsi="宋体" w:eastAsia="宋体" w:cs="宋体"/>
          <w:b/>
          <w:bCs/>
        </w:rPr>
        <w:t>四、</w:t>
      </w:r>
      <w:bookmarkEnd w:id="17"/>
      <w:bookmarkEnd w:id="18"/>
      <w:bookmarkEnd w:id="19"/>
      <w:bookmarkEnd w:id="20"/>
      <w:r>
        <w:rPr>
          <w:rFonts w:hint="eastAsia" w:ascii="宋体" w:hAnsi="宋体" w:eastAsia="宋体" w:cs="宋体"/>
          <w:b/>
          <w:bCs/>
        </w:rPr>
        <w:t>响应文件提交</w:t>
      </w:r>
    </w:p>
    <w:p w14:paraId="63F116C1">
      <w:pPr>
        <w:spacing w:line="460" w:lineRule="exact"/>
        <w:ind w:firstLine="420" w:firstLineChars="200"/>
        <w:rPr>
          <w:rFonts w:ascii="宋体" w:hAnsi="宋体" w:eastAsia="宋体" w:cs="Times New Roman"/>
          <w:u w:val="single"/>
        </w:rPr>
      </w:pPr>
      <w:r>
        <w:rPr>
          <w:rFonts w:ascii="宋体" w:hAnsi="宋体" w:eastAsia="宋体" w:cs="宋体"/>
        </w:rPr>
        <w:t>1</w:t>
      </w:r>
      <w:r>
        <w:rPr>
          <w:rFonts w:hint="eastAsia" w:ascii="宋体" w:hAnsi="宋体" w:eastAsia="宋体" w:cs="宋体"/>
        </w:rPr>
        <w:t>、截止时间：</w:t>
      </w:r>
      <w:r>
        <w:rPr>
          <w:rFonts w:ascii="宋体" w:hAnsi="宋体" w:eastAsia="宋体" w:cs="宋体"/>
        </w:rPr>
        <w:t>2026</w:t>
      </w:r>
      <w:r>
        <w:rPr>
          <w:rFonts w:hint="eastAsia" w:ascii="宋体" w:hAnsi="宋体" w:eastAsia="宋体" w:cs="宋体"/>
        </w:rPr>
        <w:t>年</w:t>
      </w:r>
      <w:r>
        <w:rPr>
          <w:rFonts w:ascii="宋体" w:hAnsi="宋体" w:eastAsia="宋体" w:cs="宋体"/>
        </w:rPr>
        <w:t>4</w:t>
      </w:r>
      <w:r>
        <w:rPr>
          <w:rFonts w:hint="eastAsia" w:ascii="宋体" w:hAnsi="宋体" w:eastAsia="宋体" w:cs="宋体"/>
        </w:rPr>
        <w:t>月</w:t>
      </w:r>
      <w:r>
        <w:rPr>
          <w:rFonts w:ascii="宋体" w:hAnsi="宋体" w:eastAsia="宋体" w:cs="宋体"/>
        </w:rPr>
        <w:t>3</w:t>
      </w:r>
      <w:r>
        <w:rPr>
          <w:rFonts w:hint="eastAsia" w:ascii="宋体" w:hAnsi="宋体" w:eastAsia="宋体" w:cs="宋体"/>
        </w:rPr>
        <w:t>日</w:t>
      </w:r>
      <w:r>
        <w:rPr>
          <w:rFonts w:ascii="宋体" w:hAnsi="宋体" w:eastAsia="宋体" w:cs="宋体"/>
        </w:rPr>
        <w:t xml:space="preserve"> 09:00</w:t>
      </w:r>
      <w:r>
        <w:rPr>
          <w:rFonts w:hint="eastAsia" w:ascii="宋体" w:hAnsi="宋体" w:eastAsia="宋体" w:cs="宋体"/>
        </w:rPr>
        <w:t>（北京时间）</w:t>
      </w:r>
    </w:p>
    <w:p w14:paraId="5C70A2C9">
      <w:pPr>
        <w:snapToGrid w:val="0"/>
        <w:spacing w:line="460" w:lineRule="exact"/>
        <w:rPr>
          <w:rFonts w:ascii="宋体" w:hAnsi="宋体" w:eastAsia="宋体" w:cs="Times New Roman"/>
          <w:kern w:val="0"/>
        </w:rPr>
      </w:pPr>
      <w:r>
        <w:rPr>
          <w:rFonts w:ascii="宋体" w:hAnsi="宋体" w:eastAsia="宋体" w:cs="宋体"/>
        </w:rPr>
        <w:t>2</w:t>
      </w:r>
      <w:r>
        <w:rPr>
          <w:rFonts w:hint="eastAsia" w:ascii="宋体" w:hAnsi="宋体" w:eastAsia="宋体" w:cs="宋体"/>
        </w:rPr>
        <w:t>、地点（网址）：本项目为全流程电子化采购项目，通过广西政府采购云平台（</w:t>
      </w:r>
      <w:r>
        <w:rPr>
          <w:rFonts w:ascii="宋体" w:hAnsi="宋体" w:eastAsia="宋体" w:cs="宋体"/>
        </w:rPr>
        <w:t>https://www.gcy.zfcg.gxzf.gov.cn/</w:t>
      </w:r>
      <w:r>
        <w:rPr>
          <w:rFonts w:hint="eastAsia" w:ascii="宋体" w:hAnsi="宋体" w:eastAsia="宋体" w:cs="宋体"/>
        </w:rPr>
        <w:t>）实行在线电子投标，投标人应按照本项目招标文件和广西政府采购云平台的要求编制、加密后在投标截止时间前通过网络上传至广西政府采购云平台（加密的电子投标文件是指后缀名为“</w:t>
      </w:r>
      <w:r>
        <w:rPr>
          <w:rFonts w:ascii="宋体" w:hAnsi="宋体" w:eastAsia="宋体" w:cs="宋体"/>
        </w:rPr>
        <w:t>jmbs</w:t>
      </w:r>
      <w:r>
        <w:rPr>
          <w:rFonts w:hint="eastAsia" w:ascii="宋体" w:hAnsi="宋体" w:eastAsia="宋体" w:cs="宋体"/>
        </w:rPr>
        <w:t>”的文件），投标人在广西政府采购云平台提交电子投标文件时，请填写参加远程开标活动经办人联系方式。投标人登录广西政府采购云平台，依次进入“服务中心</w:t>
      </w:r>
      <w:r>
        <w:rPr>
          <w:rFonts w:ascii="宋体" w:hAnsi="宋体" w:eastAsia="宋体" w:cs="宋体"/>
        </w:rPr>
        <w:t>-</w:t>
      </w:r>
      <w:r>
        <w:rPr>
          <w:rFonts w:hint="eastAsia" w:ascii="宋体" w:hAnsi="宋体" w:eastAsia="宋体" w:cs="宋体"/>
        </w:rPr>
        <w:t>项目采购</w:t>
      </w:r>
      <w:r>
        <w:rPr>
          <w:rFonts w:ascii="宋体" w:hAnsi="宋体" w:eastAsia="宋体" w:cs="宋体"/>
        </w:rPr>
        <w:t>-</w:t>
      </w:r>
      <w:r>
        <w:rPr>
          <w:rFonts w:hint="eastAsia" w:ascii="宋体" w:hAnsi="宋体" w:eastAsia="宋体" w:cs="宋体"/>
        </w:rPr>
        <w:t>操作流程</w:t>
      </w:r>
      <w:r>
        <w:rPr>
          <w:rFonts w:ascii="宋体" w:hAnsi="宋体" w:eastAsia="宋体" w:cs="宋体"/>
        </w:rPr>
        <w:t>-</w:t>
      </w:r>
      <w:r>
        <w:rPr>
          <w:rFonts w:hint="eastAsia" w:ascii="宋体" w:hAnsi="宋体" w:eastAsia="宋体" w:cs="宋体"/>
        </w:rPr>
        <w:t>电子招投标</w:t>
      </w:r>
      <w:r>
        <w:rPr>
          <w:rFonts w:ascii="宋体" w:hAnsi="宋体" w:eastAsia="宋体" w:cs="宋体"/>
        </w:rPr>
        <w:t>-</w:t>
      </w:r>
      <w:r>
        <w:rPr>
          <w:rFonts w:hint="eastAsia" w:ascii="宋体" w:hAnsi="宋体" w:eastAsia="宋体" w:cs="宋体"/>
        </w:rPr>
        <w:t>政府采购项目电子交易管理操作指南</w:t>
      </w:r>
      <w:r>
        <w:rPr>
          <w:rFonts w:ascii="宋体" w:hAnsi="宋体" w:eastAsia="宋体" w:cs="宋体"/>
        </w:rPr>
        <w:t>-</w:t>
      </w:r>
      <w:r>
        <w:rPr>
          <w:rFonts w:hint="eastAsia" w:ascii="宋体" w:hAnsi="宋体" w:eastAsia="宋体" w:cs="宋体"/>
        </w:rPr>
        <w:t>供应商”查看电子投标具体操作流程。</w:t>
      </w:r>
    </w:p>
    <w:p w14:paraId="742A5387">
      <w:pPr>
        <w:spacing w:line="460" w:lineRule="exact"/>
        <w:ind w:firstLine="413" w:firstLineChars="196"/>
        <w:rPr>
          <w:rFonts w:ascii="宋体" w:hAnsi="宋体" w:eastAsia="宋体" w:cs="Times New Roman"/>
          <w:b/>
          <w:bCs/>
        </w:rPr>
      </w:pPr>
      <w:r>
        <w:rPr>
          <w:rFonts w:hint="eastAsia" w:ascii="宋体" w:hAnsi="宋体" w:eastAsia="宋体" w:cs="宋体"/>
          <w:b/>
          <w:bCs/>
        </w:rPr>
        <w:t>五、响应文件开启</w:t>
      </w:r>
    </w:p>
    <w:p w14:paraId="6F0B7196">
      <w:pPr>
        <w:spacing w:line="460" w:lineRule="exact"/>
        <w:ind w:firstLine="420" w:firstLineChars="200"/>
        <w:rPr>
          <w:rFonts w:ascii="宋体" w:hAnsi="宋体" w:eastAsia="宋体" w:cs="Times New Roman"/>
          <w:u w:val="single"/>
        </w:rPr>
      </w:pPr>
      <w:r>
        <w:rPr>
          <w:rFonts w:ascii="宋体" w:hAnsi="宋体" w:eastAsia="宋体" w:cs="宋体"/>
        </w:rPr>
        <w:t>1.</w:t>
      </w:r>
      <w:r>
        <w:rPr>
          <w:rFonts w:hint="eastAsia" w:ascii="宋体" w:hAnsi="宋体" w:eastAsia="宋体" w:cs="宋体"/>
        </w:rPr>
        <w:t>开启时间：</w:t>
      </w:r>
      <w:r>
        <w:rPr>
          <w:rFonts w:ascii="宋体" w:hAnsi="宋体" w:eastAsia="宋体" w:cs="宋体"/>
        </w:rPr>
        <w:t>2026</w:t>
      </w:r>
      <w:r>
        <w:rPr>
          <w:rFonts w:hint="eastAsia" w:ascii="宋体" w:hAnsi="宋体" w:eastAsia="宋体" w:cs="宋体"/>
        </w:rPr>
        <w:t>年</w:t>
      </w:r>
      <w:r>
        <w:rPr>
          <w:rFonts w:ascii="宋体" w:hAnsi="宋体" w:eastAsia="宋体" w:cs="宋体"/>
        </w:rPr>
        <w:t>4</w:t>
      </w:r>
      <w:r>
        <w:rPr>
          <w:rFonts w:hint="eastAsia" w:ascii="宋体" w:hAnsi="宋体" w:eastAsia="宋体" w:cs="宋体"/>
        </w:rPr>
        <w:t>月</w:t>
      </w:r>
      <w:r>
        <w:rPr>
          <w:rFonts w:ascii="宋体" w:hAnsi="宋体" w:eastAsia="宋体" w:cs="宋体"/>
        </w:rPr>
        <w:t>3</w:t>
      </w:r>
      <w:r>
        <w:rPr>
          <w:rFonts w:hint="eastAsia" w:ascii="宋体" w:hAnsi="宋体" w:eastAsia="宋体" w:cs="宋体"/>
        </w:rPr>
        <w:t>日</w:t>
      </w:r>
      <w:r>
        <w:rPr>
          <w:rFonts w:ascii="宋体" w:hAnsi="宋体" w:eastAsia="宋体" w:cs="宋体"/>
        </w:rPr>
        <w:t xml:space="preserve"> 09:00</w:t>
      </w:r>
      <w:r>
        <w:rPr>
          <w:rFonts w:hint="eastAsia" w:ascii="宋体" w:hAnsi="宋体" w:eastAsia="宋体" w:cs="宋体"/>
        </w:rPr>
        <w:t>（北京时间）</w:t>
      </w:r>
    </w:p>
    <w:p w14:paraId="68B92224">
      <w:pPr>
        <w:spacing w:line="460" w:lineRule="exact"/>
        <w:ind w:firstLine="420" w:firstLineChars="200"/>
        <w:rPr>
          <w:rFonts w:ascii="宋体" w:hAnsi="宋体" w:eastAsia="宋体" w:cs="Times New Roman"/>
          <w:u w:val="single"/>
        </w:rPr>
      </w:pPr>
      <w:r>
        <w:rPr>
          <w:rFonts w:ascii="宋体" w:hAnsi="宋体" w:eastAsia="宋体" w:cs="宋体"/>
        </w:rPr>
        <w:t>2.</w:t>
      </w:r>
      <w:r>
        <w:rPr>
          <w:rFonts w:hint="eastAsia" w:ascii="宋体" w:hAnsi="宋体" w:eastAsia="宋体" w:cs="宋体"/>
        </w:rPr>
        <w:t>地点：广西政府采购云平台远程大厅</w:t>
      </w:r>
    </w:p>
    <w:p w14:paraId="1157EC23">
      <w:pPr>
        <w:spacing w:line="460" w:lineRule="exact"/>
        <w:ind w:firstLine="413" w:firstLineChars="196"/>
        <w:rPr>
          <w:rFonts w:ascii="宋体" w:hAnsi="宋体" w:eastAsia="宋体" w:cs="Times New Roman"/>
          <w:b/>
          <w:bCs/>
        </w:rPr>
      </w:pPr>
      <w:bookmarkStart w:id="21" w:name="_Toc28359084"/>
      <w:bookmarkStart w:id="22" w:name="_Toc35393625"/>
      <w:bookmarkStart w:id="23" w:name="_Toc35393794"/>
      <w:bookmarkStart w:id="24" w:name="_Toc28359007"/>
      <w:r>
        <w:rPr>
          <w:rFonts w:hint="eastAsia" w:ascii="宋体" w:hAnsi="宋体" w:eastAsia="宋体" w:cs="宋体"/>
          <w:b/>
          <w:bCs/>
        </w:rPr>
        <w:t>六、公告期限</w:t>
      </w:r>
      <w:bookmarkEnd w:id="21"/>
      <w:bookmarkEnd w:id="22"/>
      <w:bookmarkEnd w:id="23"/>
      <w:bookmarkEnd w:id="24"/>
    </w:p>
    <w:p w14:paraId="60451872">
      <w:pPr>
        <w:spacing w:line="460" w:lineRule="exact"/>
        <w:ind w:firstLine="420" w:firstLineChars="200"/>
        <w:rPr>
          <w:rFonts w:ascii="宋体" w:hAnsi="宋体" w:eastAsia="宋体" w:cs="Times New Roman"/>
          <w:kern w:val="0"/>
        </w:rPr>
      </w:pPr>
      <w:r>
        <w:rPr>
          <w:rFonts w:hint="eastAsia" w:ascii="宋体" w:hAnsi="宋体" w:eastAsia="宋体" w:cs="宋体"/>
          <w:kern w:val="0"/>
        </w:rPr>
        <w:t>自本公告发布之日起</w:t>
      </w:r>
      <w:r>
        <w:rPr>
          <w:rFonts w:ascii="宋体" w:hAnsi="宋体" w:eastAsia="宋体" w:cs="宋体"/>
          <w:kern w:val="0"/>
        </w:rPr>
        <w:t>5</w:t>
      </w:r>
      <w:r>
        <w:rPr>
          <w:rFonts w:hint="eastAsia" w:ascii="宋体" w:hAnsi="宋体" w:eastAsia="宋体" w:cs="宋体"/>
          <w:kern w:val="0"/>
        </w:rPr>
        <w:t>个工作日。</w:t>
      </w:r>
    </w:p>
    <w:p w14:paraId="5F8A8EC3">
      <w:pPr>
        <w:spacing w:line="460" w:lineRule="exact"/>
        <w:ind w:firstLine="413" w:firstLineChars="196"/>
        <w:rPr>
          <w:rFonts w:ascii="宋体" w:hAnsi="宋体" w:eastAsia="宋体" w:cs="Times New Roman"/>
          <w:b/>
          <w:bCs/>
        </w:rPr>
      </w:pPr>
      <w:bookmarkStart w:id="25" w:name="_Toc35393795"/>
      <w:bookmarkStart w:id="26" w:name="_Toc35393626"/>
      <w:r>
        <w:rPr>
          <w:rFonts w:hint="eastAsia" w:ascii="宋体" w:hAnsi="宋体" w:eastAsia="宋体" w:cs="宋体"/>
          <w:b/>
          <w:bCs/>
        </w:rPr>
        <w:t>七、其他补充事宜</w:t>
      </w:r>
      <w:bookmarkEnd w:id="25"/>
      <w:bookmarkEnd w:id="26"/>
    </w:p>
    <w:p w14:paraId="32313F50">
      <w:pPr>
        <w:spacing w:line="460" w:lineRule="exact"/>
        <w:ind w:firstLine="420" w:firstLineChars="200"/>
        <w:rPr>
          <w:rFonts w:ascii="宋体" w:hAnsi="宋体" w:eastAsia="宋体" w:cs="Times New Roman"/>
          <w:kern w:val="0"/>
        </w:rPr>
      </w:pPr>
      <w:r>
        <w:rPr>
          <w:rFonts w:ascii="宋体" w:hAnsi="宋体" w:eastAsia="宋体" w:cs="宋体"/>
          <w:kern w:val="0"/>
        </w:rPr>
        <w:t>1.</w:t>
      </w:r>
      <w:r>
        <w:rPr>
          <w:rFonts w:hint="eastAsia" w:ascii="宋体" w:hAnsi="宋体" w:eastAsia="宋体" w:cs="宋体"/>
          <w:kern w:val="0"/>
        </w:rPr>
        <w:t>磋商保证金：本项目不收取磋商保证金</w:t>
      </w:r>
    </w:p>
    <w:p w14:paraId="78D79AE1">
      <w:pPr>
        <w:spacing w:line="460" w:lineRule="exact"/>
        <w:ind w:firstLine="420" w:firstLineChars="200"/>
        <w:jc w:val="left"/>
        <w:rPr>
          <w:rFonts w:ascii="宋体" w:hAnsi="宋体" w:eastAsia="宋体" w:cs="Times New Roman"/>
          <w:kern w:val="0"/>
          <w:u w:val="single"/>
        </w:rPr>
      </w:pPr>
      <w:r>
        <w:rPr>
          <w:rFonts w:ascii="宋体" w:hAnsi="宋体" w:eastAsia="宋体" w:cs="宋体"/>
          <w:kern w:val="0"/>
        </w:rPr>
        <w:t>2.</w:t>
      </w:r>
      <w:r>
        <w:rPr>
          <w:rFonts w:hint="eastAsia" w:ascii="宋体" w:hAnsi="宋体" w:eastAsia="宋体" w:cs="宋体"/>
          <w:kern w:val="0"/>
        </w:rPr>
        <w:t>采购意向公开链接：</w:t>
      </w:r>
      <w:bookmarkStart w:id="27" w:name="PO_3000001868_PM100"/>
      <w:r>
        <w:rPr>
          <w:rFonts w:ascii="宋体" w:hAnsi="宋体" w:eastAsia="宋体" w:cs="宋体"/>
          <w:kern w:val="0"/>
        </w:rPr>
        <w:t>https://zfcg.gxzf.gov.cn/site/detail?parentId=66485&amp;articleId=jxDBWcyyt3QtPdqBcQ/KLg==</w:t>
      </w:r>
    </w:p>
    <w:bookmarkEnd w:id="27"/>
    <w:p w14:paraId="0CC7AD88">
      <w:pPr>
        <w:spacing w:line="460" w:lineRule="exact"/>
        <w:ind w:firstLine="420" w:firstLineChars="200"/>
        <w:rPr>
          <w:rFonts w:ascii="宋体" w:hAnsi="宋体" w:eastAsia="宋体" w:cs="Times New Roman"/>
          <w:kern w:val="0"/>
        </w:rPr>
      </w:pPr>
      <w:bookmarkStart w:id="28" w:name="_Hlk37429585"/>
      <w:r>
        <w:rPr>
          <w:rFonts w:ascii="宋体" w:hAnsi="宋体" w:eastAsia="宋体" w:cs="宋体"/>
          <w:kern w:val="0"/>
        </w:rPr>
        <w:t>3.</w:t>
      </w:r>
      <w:bookmarkStart w:id="29" w:name="_Hlk37429595"/>
      <w:r>
        <w:rPr>
          <w:rFonts w:hint="eastAsia" w:ascii="宋体" w:hAnsi="宋体" w:eastAsia="宋体" w:cs="宋体"/>
          <w:kern w:val="0"/>
        </w:rPr>
        <w:t>网上查询地址</w:t>
      </w:r>
    </w:p>
    <w:bookmarkEnd w:id="28"/>
    <w:bookmarkEnd w:id="29"/>
    <w:p w14:paraId="6C44DC2D">
      <w:pPr>
        <w:spacing w:line="460" w:lineRule="exact"/>
        <w:ind w:firstLine="420" w:firstLineChars="200"/>
        <w:rPr>
          <w:rFonts w:ascii="宋体" w:hAnsi="宋体" w:eastAsia="宋体" w:cs="Times New Roman"/>
          <w:kern w:val="0"/>
        </w:rPr>
      </w:pPr>
      <w:bookmarkStart w:id="30" w:name="_Hlk37429674"/>
      <w:r>
        <w:rPr>
          <w:rFonts w:hint="eastAsia" w:ascii="宋体" w:hAnsi="宋体" w:eastAsia="宋体" w:cs="宋体"/>
          <w:kern w:val="0"/>
        </w:rPr>
        <w:t>中国政府采购网（</w:t>
      </w:r>
      <w:r>
        <w:rPr>
          <w:rFonts w:ascii="宋体" w:hAnsi="宋体" w:eastAsia="宋体" w:cs="宋体"/>
          <w:kern w:val="0"/>
        </w:rPr>
        <w:t>www.ccgp.gov.cn</w:t>
      </w:r>
      <w:r>
        <w:rPr>
          <w:rFonts w:hint="eastAsia" w:ascii="宋体" w:hAnsi="宋体" w:eastAsia="宋体" w:cs="宋体"/>
          <w:kern w:val="0"/>
        </w:rPr>
        <w:t>）、广西壮族自治区政府采购网（</w:t>
      </w:r>
      <w:r>
        <w:rPr>
          <w:rFonts w:ascii="宋体" w:hAnsi="宋体" w:eastAsia="宋体" w:cs="宋体"/>
          <w:kern w:val="0"/>
        </w:rPr>
        <w:t>zfcg.gxzf.gov.cn</w:t>
      </w:r>
      <w:r>
        <w:rPr>
          <w:rFonts w:hint="eastAsia" w:ascii="宋体" w:hAnsi="宋体" w:eastAsia="宋体" w:cs="宋体"/>
          <w:kern w:val="0"/>
        </w:rPr>
        <w:t>）、全国公共资源交易平台（广西</w:t>
      </w:r>
      <w:r>
        <w:rPr>
          <w:rFonts w:ascii="宋体" w:hAnsi="宋体" w:eastAsia="宋体" w:cs="Times New Roman"/>
          <w:kern w:val="0"/>
        </w:rPr>
        <w:t>•</w:t>
      </w:r>
      <w:r>
        <w:rPr>
          <w:rFonts w:hint="eastAsia" w:ascii="宋体" w:hAnsi="宋体" w:eastAsia="宋体" w:cs="宋体"/>
          <w:kern w:val="0"/>
        </w:rPr>
        <w:t>博白）（</w:t>
      </w:r>
      <w:r>
        <w:rPr>
          <w:rFonts w:ascii="宋体" w:hAnsi="宋体" w:eastAsia="宋体" w:cs="宋体"/>
          <w:kern w:val="0"/>
        </w:rPr>
        <w:t>http://ggzy.yulin.gov.cn</w:t>
      </w:r>
      <w:r>
        <w:rPr>
          <w:rFonts w:hint="eastAsia" w:ascii="宋体" w:hAnsi="宋体" w:eastAsia="宋体" w:cs="宋体"/>
          <w:kern w:val="0"/>
        </w:rPr>
        <w:t>）。</w:t>
      </w:r>
    </w:p>
    <w:p w14:paraId="3001004A">
      <w:pPr>
        <w:spacing w:line="460" w:lineRule="exact"/>
        <w:ind w:firstLine="420" w:firstLineChars="200"/>
        <w:rPr>
          <w:rFonts w:ascii="宋体" w:hAnsi="宋体" w:eastAsia="宋体" w:cs="Times New Roman"/>
          <w:kern w:val="0"/>
        </w:rPr>
      </w:pPr>
      <w:r>
        <w:rPr>
          <w:rFonts w:ascii="宋体" w:hAnsi="宋体" w:eastAsia="宋体" w:cs="宋体"/>
          <w:kern w:val="0"/>
        </w:rPr>
        <w:t>4</w:t>
      </w:r>
      <w:r>
        <w:rPr>
          <w:rFonts w:ascii="宋体" w:hAnsi="宋体" w:eastAsia="宋体" w:cs="宋体"/>
        </w:rPr>
        <w:t xml:space="preserve">. </w:t>
      </w:r>
      <w:r>
        <w:rPr>
          <w:rFonts w:hint="eastAsia" w:ascii="宋体" w:hAnsi="宋体" w:eastAsia="宋体" w:cs="宋体"/>
          <w:kern w:val="0"/>
        </w:rPr>
        <w:t>本项目需要落实的政府采购政策</w:t>
      </w:r>
    </w:p>
    <w:bookmarkEnd w:id="30"/>
    <w:p w14:paraId="50E36545">
      <w:pPr>
        <w:spacing w:line="460" w:lineRule="exact"/>
        <w:ind w:firstLine="315" w:firstLineChars="150"/>
        <w:rPr>
          <w:rFonts w:ascii="宋体" w:hAnsi="宋体" w:eastAsia="宋体" w:cs="Times New Roman"/>
          <w:kern w:val="0"/>
        </w:rPr>
      </w:pPr>
      <w:r>
        <w:rPr>
          <w:rFonts w:hint="eastAsia" w:ascii="宋体" w:hAnsi="宋体" w:eastAsia="宋体" w:cs="宋体"/>
          <w:kern w:val="0"/>
        </w:rPr>
        <w:t>（</w:t>
      </w:r>
      <w:r>
        <w:rPr>
          <w:rFonts w:ascii="宋体" w:hAnsi="宋体" w:eastAsia="宋体" w:cs="宋体"/>
          <w:kern w:val="0"/>
        </w:rPr>
        <w:t>1</w:t>
      </w:r>
      <w:r>
        <w:rPr>
          <w:rFonts w:hint="eastAsia" w:ascii="宋体" w:hAnsi="宋体" w:eastAsia="宋体" w:cs="宋体"/>
          <w:kern w:val="0"/>
        </w:rPr>
        <w:t>）政府采购促进中小企业发展。</w:t>
      </w:r>
    </w:p>
    <w:p w14:paraId="377F36E7">
      <w:pPr>
        <w:spacing w:line="460" w:lineRule="exact"/>
        <w:ind w:firstLine="315" w:firstLineChars="150"/>
        <w:rPr>
          <w:rFonts w:ascii="宋体" w:hAnsi="宋体" w:eastAsia="宋体" w:cs="Times New Roman"/>
          <w:kern w:val="0"/>
        </w:rPr>
      </w:pPr>
      <w:r>
        <w:rPr>
          <w:rFonts w:hint="eastAsia" w:ascii="宋体" w:hAnsi="宋体" w:eastAsia="宋体" w:cs="宋体"/>
          <w:kern w:val="0"/>
        </w:rPr>
        <w:t>（</w:t>
      </w:r>
      <w:r>
        <w:rPr>
          <w:rFonts w:ascii="宋体" w:hAnsi="宋体" w:eastAsia="宋体" w:cs="宋体"/>
          <w:kern w:val="0"/>
        </w:rPr>
        <w:t>2</w:t>
      </w:r>
      <w:r>
        <w:rPr>
          <w:rFonts w:hint="eastAsia" w:ascii="宋体" w:hAnsi="宋体" w:eastAsia="宋体" w:cs="宋体"/>
          <w:kern w:val="0"/>
        </w:rPr>
        <w:t>）政府采购支持采用本国产品的政策。</w:t>
      </w:r>
    </w:p>
    <w:p w14:paraId="4EE3E8E2">
      <w:pPr>
        <w:spacing w:line="460" w:lineRule="exact"/>
        <w:ind w:firstLine="315" w:firstLineChars="150"/>
        <w:rPr>
          <w:rFonts w:ascii="宋体" w:hAnsi="宋体" w:eastAsia="宋体" w:cs="Times New Roman"/>
          <w:kern w:val="0"/>
        </w:rPr>
      </w:pPr>
      <w:r>
        <w:rPr>
          <w:rFonts w:hint="eastAsia" w:ascii="宋体" w:hAnsi="宋体" w:eastAsia="宋体" w:cs="宋体"/>
          <w:kern w:val="0"/>
        </w:rPr>
        <w:t>（</w:t>
      </w:r>
      <w:r>
        <w:rPr>
          <w:rFonts w:ascii="宋体" w:hAnsi="宋体" w:eastAsia="宋体" w:cs="宋体"/>
          <w:kern w:val="0"/>
        </w:rPr>
        <w:t>3</w:t>
      </w:r>
      <w:r>
        <w:rPr>
          <w:rFonts w:hint="eastAsia" w:ascii="宋体" w:hAnsi="宋体" w:eastAsia="宋体" w:cs="宋体"/>
          <w:kern w:val="0"/>
        </w:rPr>
        <w:t>）强制采购节能产品；优先采购节能产品、环境标志产品。</w:t>
      </w:r>
    </w:p>
    <w:p w14:paraId="653C4D74">
      <w:pPr>
        <w:spacing w:line="460" w:lineRule="exact"/>
        <w:ind w:firstLine="315" w:firstLineChars="150"/>
        <w:rPr>
          <w:rFonts w:ascii="宋体" w:hAnsi="宋体" w:eastAsia="宋体" w:cs="Times New Roman"/>
          <w:kern w:val="0"/>
        </w:rPr>
      </w:pPr>
      <w:r>
        <w:rPr>
          <w:rFonts w:hint="eastAsia" w:ascii="宋体" w:hAnsi="宋体" w:eastAsia="宋体" w:cs="宋体"/>
          <w:kern w:val="0"/>
        </w:rPr>
        <w:t>（</w:t>
      </w:r>
      <w:r>
        <w:rPr>
          <w:rFonts w:ascii="宋体" w:hAnsi="宋体" w:eastAsia="宋体" w:cs="宋体"/>
          <w:kern w:val="0"/>
        </w:rPr>
        <w:t>4</w:t>
      </w:r>
      <w:r>
        <w:rPr>
          <w:rFonts w:hint="eastAsia" w:ascii="宋体" w:hAnsi="宋体" w:eastAsia="宋体" w:cs="宋体"/>
          <w:kern w:val="0"/>
        </w:rPr>
        <w:t>）政府采购促进残疾人就业政策。</w:t>
      </w:r>
    </w:p>
    <w:p w14:paraId="65B629FD">
      <w:pPr>
        <w:spacing w:line="460" w:lineRule="exact"/>
        <w:ind w:firstLine="315" w:firstLineChars="150"/>
        <w:rPr>
          <w:rFonts w:ascii="宋体" w:hAnsi="宋体" w:eastAsia="宋体" w:cs="Times New Roman"/>
          <w:kern w:val="0"/>
        </w:rPr>
      </w:pPr>
      <w:r>
        <w:rPr>
          <w:rFonts w:hint="eastAsia" w:ascii="宋体" w:hAnsi="宋体" w:eastAsia="宋体" w:cs="宋体"/>
          <w:kern w:val="0"/>
        </w:rPr>
        <w:t>（</w:t>
      </w:r>
      <w:r>
        <w:rPr>
          <w:rFonts w:ascii="宋体" w:hAnsi="宋体" w:eastAsia="宋体" w:cs="宋体"/>
          <w:kern w:val="0"/>
        </w:rPr>
        <w:t>5</w:t>
      </w:r>
      <w:r>
        <w:rPr>
          <w:rFonts w:hint="eastAsia" w:ascii="宋体" w:hAnsi="宋体" w:eastAsia="宋体" w:cs="宋体"/>
          <w:kern w:val="0"/>
        </w:rPr>
        <w:t>）政府采购支持监狱企业发展。</w:t>
      </w:r>
    </w:p>
    <w:p w14:paraId="30C7675C">
      <w:pPr>
        <w:spacing w:line="460" w:lineRule="exact"/>
        <w:ind w:firstLine="315" w:firstLineChars="150"/>
        <w:rPr>
          <w:rFonts w:ascii="宋体" w:hAnsi="宋体" w:eastAsia="宋体" w:cs="Times New Roman"/>
          <w:kern w:val="0"/>
        </w:rPr>
      </w:pPr>
      <w:r>
        <w:rPr>
          <w:rFonts w:hint="eastAsia" w:ascii="宋体" w:hAnsi="宋体" w:eastAsia="宋体" w:cs="宋体"/>
          <w:kern w:val="0"/>
        </w:rPr>
        <w:t>（</w:t>
      </w:r>
      <w:r>
        <w:rPr>
          <w:rFonts w:ascii="宋体" w:hAnsi="宋体" w:eastAsia="宋体" w:cs="宋体"/>
          <w:kern w:val="0"/>
        </w:rPr>
        <w:t>6</w:t>
      </w:r>
      <w:r>
        <w:rPr>
          <w:rFonts w:hint="eastAsia" w:ascii="宋体" w:hAnsi="宋体" w:eastAsia="宋体" w:cs="宋体"/>
          <w:kern w:val="0"/>
        </w:rPr>
        <w:t>）扶持不发达地区和少数民族地区政策。</w:t>
      </w:r>
    </w:p>
    <w:p w14:paraId="7F3F4664">
      <w:pPr>
        <w:spacing w:line="460" w:lineRule="exact"/>
        <w:ind w:firstLine="420" w:firstLineChars="200"/>
        <w:rPr>
          <w:rFonts w:ascii="宋体" w:hAnsi="宋体" w:eastAsia="宋体" w:cs="Times New Roman"/>
          <w:kern w:val="0"/>
        </w:rPr>
      </w:pPr>
      <w:r>
        <w:rPr>
          <w:rFonts w:ascii="宋体" w:hAnsi="宋体" w:eastAsia="宋体" w:cs="宋体"/>
          <w:kern w:val="0"/>
        </w:rPr>
        <w:t>5.</w:t>
      </w:r>
      <w:r>
        <w:rPr>
          <w:rFonts w:hint="eastAsia" w:ascii="宋体" w:hAnsi="宋体" w:eastAsia="宋体" w:cs="宋体"/>
          <w:kern w:val="0"/>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15BBDBC">
      <w:pPr>
        <w:spacing w:line="460" w:lineRule="exact"/>
        <w:ind w:firstLine="420" w:firstLineChars="200"/>
        <w:rPr>
          <w:rFonts w:ascii="宋体" w:hAnsi="宋体" w:eastAsia="宋体" w:cs="Times New Roman"/>
        </w:rPr>
      </w:pPr>
      <w:r>
        <w:rPr>
          <w:rFonts w:ascii="宋体" w:hAnsi="宋体" w:eastAsia="宋体" w:cs="宋体"/>
        </w:rPr>
        <w:t>6.</w:t>
      </w:r>
      <w:r>
        <w:rPr>
          <w:rFonts w:hint="eastAsia" w:ascii="宋体" w:hAnsi="宋体" w:eastAsia="宋体" w:cs="宋体"/>
        </w:rPr>
        <w:t>根据财政部《关于在政府采购活动中查询及使用信用记录有关问题的通知》（财库〔</w:t>
      </w:r>
      <w:r>
        <w:rPr>
          <w:rFonts w:ascii="宋体" w:hAnsi="宋体" w:eastAsia="宋体" w:cs="宋体"/>
        </w:rPr>
        <w:t>2016</w:t>
      </w:r>
      <w:r>
        <w:rPr>
          <w:rFonts w:hint="eastAsia" w:ascii="宋体" w:hAnsi="宋体" w:eastAsia="宋体" w:cs="宋体"/>
        </w:rPr>
        <w:t>〕</w:t>
      </w:r>
      <w:r>
        <w:rPr>
          <w:rFonts w:ascii="宋体" w:hAnsi="宋体" w:eastAsia="宋体" w:cs="宋体"/>
        </w:rPr>
        <w:t>125</w:t>
      </w:r>
      <w:r>
        <w:rPr>
          <w:rFonts w:hint="eastAsia" w:ascii="宋体" w:hAnsi="宋体" w:eastAsia="宋体" w:cs="宋体"/>
        </w:rPr>
        <w:t>号）的规定，对在“信用中国”网站</w:t>
      </w:r>
      <w:r>
        <w:rPr>
          <w:rFonts w:ascii="宋体" w:hAnsi="宋体" w:eastAsia="宋体" w:cs="宋体"/>
        </w:rPr>
        <w:t xml:space="preserve">(www.creditchina.gov.cn) </w:t>
      </w:r>
      <w:r>
        <w:rPr>
          <w:rFonts w:hint="eastAsia" w:ascii="宋体" w:hAnsi="宋体" w:eastAsia="宋体" w:cs="宋体"/>
        </w:rPr>
        <w:t>、中国政府采购网</w:t>
      </w:r>
      <w:r>
        <w:rPr>
          <w:rFonts w:ascii="宋体" w:hAnsi="宋体" w:eastAsia="宋体" w:cs="宋体"/>
        </w:rPr>
        <w:t>(www.ccgp.gov.cn)</w:t>
      </w:r>
      <w:r>
        <w:rPr>
          <w:rFonts w:hint="eastAsia" w:ascii="宋体" w:hAnsi="宋体" w:eastAsia="宋体" w:cs="宋体"/>
        </w:rPr>
        <w:t>被列入失信被执行人、重大税收违法失信主体、政府采购严重违法失信行为记录名单及其他不符合《中华人民共和国政府采购法》第二十二条规定条件的供应商，不得参与政府采购活动。</w:t>
      </w:r>
    </w:p>
    <w:p w14:paraId="349D2E40">
      <w:pPr>
        <w:spacing w:line="460" w:lineRule="exact"/>
        <w:ind w:firstLine="420" w:firstLineChars="200"/>
        <w:rPr>
          <w:rFonts w:ascii="宋体" w:hAnsi="宋体" w:eastAsia="宋体" w:cs="Times New Roman"/>
          <w:kern w:val="0"/>
        </w:rPr>
      </w:pPr>
      <w:r>
        <w:rPr>
          <w:rFonts w:ascii="宋体" w:hAnsi="宋体" w:eastAsia="宋体" w:cs="宋体"/>
          <w:kern w:val="0"/>
        </w:rPr>
        <w:t>7.</w:t>
      </w:r>
      <w:r>
        <w:rPr>
          <w:rFonts w:hint="eastAsia" w:ascii="宋体" w:hAnsi="宋体" w:eastAsia="宋体" w:cs="宋体"/>
          <w:kern w:val="0"/>
        </w:rPr>
        <w:t>供应商认为采购文件使自己的权益受到损害的，可以自获取采购文件之日或者采购文件公告期限届满之日（公告期限届满后获取采购文件的，以公告期限届满之日为准）起</w:t>
      </w:r>
      <w:r>
        <w:rPr>
          <w:rFonts w:ascii="宋体" w:hAnsi="宋体" w:eastAsia="宋体" w:cs="宋体"/>
          <w:kern w:val="0"/>
        </w:rPr>
        <w:t>7</w:t>
      </w:r>
      <w:r>
        <w:rPr>
          <w:rFonts w:hint="eastAsia" w:ascii="宋体" w:hAnsi="宋体" w:eastAsia="宋体" w:cs="宋体"/>
          <w:kern w:val="0"/>
        </w:rPr>
        <w:t>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4F1689FF">
      <w:pPr>
        <w:spacing w:line="460" w:lineRule="exact"/>
        <w:ind w:firstLine="420" w:firstLineChars="200"/>
        <w:rPr>
          <w:rFonts w:ascii="宋体" w:hAnsi="宋体" w:eastAsia="宋体" w:cs="Times New Roman"/>
          <w:kern w:val="0"/>
        </w:rPr>
      </w:pPr>
      <w:r>
        <w:rPr>
          <w:rFonts w:ascii="宋体" w:hAnsi="宋体" w:eastAsia="宋体" w:cs="宋体"/>
          <w:kern w:val="0"/>
        </w:rPr>
        <w:t>8.</w:t>
      </w:r>
      <w:r>
        <w:rPr>
          <w:rFonts w:hint="eastAsia" w:ascii="宋体" w:hAnsi="宋体" w:eastAsia="宋体" w:cs="宋体"/>
          <w:kern w:val="0"/>
        </w:rPr>
        <w:t>磋商注意事项：</w:t>
      </w:r>
    </w:p>
    <w:p w14:paraId="1D455C53">
      <w:pPr>
        <w:spacing w:line="460" w:lineRule="exact"/>
        <w:ind w:firstLine="420" w:firstLineChars="200"/>
        <w:rPr>
          <w:rFonts w:ascii="宋体" w:hAnsi="宋体" w:eastAsia="宋体" w:cs="Times New Roman"/>
          <w:kern w:val="0"/>
        </w:rPr>
      </w:pPr>
      <w:r>
        <w:rPr>
          <w:rFonts w:hint="eastAsia" w:ascii="宋体" w:hAnsi="宋体" w:eastAsia="宋体" w:cs="宋体"/>
          <w:kern w:val="0"/>
        </w:rPr>
        <w:t>（</w:t>
      </w:r>
      <w:r>
        <w:rPr>
          <w:rFonts w:ascii="宋体" w:hAnsi="宋体" w:eastAsia="宋体" w:cs="宋体"/>
          <w:kern w:val="0"/>
        </w:rPr>
        <w:t>1</w:t>
      </w:r>
      <w:r>
        <w:rPr>
          <w:rFonts w:hint="eastAsia" w:ascii="宋体" w:hAnsi="宋体" w:eastAsia="宋体" w:cs="宋体"/>
          <w:kern w:val="0"/>
        </w:rPr>
        <w:t>）本项目为全流程电子化采购项目，通过“广西政府采购云平台”（</w:t>
      </w:r>
      <w:r>
        <w:rPr>
          <w:rFonts w:ascii="宋体" w:hAnsi="宋体" w:eastAsia="宋体" w:cs="宋体"/>
          <w:kern w:val="0"/>
        </w:rPr>
        <w:t>https://www.gcy.zfcg.gxzf.gov.cn/</w:t>
      </w:r>
      <w:r>
        <w:rPr>
          <w:rFonts w:hint="eastAsia" w:ascii="宋体" w:hAnsi="宋体" w:eastAsia="宋体" w:cs="宋体"/>
          <w:kern w:val="0"/>
        </w:rPr>
        <w:t>）实行在线电子竞标，供应商应先安装“广西政府采购云平台新版客户端”（新版客户端下载路径：请自行前往广西政府采购网（访问地址</w:t>
      </w:r>
      <w:r>
        <w:rPr>
          <w:rFonts w:ascii="宋体" w:hAnsi="宋体" w:eastAsia="宋体" w:cs="宋体"/>
          <w:kern w:val="0"/>
        </w:rPr>
        <w:t>http://zfcg.gxzf.gov.cn/</w:t>
      </w:r>
      <w:r>
        <w:rPr>
          <w:rFonts w:hint="eastAsia" w:ascii="宋体" w:hAnsi="宋体" w:eastAsia="宋体" w:cs="宋体"/>
          <w:kern w:val="0"/>
        </w:rPr>
        <w:t>）</w:t>
      </w:r>
      <w:r>
        <w:rPr>
          <w:rFonts w:ascii="宋体" w:hAnsi="宋体" w:eastAsia="宋体" w:cs="宋体"/>
          <w:kern w:val="0"/>
        </w:rPr>
        <w:t>—</w:t>
      </w:r>
      <w:r>
        <w:rPr>
          <w:rFonts w:hint="eastAsia" w:ascii="宋体" w:hAnsi="宋体" w:eastAsia="宋体" w:cs="宋体"/>
          <w:kern w:val="0"/>
        </w:rPr>
        <w:t>办事服务</w:t>
      </w:r>
      <w:r>
        <w:rPr>
          <w:rFonts w:ascii="宋体" w:hAnsi="宋体" w:eastAsia="宋体" w:cs="宋体"/>
          <w:kern w:val="0"/>
        </w:rPr>
        <w:t>—</w:t>
      </w:r>
      <w:r>
        <w:rPr>
          <w:rFonts w:hint="eastAsia" w:ascii="宋体" w:hAnsi="宋体" w:eastAsia="宋体" w:cs="宋体"/>
          <w:kern w:val="0"/>
        </w:rPr>
        <w:t>下载专区），并按照本项目竞争性磋商文件和“广西政府采购云平台”的要求编制、加密后在竞标截止时间前通过网络上传至</w:t>
      </w:r>
      <w:r>
        <w:rPr>
          <w:rFonts w:ascii="宋体" w:hAnsi="宋体" w:eastAsia="宋体" w:cs="宋体"/>
          <w:kern w:val="0"/>
        </w:rPr>
        <w:t xml:space="preserve"> </w:t>
      </w:r>
      <w:r>
        <w:rPr>
          <w:rFonts w:hint="eastAsia" w:ascii="宋体" w:hAnsi="宋体" w:eastAsia="宋体" w:cs="宋体"/>
          <w:kern w:val="0"/>
        </w:rPr>
        <w:t>“广西政府采购云平台”，供应商在“广西政府采购云平台”提交电子响应文件时，请填写参加远程开标活动经办人联系方式。供应商登录“广西政府采购云平台”，依次进入“服务中心</w:t>
      </w:r>
      <w:r>
        <w:rPr>
          <w:rFonts w:ascii="宋体" w:hAnsi="宋体" w:eastAsia="宋体" w:cs="宋体"/>
          <w:kern w:val="0"/>
        </w:rPr>
        <w:t>-</w:t>
      </w:r>
      <w:r>
        <w:rPr>
          <w:rFonts w:hint="eastAsia" w:ascii="宋体" w:hAnsi="宋体" w:eastAsia="宋体" w:cs="宋体"/>
          <w:kern w:val="0"/>
        </w:rPr>
        <w:t>项目采购</w:t>
      </w:r>
      <w:r>
        <w:rPr>
          <w:rFonts w:ascii="宋体" w:hAnsi="宋体" w:eastAsia="宋体" w:cs="宋体"/>
          <w:kern w:val="0"/>
        </w:rPr>
        <w:t>-</w:t>
      </w:r>
      <w:r>
        <w:rPr>
          <w:rFonts w:hint="eastAsia" w:ascii="宋体" w:hAnsi="宋体" w:eastAsia="宋体" w:cs="宋体"/>
          <w:kern w:val="0"/>
        </w:rPr>
        <w:t>操作流程</w:t>
      </w:r>
      <w:r>
        <w:rPr>
          <w:rFonts w:ascii="宋体" w:hAnsi="宋体" w:eastAsia="宋体" w:cs="宋体"/>
          <w:kern w:val="0"/>
        </w:rPr>
        <w:t>-</w:t>
      </w:r>
      <w:r>
        <w:rPr>
          <w:rFonts w:hint="eastAsia" w:ascii="宋体" w:hAnsi="宋体" w:eastAsia="宋体" w:cs="宋体"/>
          <w:kern w:val="0"/>
        </w:rPr>
        <w:t>电子招投标</w:t>
      </w:r>
      <w:r>
        <w:rPr>
          <w:rFonts w:ascii="宋体" w:hAnsi="宋体" w:eastAsia="宋体" w:cs="宋体"/>
          <w:kern w:val="0"/>
        </w:rPr>
        <w:t>-</w:t>
      </w:r>
      <w:r>
        <w:rPr>
          <w:rFonts w:hint="eastAsia" w:ascii="宋体" w:hAnsi="宋体" w:eastAsia="宋体" w:cs="宋体"/>
          <w:kern w:val="0"/>
        </w:rPr>
        <w:t>政府采购项目电子交易管理操作指南</w:t>
      </w:r>
      <w:r>
        <w:rPr>
          <w:rFonts w:ascii="宋体" w:hAnsi="宋体" w:eastAsia="宋体" w:cs="宋体"/>
          <w:kern w:val="0"/>
        </w:rPr>
        <w:t>-</w:t>
      </w:r>
      <w:r>
        <w:rPr>
          <w:rFonts w:hint="eastAsia" w:ascii="宋体" w:hAnsi="宋体" w:eastAsia="宋体" w:cs="宋体"/>
          <w:kern w:val="0"/>
        </w:rPr>
        <w:t>供应商”查看电子竞标具体操作流程。</w:t>
      </w:r>
    </w:p>
    <w:p w14:paraId="2257935A">
      <w:pPr>
        <w:spacing w:line="460" w:lineRule="exact"/>
        <w:ind w:firstLine="420" w:firstLineChars="200"/>
        <w:rPr>
          <w:rFonts w:ascii="宋体" w:hAnsi="宋体" w:eastAsia="宋体" w:cs="Times New Roman"/>
          <w:kern w:val="0"/>
        </w:rPr>
      </w:pPr>
      <w:r>
        <w:rPr>
          <w:rFonts w:hint="eastAsia" w:ascii="宋体" w:hAnsi="宋体" w:eastAsia="宋体" w:cs="宋体"/>
          <w:kern w:val="0"/>
        </w:rPr>
        <w:t>（</w:t>
      </w:r>
      <w:r>
        <w:rPr>
          <w:rFonts w:ascii="宋体" w:hAnsi="宋体" w:eastAsia="宋体" w:cs="宋体"/>
          <w:kern w:val="0"/>
        </w:rPr>
        <w:t>2</w:t>
      </w:r>
      <w:r>
        <w:rPr>
          <w:rFonts w:hint="eastAsia" w:ascii="宋体" w:hAnsi="宋体" w:eastAsia="宋体" w:cs="宋体"/>
          <w:kern w:val="0"/>
        </w:rPr>
        <w:t>）未进行网上注册并办理数字证书（</w:t>
      </w:r>
      <w:r>
        <w:rPr>
          <w:rFonts w:ascii="宋体" w:hAnsi="宋体" w:eastAsia="宋体" w:cs="宋体"/>
          <w:kern w:val="0"/>
        </w:rPr>
        <w:t>CA</w:t>
      </w:r>
      <w:r>
        <w:rPr>
          <w:rFonts w:hint="eastAsia" w:ascii="宋体" w:hAnsi="宋体" w:eastAsia="宋体" w:cs="宋体"/>
          <w:kern w:val="0"/>
        </w:rPr>
        <w:t>认证）的供应商将无法参与本项目政府采购活动，供应商应当在竞标截止时间前，完成电子交易平台上的</w:t>
      </w:r>
      <w:r>
        <w:rPr>
          <w:rFonts w:ascii="宋体" w:hAnsi="宋体" w:eastAsia="宋体" w:cs="宋体"/>
          <w:kern w:val="0"/>
        </w:rPr>
        <w:t>CA</w:t>
      </w:r>
      <w:r>
        <w:rPr>
          <w:rFonts w:hint="eastAsia" w:ascii="宋体" w:hAnsi="宋体" w:eastAsia="宋体" w:cs="宋体"/>
          <w:kern w:val="0"/>
        </w:rPr>
        <w:t>数字证书办理及响应文件的提交（供应商可登录“广西政府采购网”，依次进入“办事服务</w:t>
      </w:r>
      <w:r>
        <w:rPr>
          <w:rFonts w:ascii="宋体" w:hAnsi="宋体" w:eastAsia="宋体" w:cs="宋体"/>
          <w:kern w:val="0"/>
        </w:rPr>
        <w:t>-</w:t>
      </w:r>
      <w:r>
        <w:rPr>
          <w:rFonts w:hint="eastAsia" w:ascii="宋体" w:hAnsi="宋体" w:eastAsia="宋体" w:cs="宋体"/>
          <w:kern w:val="0"/>
        </w:rPr>
        <w:t>下载专区”或者登陆“广西政府采购云平台”，依次进入“服务中心</w:t>
      </w:r>
      <w:r>
        <w:rPr>
          <w:rFonts w:ascii="宋体" w:hAnsi="宋体" w:eastAsia="宋体" w:cs="宋体"/>
          <w:kern w:val="0"/>
        </w:rPr>
        <w:t>-</w:t>
      </w:r>
      <w:r>
        <w:rPr>
          <w:rFonts w:hint="eastAsia" w:ascii="宋体" w:hAnsi="宋体" w:eastAsia="宋体" w:cs="宋体"/>
          <w:kern w:val="0"/>
        </w:rPr>
        <w:t>入驻与配置”中查看</w:t>
      </w:r>
      <w:r>
        <w:rPr>
          <w:rFonts w:ascii="宋体" w:hAnsi="宋体" w:eastAsia="宋体" w:cs="宋体"/>
          <w:kern w:val="0"/>
        </w:rPr>
        <w:t>CA</w:t>
      </w:r>
      <w:r>
        <w:rPr>
          <w:rFonts w:hint="eastAsia" w:ascii="宋体" w:hAnsi="宋体" w:eastAsia="宋体" w:cs="宋体"/>
          <w:kern w:val="0"/>
        </w:rPr>
        <w:t>数字证书办理操作流程。如在操作过程中遇到问题或者需要技术支持，请致电广西政府采购云平台客服热线：</w:t>
      </w:r>
      <w:r>
        <w:rPr>
          <w:rFonts w:ascii="宋体" w:hAnsi="宋体" w:eastAsia="宋体" w:cs="宋体"/>
          <w:kern w:val="0"/>
        </w:rPr>
        <w:t>95763</w:t>
      </w:r>
      <w:r>
        <w:rPr>
          <w:rFonts w:hint="eastAsia" w:ascii="宋体" w:hAnsi="宋体" w:eastAsia="宋体" w:cs="宋体"/>
          <w:kern w:val="0"/>
        </w:rPr>
        <w:t>）。</w:t>
      </w:r>
    </w:p>
    <w:p w14:paraId="4C89AB55">
      <w:pPr>
        <w:spacing w:line="460" w:lineRule="exact"/>
        <w:ind w:firstLine="420" w:firstLineChars="200"/>
        <w:rPr>
          <w:rFonts w:ascii="宋体" w:hAnsi="宋体" w:eastAsia="宋体" w:cs="Times New Roman"/>
          <w:kern w:val="0"/>
        </w:rPr>
      </w:pPr>
      <w:r>
        <w:rPr>
          <w:rFonts w:hint="eastAsia" w:ascii="宋体" w:hAnsi="宋体" w:eastAsia="宋体" w:cs="宋体"/>
          <w:kern w:val="0"/>
        </w:rPr>
        <w:t>（</w:t>
      </w:r>
      <w:r>
        <w:rPr>
          <w:rFonts w:ascii="宋体" w:hAnsi="宋体" w:eastAsia="宋体" w:cs="宋体"/>
          <w:kern w:val="0"/>
        </w:rPr>
        <w:t>3</w:t>
      </w:r>
      <w:r>
        <w:rPr>
          <w:rFonts w:hint="eastAsia" w:ascii="宋体" w:hAnsi="宋体" w:eastAsia="宋体" w:cs="宋体"/>
          <w:kern w:val="0"/>
        </w:rPr>
        <w:t>）</w:t>
      </w:r>
      <w:r>
        <w:rPr>
          <w:rFonts w:ascii="宋体" w:hAnsi="宋体" w:eastAsia="宋体" w:cs="宋体"/>
          <w:kern w:val="0"/>
        </w:rPr>
        <w:t>CA</w:t>
      </w:r>
      <w:r>
        <w:rPr>
          <w:rFonts w:hint="eastAsia" w:ascii="宋体" w:hAnsi="宋体" w:eastAsia="宋体" w:cs="宋体"/>
          <w:kern w:val="0"/>
        </w:rPr>
        <w:t>证书在线解密：供应商竞标时，需凭制作响应文件时用来加密的有效数字证书（</w:t>
      </w:r>
      <w:r>
        <w:rPr>
          <w:rFonts w:ascii="宋体" w:hAnsi="宋体" w:eastAsia="宋体" w:cs="宋体"/>
          <w:kern w:val="0"/>
        </w:rPr>
        <w:t>CA</w:t>
      </w:r>
      <w:r>
        <w:rPr>
          <w:rFonts w:hint="eastAsia" w:ascii="宋体" w:hAnsi="宋体" w:eastAsia="宋体" w:cs="宋体"/>
          <w:kern w:val="0"/>
        </w:rPr>
        <w:t>认证）登录“广西政府采购云平台”电子开标大厅现场按规定时间对加密的响应文件进行解密，否则后果自负。</w:t>
      </w:r>
    </w:p>
    <w:p w14:paraId="238CC9E0">
      <w:pPr>
        <w:spacing w:line="460" w:lineRule="exact"/>
        <w:ind w:firstLine="420" w:firstLineChars="200"/>
        <w:rPr>
          <w:rFonts w:ascii="宋体" w:hAnsi="宋体" w:eastAsia="宋体" w:cs="Times New Roman"/>
          <w:kern w:val="0"/>
        </w:rPr>
      </w:pPr>
      <w:r>
        <w:rPr>
          <w:rFonts w:hint="eastAsia" w:ascii="宋体" w:hAnsi="宋体" w:eastAsia="宋体" w:cs="宋体"/>
          <w:kern w:val="0"/>
        </w:rPr>
        <w:t>注：</w:t>
      </w:r>
      <w:r>
        <w:rPr>
          <w:rFonts w:ascii="宋体" w:hAnsi="宋体" w:eastAsia="宋体" w:cs="宋体"/>
          <w:kern w:val="0"/>
        </w:rPr>
        <w:t>1</w:t>
      </w:r>
      <w:r>
        <w:rPr>
          <w:rFonts w:hint="eastAsia" w:ascii="宋体" w:hAnsi="宋体" w:eastAsia="宋体" w:cs="宋体"/>
          <w:kern w:val="0"/>
        </w:rPr>
        <w:t>）为确保网上操作合法、有效和安全，请供应商确保在电子投标过程中能够对相关数据电文进行加密和使用电子签章，妥善保管</w:t>
      </w:r>
      <w:r>
        <w:rPr>
          <w:rFonts w:ascii="宋体" w:hAnsi="宋体" w:eastAsia="宋体" w:cs="宋体"/>
          <w:kern w:val="0"/>
        </w:rPr>
        <w:t>CA</w:t>
      </w:r>
      <w:r>
        <w:rPr>
          <w:rFonts w:hint="eastAsia" w:ascii="宋体" w:hAnsi="宋体" w:eastAsia="宋体" w:cs="宋体"/>
          <w:kern w:val="0"/>
        </w:rPr>
        <w:t>数字证书并使用有效的</w:t>
      </w:r>
      <w:r>
        <w:rPr>
          <w:rFonts w:ascii="宋体" w:hAnsi="宋体" w:eastAsia="宋体" w:cs="宋体"/>
          <w:kern w:val="0"/>
        </w:rPr>
        <w:t>CA</w:t>
      </w:r>
      <w:r>
        <w:rPr>
          <w:rFonts w:hint="eastAsia" w:ascii="宋体" w:hAnsi="宋体" w:eastAsia="宋体" w:cs="宋体"/>
          <w:kern w:val="0"/>
        </w:rPr>
        <w:t>数字证书参与整个采购活动。</w:t>
      </w:r>
      <w:r>
        <w:rPr>
          <w:rFonts w:ascii="宋体" w:hAnsi="宋体" w:eastAsia="宋体" w:cs="宋体"/>
          <w:kern w:val="0"/>
        </w:rPr>
        <w:t>2</w:t>
      </w:r>
      <w:r>
        <w:rPr>
          <w:rFonts w:hint="eastAsia" w:ascii="宋体" w:hAnsi="宋体" w:eastAsia="宋体" w:cs="宋体"/>
          <w:kern w:val="0"/>
        </w:rPr>
        <w:t>）供应商应当在竞标截止时间前完成电子响应文件的上传、提交，竞标截止时间前可以补充、修改或者撤回响应文件。补充或者修改响应文件的，应当先行撤回原响应文件，补充、修改后重新上传、提交，提交响应文件截止时间前未完成上传、提交的，视为撤回响应文件。提交响应文件截止时间以后上传递交的响应文件，“广西政府采购云平台”将予以拒收。</w:t>
      </w:r>
    </w:p>
    <w:p w14:paraId="0350D000">
      <w:pPr>
        <w:spacing w:line="460" w:lineRule="exact"/>
        <w:ind w:firstLine="420" w:firstLineChars="200"/>
        <w:rPr>
          <w:rFonts w:ascii="宋体" w:hAnsi="宋体" w:eastAsia="宋体" w:cs="Times New Roman"/>
          <w:kern w:val="0"/>
        </w:rPr>
      </w:pPr>
      <w:r>
        <w:rPr>
          <w:rFonts w:hint="eastAsia" w:ascii="宋体" w:hAnsi="宋体" w:eastAsia="宋体" w:cs="宋体"/>
          <w:kern w:val="0"/>
        </w:rPr>
        <w:t>（</w:t>
      </w:r>
      <w:r>
        <w:rPr>
          <w:rFonts w:ascii="宋体" w:hAnsi="宋体" w:eastAsia="宋体" w:cs="宋体"/>
          <w:kern w:val="0"/>
        </w:rPr>
        <w:t>4</w:t>
      </w:r>
      <w:r>
        <w:rPr>
          <w:rFonts w:hint="eastAsia" w:ascii="宋体" w:hAnsi="宋体" w:eastAsia="宋体" w:cs="宋体"/>
          <w:kern w:val="0"/>
        </w:rPr>
        <w:t>）供应商需要在具备有摄像头及语音功能且互联网网络状况良好的电脑登录“广西政府采购云平台”远程开标大厅参与本次磋商，否则后果自负。</w:t>
      </w:r>
    </w:p>
    <w:p w14:paraId="733A5F91">
      <w:pPr>
        <w:spacing w:line="460" w:lineRule="exact"/>
        <w:ind w:firstLine="420" w:firstLineChars="200"/>
        <w:rPr>
          <w:rFonts w:ascii="宋体" w:hAnsi="宋体" w:eastAsia="宋体" w:cs="Times New Roman"/>
          <w:kern w:val="0"/>
        </w:rPr>
      </w:pPr>
      <w:r>
        <w:rPr>
          <w:rFonts w:hint="eastAsia" w:ascii="宋体" w:hAnsi="宋体" w:eastAsia="宋体" w:cs="宋体"/>
          <w:kern w:val="0"/>
        </w:rPr>
        <w:t>（</w:t>
      </w:r>
      <w:r>
        <w:rPr>
          <w:rFonts w:ascii="宋体" w:hAnsi="宋体" w:eastAsia="宋体" w:cs="宋体"/>
          <w:kern w:val="0"/>
        </w:rPr>
        <w:t>5</w:t>
      </w:r>
      <w:r>
        <w:rPr>
          <w:rFonts w:hint="eastAsia" w:ascii="宋体" w:hAnsi="宋体" w:eastAsia="宋体" w:cs="宋体"/>
          <w:kern w:val="0"/>
        </w:rPr>
        <w:t>）若对项目采购电子交易系统操作有疑问，可登录“广西政府采购云平台”（</w:t>
      </w:r>
      <w:r>
        <w:rPr>
          <w:rFonts w:ascii="宋体" w:hAnsi="宋体" w:eastAsia="宋体" w:cs="宋体"/>
          <w:kern w:val="0"/>
        </w:rPr>
        <w:t>https://www.gcy.zfcg.gxzf.gov.cn/</w:t>
      </w:r>
      <w:r>
        <w:rPr>
          <w:rFonts w:hint="eastAsia" w:ascii="宋体" w:hAnsi="宋体" w:eastAsia="宋体" w:cs="宋体"/>
          <w:kern w:val="0"/>
        </w:rPr>
        <w:t>），点击右侧咨询小采，获取采小蜜智能服务管家帮助，或拨打广西政府采购云平台服务热线</w:t>
      </w:r>
      <w:r>
        <w:rPr>
          <w:rFonts w:ascii="宋体" w:hAnsi="宋体" w:eastAsia="宋体" w:cs="宋体"/>
          <w:kern w:val="0"/>
        </w:rPr>
        <w:t>95763</w:t>
      </w:r>
      <w:r>
        <w:rPr>
          <w:rFonts w:hint="eastAsia" w:ascii="宋体" w:hAnsi="宋体" w:eastAsia="宋体" w:cs="宋体"/>
          <w:kern w:val="0"/>
        </w:rPr>
        <w:t>获取热线服务帮助。</w:t>
      </w:r>
    </w:p>
    <w:p w14:paraId="0DAE4A48">
      <w:pPr>
        <w:spacing w:line="460" w:lineRule="exact"/>
        <w:ind w:firstLine="420" w:firstLineChars="200"/>
        <w:rPr>
          <w:rFonts w:ascii="宋体" w:hAnsi="宋体" w:eastAsia="宋体" w:cs="宋体"/>
          <w:kern w:val="0"/>
        </w:rPr>
      </w:pPr>
      <w:r>
        <w:rPr>
          <w:rFonts w:ascii="宋体" w:hAnsi="宋体" w:eastAsia="宋体" w:cs="宋体"/>
          <w:kern w:val="0"/>
        </w:rPr>
        <w:t>9.</w:t>
      </w:r>
      <w:r>
        <w:rPr>
          <w:rFonts w:hint="eastAsia" w:ascii="宋体" w:hAnsi="宋体" w:eastAsia="宋体" w:cs="宋体"/>
          <w:kern w:val="0"/>
        </w:rPr>
        <w:t>本项目为远程异地全流程电子评标。</w:t>
      </w:r>
      <w:r>
        <w:rPr>
          <w:rFonts w:ascii="宋体" w:hAnsi="宋体" w:eastAsia="宋体" w:cs="宋体"/>
          <w:kern w:val="0"/>
        </w:rPr>
        <w:t xml:space="preserve"> </w:t>
      </w:r>
    </w:p>
    <w:p w14:paraId="38CDBB99">
      <w:pPr>
        <w:spacing w:line="460" w:lineRule="exact"/>
        <w:ind w:firstLine="413" w:firstLineChars="196"/>
        <w:rPr>
          <w:rFonts w:ascii="宋体" w:hAnsi="宋体" w:eastAsia="宋体" w:cs="Times New Roman"/>
        </w:rPr>
      </w:pPr>
      <w:r>
        <w:rPr>
          <w:rFonts w:hint="eastAsia" w:ascii="宋体" w:hAnsi="宋体" w:eastAsia="宋体" w:cs="宋体"/>
          <w:b/>
          <w:bCs/>
          <w:kern w:val="44"/>
        </w:rPr>
        <w:t>八、凡对本次采购提出询问，请按以下方式联系</w:t>
      </w:r>
    </w:p>
    <w:p w14:paraId="707CA8C9">
      <w:pPr>
        <w:spacing w:line="460" w:lineRule="exact"/>
        <w:ind w:firstLine="420" w:firstLineChars="200"/>
        <w:jc w:val="left"/>
        <w:rPr>
          <w:rFonts w:ascii="宋体" w:hAnsi="宋体" w:eastAsia="宋体" w:cs="Times New Roman"/>
        </w:rPr>
      </w:pPr>
      <w:r>
        <w:rPr>
          <w:rFonts w:ascii="宋体" w:hAnsi="宋体" w:eastAsia="宋体" w:cs="宋体"/>
        </w:rPr>
        <w:t>1.</w:t>
      </w:r>
      <w:r>
        <w:rPr>
          <w:rFonts w:hint="eastAsia" w:ascii="宋体" w:hAnsi="宋体" w:eastAsia="宋体" w:cs="宋体"/>
        </w:rPr>
        <w:t>采购人信息</w:t>
      </w:r>
    </w:p>
    <w:p w14:paraId="6AB38BCC">
      <w:pPr>
        <w:spacing w:line="460" w:lineRule="exact"/>
        <w:ind w:firstLine="420" w:firstLineChars="200"/>
        <w:jc w:val="left"/>
        <w:rPr>
          <w:rFonts w:ascii="宋体" w:hAnsi="宋体" w:eastAsia="宋体" w:cs="Times New Roman"/>
        </w:rPr>
      </w:pPr>
      <w:r>
        <w:rPr>
          <w:rFonts w:hint="eastAsia" w:ascii="宋体" w:hAnsi="宋体" w:eastAsia="宋体" w:cs="宋体"/>
        </w:rPr>
        <w:t>名</w:t>
      </w:r>
      <w:r>
        <w:rPr>
          <w:rFonts w:ascii="宋体" w:hAnsi="宋体" w:eastAsia="宋体" w:cs="宋体"/>
        </w:rPr>
        <w:t xml:space="preserve"> </w:t>
      </w:r>
      <w:r>
        <w:rPr>
          <w:rFonts w:hint="eastAsia" w:ascii="宋体" w:hAnsi="宋体" w:eastAsia="宋体" w:cs="宋体"/>
        </w:rPr>
        <w:t>称：博白县水利局</w:t>
      </w:r>
    </w:p>
    <w:p w14:paraId="4856C1FD">
      <w:pPr>
        <w:spacing w:line="460" w:lineRule="exact"/>
        <w:ind w:firstLine="420" w:firstLineChars="200"/>
        <w:jc w:val="left"/>
        <w:rPr>
          <w:rFonts w:ascii="宋体" w:hAnsi="宋体" w:eastAsia="宋体" w:cs="宋体"/>
        </w:rPr>
      </w:pPr>
      <w:r>
        <w:rPr>
          <w:rFonts w:hint="eastAsia" w:ascii="宋体" w:hAnsi="宋体" w:eastAsia="宋体" w:cs="宋体"/>
        </w:rPr>
        <w:t>地址：博白县博白镇朝阳西路</w:t>
      </w:r>
      <w:r>
        <w:rPr>
          <w:rFonts w:ascii="宋体" w:hAnsi="宋体" w:eastAsia="宋体" w:cs="宋体"/>
        </w:rPr>
        <w:t>029</w:t>
      </w:r>
      <w:r>
        <w:rPr>
          <w:rFonts w:hint="eastAsia" w:ascii="宋体" w:hAnsi="宋体" w:eastAsia="宋体" w:cs="宋体"/>
        </w:rPr>
        <w:t>号</w:t>
      </w:r>
      <w:r>
        <w:rPr>
          <w:rFonts w:ascii="宋体" w:hAnsi="宋体" w:eastAsia="宋体" w:cs="宋体"/>
        </w:rPr>
        <w:t xml:space="preserve"> </w:t>
      </w:r>
    </w:p>
    <w:p w14:paraId="3EF28C4E">
      <w:pPr>
        <w:spacing w:line="460" w:lineRule="exact"/>
        <w:ind w:firstLine="420" w:firstLineChars="200"/>
        <w:rPr>
          <w:rFonts w:ascii="宋体" w:hAnsi="宋体" w:eastAsia="宋体" w:cs="Times New Roman"/>
        </w:rPr>
      </w:pPr>
      <w:r>
        <w:rPr>
          <w:rFonts w:hint="eastAsia" w:ascii="宋体" w:hAnsi="宋体" w:eastAsia="宋体" w:cs="宋体"/>
        </w:rPr>
        <w:t>项目联系人：宋家认</w:t>
      </w:r>
    </w:p>
    <w:p w14:paraId="507AF0A5">
      <w:pPr>
        <w:spacing w:line="460" w:lineRule="exact"/>
        <w:ind w:firstLine="420" w:firstLineChars="200"/>
        <w:jc w:val="left"/>
        <w:rPr>
          <w:rFonts w:ascii="宋体" w:hAnsi="宋体" w:eastAsia="宋体" w:cs="宋体"/>
        </w:rPr>
      </w:pPr>
      <w:r>
        <w:rPr>
          <w:rFonts w:hint="eastAsia" w:ascii="宋体" w:hAnsi="宋体" w:eastAsia="宋体" w:cs="宋体"/>
        </w:rPr>
        <w:t>联系电话：</w:t>
      </w:r>
      <w:r>
        <w:rPr>
          <w:rFonts w:ascii="宋体" w:hAnsi="宋体" w:eastAsia="宋体" w:cs="宋体"/>
        </w:rPr>
        <w:t>0775-8229618</w:t>
      </w:r>
    </w:p>
    <w:p w14:paraId="291E95BE">
      <w:pPr>
        <w:spacing w:line="460" w:lineRule="exact"/>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采购代理机构信息</w:t>
      </w:r>
    </w:p>
    <w:p w14:paraId="441041E9">
      <w:pPr>
        <w:spacing w:line="460" w:lineRule="exact"/>
        <w:ind w:firstLine="420" w:firstLineChars="200"/>
        <w:rPr>
          <w:rFonts w:ascii="宋体" w:hAnsi="宋体" w:eastAsia="宋体" w:cs="Times New Roman"/>
        </w:rPr>
      </w:pPr>
      <w:r>
        <w:rPr>
          <w:rFonts w:hint="eastAsia" w:ascii="宋体" w:hAnsi="宋体" w:eastAsia="宋体" w:cs="宋体"/>
        </w:rPr>
        <w:t>名</w:t>
      </w:r>
      <w:r>
        <w:rPr>
          <w:rFonts w:ascii="宋体" w:hAnsi="宋体" w:eastAsia="宋体" w:cs="宋体"/>
        </w:rPr>
        <w:t xml:space="preserve"> </w:t>
      </w:r>
      <w:r>
        <w:rPr>
          <w:rFonts w:hint="eastAsia" w:ascii="宋体" w:hAnsi="宋体" w:eastAsia="宋体" w:cs="宋体"/>
        </w:rPr>
        <w:t>称：广西龙瑞工程管理有限公司</w:t>
      </w:r>
    </w:p>
    <w:p w14:paraId="776861FE">
      <w:pPr>
        <w:spacing w:line="460" w:lineRule="exact"/>
        <w:ind w:firstLine="420" w:firstLineChars="200"/>
        <w:rPr>
          <w:rFonts w:ascii="宋体" w:hAnsi="宋体" w:eastAsia="宋体" w:cs="Times New Roman"/>
        </w:rPr>
      </w:pPr>
      <w:r>
        <w:rPr>
          <w:rFonts w:hint="eastAsia" w:ascii="宋体" w:hAnsi="宋体" w:eastAsia="宋体" w:cs="宋体"/>
        </w:rPr>
        <w:t>地　址：博白县博白镇兴民一路</w:t>
      </w:r>
      <w:r>
        <w:rPr>
          <w:rFonts w:ascii="宋体" w:hAnsi="宋体" w:eastAsia="宋体" w:cs="宋体"/>
        </w:rPr>
        <w:t>101</w:t>
      </w:r>
      <w:r>
        <w:rPr>
          <w:rFonts w:hint="eastAsia" w:ascii="宋体" w:hAnsi="宋体" w:eastAsia="宋体" w:cs="宋体"/>
        </w:rPr>
        <w:t>号</w:t>
      </w:r>
    </w:p>
    <w:p w14:paraId="74D2C478">
      <w:pPr>
        <w:spacing w:line="460" w:lineRule="exact"/>
        <w:ind w:firstLine="420" w:firstLineChars="200"/>
        <w:rPr>
          <w:rFonts w:ascii="宋体" w:hAnsi="宋体" w:eastAsia="宋体" w:cs="宋体"/>
        </w:rPr>
      </w:pPr>
      <w:r>
        <w:rPr>
          <w:rFonts w:hint="eastAsia" w:ascii="宋体" w:hAnsi="宋体" w:eastAsia="宋体" w:cs="宋体"/>
        </w:rPr>
        <w:t>联系电话：</w:t>
      </w:r>
      <w:r>
        <w:rPr>
          <w:rFonts w:ascii="宋体" w:hAnsi="宋体" w:eastAsia="宋体" w:cs="宋体"/>
        </w:rPr>
        <w:t>0775-8238198</w:t>
      </w:r>
      <w:r>
        <w:rPr>
          <w:rFonts w:hint="eastAsia" w:ascii="宋体" w:hAnsi="宋体" w:eastAsia="宋体" w:cs="宋体"/>
        </w:rPr>
        <w:t>、</w:t>
      </w:r>
      <w:r>
        <w:rPr>
          <w:rFonts w:ascii="宋体" w:hAnsi="宋体" w:eastAsia="宋体" w:cs="宋体"/>
        </w:rPr>
        <w:t>15578831045</w:t>
      </w:r>
    </w:p>
    <w:p w14:paraId="3C830A23">
      <w:pPr>
        <w:spacing w:line="460" w:lineRule="exact"/>
        <w:ind w:firstLine="420" w:firstLineChars="200"/>
        <w:rPr>
          <w:rFonts w:ascii="宋体" w:hAnsi="宋体" w:eastAsia="宋体" w:cs="宋体"/>
        </w:rPr>
      </w:pPr>
      <w:r>
        <w:rPr>
          <w:rFonts w:ascii="宋体" w:hAnsi="宋体" w:eastAsia="宋体" w:cs="宋体"/>
        </w:rPr>
        <w:t>3.</w:t>
      </w:r>
      <w:r>
        <w:rPr>
          <w:rFonts w:hint="eastAsia" w:ascii="宋体" w:hAnsi="宋体" w:eastAsia="宋体" w:cs="宋体"/>
        </w:rPr>
        <w:t>项目联系方式</w:t>
      </w:r>
      <w:r>
        <w:rPr>
          <w:rFonts w:ascii="宋体" w:hAnsi="宋体" w:eastAsia="宋体" w:cs="宋体"/>
        </w:rPr>
        <w:t xml:space="preserve"> </w:t>
      </w:r>
    </w:p>
    <w:p w14:paraId="33BE43AD">
      <w:pPr>
        <w:spacing w:line="460" w:lineRule="exact"/>
        <w:ind w:firstLine="420" w:firstLineChars="200"/>
        <w:rPr>
          <w:rFonts w:ascii="宋体" w:hAnsi="宋体" w:eastAsia="宋体" w:cs="Times New Roman"/>
        </w:rPr>
      </w:pPr>
      <w:r>
        <w:rPr>
          <w:rFonts w:hint="eastAsia" w:ascii="宋体" w:hAnsi="宋体" w:eastAsia="宋体" w:cs="宋体"/>
        </w:rPr>
        <w:t>项目联系人：吕诗恩</w:t>
      </w:r>
    </w:p>
    <w:p w14:paraId="40269D41">
      <w:pPr>
        <w:spacing w:line="460" w:lineRule="exact"/>
        <w:ind w:firstLine="420" w:firstLineChars="200"/>
        <w:rPr>
          <w:rFonts w:ascii="宋体" w:hAnsi="宋体" w:eastAsia="宋体" w:cs="Times New Roman"/>
        </w:rPr>
      </w:pPr>
      <w:r>
        <w:rPr>
          <w:rFonts w:hint="eastAsia" w:ascii="宋体" w:hAnsi="宋体" w:eastAsia="宋体" w:cs="宋体"/>
        </w:rPr>
        <w:t>电</w:t>
      </w:r>
      <w:r>
        <w:rPr>
          <w:rFonts w:ascii="宋体" w:hAnsi="宋体" w:eastAsia="宋体" w:cs="宋体"/>
        </w:rPr>
        <w:t xml:space="preserve">    </w:t>
      </w:r>
      <w:r>
        <w:rPr>
          <w:rFonts w:hint="eastAsia" w:ascii="宋体" w:hAnsi="宋体" w:eastAsia="宋体" w:cs="宋体"/>
        </w:rPr>
        <w:t>话：</w:t>
      </w:r>
      <w:r>
        <w:rPr>
          <w:rFonts w:ascii="宋体" w:hAnsi="宋体" w:eastAsia="宋体" w:cs="宋体"/>
        </w:rPr>
        <w:t>0775-8238198</w:t>
      </w:r>
    </w:p>
    <w:p w14:paraId="170C23EA">
      <w:pPr>
        <w:pStyle w:val="2"/>
      </w:pPr>
      <w:r>
        <w:br w:type="page"/>
      </w:r>
      <w:bookmarkStart w:id="31" w:name="_Toc23705"/>
      <w:r>
        <w:rPr>
          <w:rFonts w:hint="eastAsia" w:cs="宋体"/>
        </w:rPr>
        <w:t>第二章</w:t>
      </w:r>
      <w:r>
        <w:t xml:space="preserve"> </w:t>
      </w:r>
      <w:r>
        <w:rPr>
          <w:rFonts w:hint="eastAsia" w:cs="宋体"/>
        </w:rPr>
        <w:t>采购需求</w:t>
      </w:r>
      <w:bookmarkEnd w:id="31"/>
    </w:p>
    <w:p w14:paraId="48969A29">
      <w:pPr>
        <w:spacing w:line="500" w:lineRule="exact"/>
        <w:jc w:val="left"/>
        <w:rPr>
          <w:rFonts w:ascii="宋体" w:hAnsi="宋体" w:eastAsia="宋体" w:cs="Times New Roman"/>
        </w:rPr>
      </w:pPr>
      <w:r>
        <w:rPr>
          <w:rFonts w:hint="eastAsia" w:ascii="宋体" w:hAnsi="宋体" w:eastAsia="宋体" w:cs="宋体"/>
        </w:rPr>
        <w:t>说明：</w:t>
      </w:r>
    </w:p>
    <w:p w14:paraId="5FF427CE">
      <w:pPr>
        <w:spacing w:line="500" w:lineRule="exact"/>
        <w:ind w:firstLine="420" w:firstLineChars="200"/>
        <w:jc w:val="left"/>
        <w:rPr>
          <w:rFonts w:ascii="宋体" w:hAnsi="宋体" w:eastAsia="宋体" w:cs="Times New Roman"/>
        </w:rPr>
      </w:pPr>
      <w:r>
        <w:rPr>
          <w:rFonts w:ascii="宋体" w:hAnsi="宋体" w:eastAsia="宋体" w:cs="宋体"/>
        </w:rPr>
        <w:t>1</w:t>
      </w:r>
      <w:r>
        <w:rPr>
          <w:rFonts w:hint="eastAsia" w:ascii="宋体" w:hAnsi="宋体" w:eastAsia="宋体" w:cs="宋体"/>
        </w:rPr>
        <w:t>、根据《财政部</w:t>
      </w:r>
      <w:r>
        <w:rPr>
          <w:rFonts w:ascii="宋体" w:hAnsi="宋体" w:eastAsia="宋体" w:cs="宋体"/>
        </w:rPr>
        <w:t xml:space="preserve"> </w:t>
      </w:r>
      <w:r>
        <w:rPr>
          <w:rFonts w:hint="eastAsia" w:ascii="宋体" w:hAnsi="宋体" w:eastAsia="宋体" w:cs="宋体"/>
        </w:rPr>
        <w:t>发展改革委</w:t>
      </w:r>
      <w:r>
        <w:rPr>
          <w:rFonts w:ascii="宋体" w:hAnsi="宋体" w:eastAsia="宋体" w:cs="宋体"/>
        </w:rPr>
        <w:t xml:space="preserve"> </w:t>
      </w:r>
      <w:r>
        <w:rPr>
          <w:rFonts w:hint="eastAsia" w:ascii="宋体" w:hAnsi="宋体" w:eastAsia="宋体" w:cs="宋体"/>
        </w:rPr>
        <w:t>生态环境部</w:t>
      </w:r>
      <w:r>
        <w:rPr>
          <w:rFonts w:ascii="宋体" w:hAnsi="宋体" w:eastAsia="宋体" w:cs="宋体"/>
        </w:rPr>
        <w:t xml:space="preserve"> </w:t>
      </w:r>
      <w:r>
        <w:rPr>
          <w:rFonts w:hint="eastAsia" w:ascii="宋体" w:hAnsi="宋体" w:eastAsia="宋体" w:cs="宋体"/>
        </w:rPr>
        <w:t>市场监管总局关于调整优化节能产品、环境标志产品政府采购执行机制的通知》（财库〔</w:t>
      </w:r>
      <w:r>
        <w:rPr>
          <w:rFonts w:ascii="宋体" w:hAnsi="宋体" w:eastAsia="宋体" w:cs="宋体"/>
        </w:rPr>
        <w:t>2019</w:t>
      </w:r>
      <w:r>
        <w:rPr>
          <w:rFonts w:hint="eastAsia" w:ascii="宋体" w:hAnsi="宋体" w:eastAsia="宋体" w:cs="宋体"/>
        </w:rPr>
        <w:t>〕</w:t>
      </w:r>
      <w:r>
        <w:rPr>
          <w:rFonts w:ascii="宋体" w:hAnsi="宋体" w:eastAsia="宋体" w:cs="宋体"/>
        </w:rPr>
        <w:t>9</w:t>
      </w:r>
      <w:r>
        <w:rPr>
          <w:rFonts w:hint="eastAsia" w:ascii="宋体" w:hAnsi="宋体" w:eastAsia="宋体" w:cs="宋体"/>
        </w:rPr>
        <w:t>号）和《关于印发节能产品政府采购品目清单的通知》（财库〔</w:t>
      </w:r>
      <w:r>
        <w:rPr>
          <w:rFonts w:ascii="宋体" w:hAnsi="宋体" w:eastAsia="宋体" w:cs="宋体"/>
        </w:rPr>
        <w:t>2019</w:t>
      </w:r>
      <w:r>
        <w:rPr>
          <w:rFonts w:hint="eastAsia" w:ascii="宋体" w:hAnsi="宋体" w:eastAsia="宋体" w:cs="宋体"/>
        </w:rPr>
        <w:t>〕</w:t>
      </w:r>
      <w:r>
        <w:rPr>
          <w:rFonts w:ascii="宋体" w:hAnsi="宋体" w:eastAsia="宋体" w:cs="宋体"/>
        </w:rPr>
        <w:t>19</w:t>
      </w:r>
      <w:r>
        <w:rPr>
          <w:rFonts w:hint="eastAsia" w:ascii="宋体" w:hAnsi="宋体" w:eastAsia="宋体" w:cs="宋体"/>
        </w:rPr>
        <w:t>号）的规定，采购需求中的产品属于节能产品政府采购品目清单内标注“★”的，供应商的竞标货物必须使用政府强制采购的节能产品，否则响应文件作无效响应处理。</w:t>
      </w:r>
    </w:p>
    <w:p w14:paraId="6BF71759">
      <w:pPr>
        <w:autoSpaceDE w:val="0"/>
        <w:autoSpaceDN w:val="0"/>
        <w:adjustRightInd w:val="0"/>
        <w:spacing w:line="500" w:lineRule="exact"/>
        <w:ind w:firstLine="420" w:firstLineChars="200"/>
        <w:jc w:val="left"/>
        <w:rPr>
          <w:rFonts w:ascii="宋体" w:hAnsi="宋体" w:eastAsia="宋体" w:cs="Times New Roman"/>
        </w:rPr>
      </w:pPr>
      <w:r>
        <w:rPr>
          <w:rFonts w:ascii="宋体" w:hAnsi="宋体" w:eastAsia="宋体" w:cs="宋体"/>
        </w:rPr>
        <w:t>2</w:t>
      </w:r>
      <w:r>
        <w:rPr>
          <w:rFonts w:hint="eastAsia" w:ascii="宋体" w:hAnsi="宋体" w:eastAsia="宋体" w:cs="宋体"/>
        </w:rPr>
        <w:t>、</w:t>
      </w:r>
      <w:r>
        <w:rPr>
          <w:rFonts w:hint="eastAsia" w:ascii="宋体" w:eastAsia="宋体" w:cs="宋体"/>
          <w:kern w:val="0"/>
        </w:rPr>
        <w:t>如供应商竞标产品存在侵犯他人的知识产权或者专利成果行为的，由供应商自行承担相应法律责任。</w:t>
      </w:r>
    </w:p>
    <w:p w14:paraId="75386C68">
      <w:pPr>
        <w:spacing w:line="500" w:lineRule="exact"/>
        <w:ind w:firstLine="420" w:firstLineChars="200"/>
        <w:rPr>
          <w:rFonts w:ascii="宋体" w:hAnsi="宋体" w:eastAsia="宋体" w:cs="Times New Roman"/>
        </w:rPr>
      </w:pPr>
      <w:r>
        <w:rPr>
          <w:rFonts w:ascii="宋体" w:hAnsi="宋体" w:eastAsia="宋体" w:cs="宋体"/>
        </w:rPr>
        <w:t>3</w:t>
      </w:r>
      <w:r>
        <w:rPr>
          <w:rFonts w:hint="eastAsia" w:ascii="宋体" w:hAnsi="宋体" w:eastAsia="宋体" w:cs="宋体"/>
        </w:rPr>
        <w:t>、“实质性要求”是指采购需求中带“▲”的条款或者不能负偏离的条款或者已经指明不满足则按响应文件作无效处理的条款。</w:t>
      </w:r>
    </w:p>
    <w:tbl>
      <w:tblPr>
        <w:tblStyle w:val="44"/>
        <w:tblW w:w="100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085"/>
        <w:gridCol w:w="28"/>
        <w:gridCol w:w="823"/>
        <w:gridCol w:w="4345"/>
        <w:gridCol w:w="1277"/>
        <w:gridCol w:w="1345"/>
        <w:gridCol w:w="41"/>
      </w:tblGrid>
      <w:tr w14:paraId="42EB2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34" w:type="dxa"/>
            <w:gridSpan w:val="9"/>
            <w:tcBorders>
              <w:top w:val="single" w:color="auto" w:sz="4" w:space="0"/>
            </w:tcBorders>
            <w:vAlign w:val="center"/>
          </w:tcPr>
          <w:p w14:paraId="3406239F">
            <w:pPr>
              <w:spacing w:line="500" w:lineRule="exact"/>
              <w:jc w:val="center"/>
              <w:rPr>
                <w:rFonts w:ascii="宋体" w:hAnsi="宋体" w:eastAsia="宋体" w:cs="Times New Roman"/>
                <w:b/>
                <w:bCs/>
              </w:rPr>
            </w:pPr>
            <w:r>
              <w:rPr>
                <w:rFonts w:hint="eastAsia" w:ascii="宋体" w:hAnsi="宋体" w:eastAsia="宋体" w:cs="宋体"/>
                <w:b/>
                <w:bCs/>
              </w:rPr>
              <w:t>需求一览表</w:t>
            </w:r>
          </w:p>
        </w:tc>
      </w:tr>
      <w:tr w14:paraId="28F5F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203" w:type="dxa"/>
            <w:gridSpan w:val="4"/>
            <w:tcBorders>
              <w:top w:val="single" w:color="auto" w:sz="4" w:space="0"/>
              <w:right w:val="single" w:color="auto" w:sz="4" w:space="0"/>
            </w:tcBorders>
            <w:vAlign w:val="center"/>
          </w:tcPr>
          <w:p w14:paraId="477773B8">
            <w:pPr>
              <w:spacing w:line="500" w:lineRule="exact"/>
              <w:jc w:val="center"/>
              <w:rPr>
                <w:rFonts w:ascii="宋体" w:hAnsi="宋体" w:eastAsia="宋体" w:cs="Times New Roman"/>
              </w:rPr>
            </w:pPr>
            <w:r>
              <w:rPr>
                <w:rFonts w:hint="eastAsia" w:ascii="宋体" w:hAnsi="宋体" w:eastAsia="宋体" w:cs="宋体"/>
              </w:rPr>
              <w:t>标段</w:t>
            </w:r>
          </w:p>
        </w:tc>
        <w:tc>
          <w:tcPr>
            <w:tcW w:w="7831" w:type="dxa"/>
            <w:gridSpan w:val="5"/>
            <w:tcBorders>
              <w:top w:val="single" w:color="auto" w:sz="4" w:space="0"/>
              <w:left w:val="single" w:color="auto" w:sz="4" w:space="0"/>
            </w:tcBorders>
            <w:vAlign w:val="center"/>
          </w:tcPr>
          <w:p w14:paraId="28E7A739">
            <w:pPr>
              <w:spacing w:line="500" w:lineRule="exact"/>
              <w:jc w:val="left"/>
              <w:rPr>
                <w:rFonts w:ascii="宋体" w:hAnsi="宋体" w:eastAsia="宋体" w:cs="Times New Roman"/>
              </w:rPr>
            </w:pPr>
            <w:r>
              <w:rPr>
                <w:rFonts w:ascii="宋体" w:hAnsi="宋体" w:eastAsia="宋体" w:cs="Times New Roman"/>
                <w:u w:val="single"/>
              </w:rPr>
              <w:t>\</w:t>
            </w:r>
            <w:r>
              <w:rPr>
                <w:rFonts w:hint="eastAsia" w:ascii="宋体" w:hAnsi="宋体" w:eastAsia="宋体" w:cs="宋体"/>
              </w:rPr>
              <w:t>分标</w:t>
            </w:r>
          </w:p>
        </w:tc>
      </w:tr>
      <w:tr w14:paraId="5A44C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Height w:val="516" w:hRule="atLeast"/>
          <w:jc w:val="center"/>
        </w:trPr>
        <w:tc>
          <w:tcPr>
            <w:tcW w:w="545" w:type="dxa"/>
            <w:vMerge w:val="restart"/>
            <w:tcBorders>
              <w:top w:val="single" w:color="auto" w:sz="4" w:space="0"/>
              <w:right w:val="single" w:color="auto" w:sz="4" w:space="0"/>
            </w:tcBorders>
            <w:vAlign w:val="center"/>
          </w:tcPr>
          <w:p w14:paraId="172DDBA1">
            <w:pPr>
              <w:spacing w:line="500" w:lineRule="exact"/>
              <w:jc w:val="center"/>
              <w:rPr>
                <w:rFonts w:ascii="宋体" w:hAnsi="宋体" w:eastAsia="宋体" w:cs="Times New Roman"/>
              </w:rPr>
            </w:pPr>
            <w:r>
              <w:rPr>
                <w:rFonts w:hint="eastAsia" w:ascii="宋体" w:hAnsi="宋体" w:eastAsia="宋体" w:cs="宋体"/>
              </w:rPr>
              <w:t>采购清单及技术参数</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C8C8EF3">
            <w:pPr>
              <w:spacing w:line="500" w:lineRule="exact"/>
              <w:jc w:val="center"/>
              <w:rPr>
                <w:rFonts w:ascii="宋体" w:hAnsi="宋体" w:eastAsia="宋体" w:cs="Times New Roman"/>
              </w:rPr>
            </w:pPr>
            <w:r>
              <w:rPr>
                <w:rFonts w:hint="eastAsia" w:ascii="宋体" w:hAnsi="宋体" w:eastAsia="宋体" w:cs="宋体"/>
              </w:rPr>
              <w:t>序号</w:t>
            </w:r>
          </w:p>
        </w:tc>
        <w:tc>
          <w:tcPr>
            <w:tcW w:w="1085" w:type="dxa"/>
            <w:tcBorders>
              <w:top w:val="single" w:color="auto" w:sz="4" w:space="0"/>
              <w:left w:val="single" w:color="auto" w:sz="4" w:space="0"/>
              <w:bottom w:val="single" w:color="auto" w:sz="4" w:space="0"/>
              <w:right w:val="single" w:color="auto" w:sz="4" w:space="0"/>
            </w:tcBorders>
            <w:vAlign w:val="center"/>
          </w:tcPr>
          <w:p w14:paraId="57B11448">
            <w:pPr>
              <w:spacing w:line="500" w:lineRule="exact"/>
              <w:jc w:val="center"/>
              <w:rPr>
                <w:rFonts w:ascii="宋体" w:hAnsi="宋体" w:eastAsia="宋体" w:cs="Times New Roman"/>
              </w:rPr>
            </w:pPr>
            <w:r>
              <w:rPr>
                <w:rFonts w:hint="eastAsia" w:ascii="宋体" w:hAnsi="宋体" w:eastAsia="宋体" w:cs="宋体"/>
              </w:rPr>
              <w:t>标的的名称</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45C7194A">
            <w:pPr>
              <w:spacing w:line="500" w:lineRule="exact"/>
              <w:jc w:val="center"/>
              <w:rPr>
                <w:rFonts w:ascii="宋体" w:hAnsi="宋体" w:eastAsia="宋体" w:cs="Times New Roman"/>
              </w:rPr>
            </w:pPr>
            <w:r>
              <w:rPr>
                <w:rFonts w:hint="eastAsia" w:ascii="宋体" w:hAnsi="宋体" w:eastAsia="宋体" w:cs="宋体"/>
              </w:rPr>
              <w:t>数量及单位</w:t>
            </w:r>
          </w:p>
        </w:tc>
        <w:tc>
          <w:tcPr>
            <w:tcW w:w="4345" w:type="dxa"/>
            <w:tcBorders>
              <w:top w:val="single" w:color="auto" w:sz="4" w:space="0"/>
              <w:left w:val="single" w:color="auto" w:sz="4" w:space="0"/>
              <w:bottom w:val="single" w:color="auto" w:sz="4" w:space="0"/>
              <w:right w:val="single" w:color="auto" w:sz="4" w:space="0"/>
            </w:tcBorders>
            <w:vAlign w:val="center"/>
          </w:tcPr>
          <w:p w14:paraId="3CF72455">
            <w:pPr>
              <w:spacing w:line="500" w:lineRule="exact"/>
              <w:jc w:val="center"/>
              <w:rPr>
                <w:rFonts w:ascii="宋体" w:hAnsi="宋体" w:eastAsia="宋体" w:cs="Times New Roman"/>
              </w:rPr>
            </w:pPr>
            <w:r>
              <w:rPr>
                <w:rFonts w:hint="eastAsia" w:ascii="宋体" w:hAnsi="宋体" w:eastAsia="宋体" w:cs="宋体"/>
              </w:rPr>
              <w:t>工程概况及采购范围</w:t>
            </w:r>
          </w:p>
        </w:tc>
        <w:tc>
          <w:tcPr>
            <w:tcW w:w="1277" w:type="dxa"/>
            <w:tcBorders>
              <w:top w:val="single" w:color="auto" w:sz="4" w:space="0"/>
              <w:left w:val="single" w:color="auto" w:sz="4" w:space="0"/>
              <w:bottom w:val="single" w:color="auto" w:sz="4" w:space="0"/>
              <w:right w:val="single" w:color="auto" w:sz="4" w:space="0"/>
            </w:tcBorders>
            <w:vAlign w:val="center"/>
          </w:tcPr>
          <w:p w14:paraId="7F519082">
            <w:pPr>
              <w:spacing w:line="500" w:lineRule="exact"/>
              <w:jc w:val="left"/>
              <w:rPr>
                <w:rFonts w:ascii="宋体" w:hAnsi="宋体" w:eastAsia="宋体" w:cs="Times New Roman"/>
              </w:rPr>
            </w:pPr>
            <w:r>
              <w:rPr>
                <w:rFonts w:hint="eastAsia" w:ascii="宋体" w:hAnsi="宋体" w:eastAsia="宋体" w:cs="宋体"/>
              </w:rPr>
              <w:t>分项预算合计（元）：</w:t>
            </w:r>
          </w:p>
        </w:tc>
        <w:tc>
          <w:tcPr>
            <w:tcW w:w="1345" w:type="dxa"/>
            <w:tcBorders>
              <w:top w:val="single" w:color="auto" w:sz="4" w:space="0"/>
              <w:left w:val="single" w:color="auto" w:sz="4" w:space="0"/>
              <w:bottom w:val="single" w:color="auto" w:sz="4" w:space="0"/>
            </w:tcBorders>
            <w:vAlign w:val="center"/>
          </w:tcPr>
          <w:p w14:paraId="6D087B34">
            <w:pPr>
              <w:spacing w:line="500" w:lineRule="exact"/>
              <w:jc w:val="center"/>
              <w:rPr>
                <w:rFonts w:ascii="宋体" w:hAnsi="宋体" w:eastAsia="宋体" w:cs="Times New Roman"/>
              </w:rPr>
            </w:pPr>
            <w:r>
              <w:rPr>
                <w:rFonts w:hint="eastAsia" w:ascii="宋体" w:hAnsi="宋体" w:eastAsia="宋体" w:cs="宋体"/>
              </w:rPr>
              <w:t>中小企业划分标准所属行业名称（行业名称及划分见本章附件</w:t>
            </w:r>
            <w:r>
              <w:rPr>
                <w:rFonts w:ascii="宋体" w:hAnsi="宋体" w:eastAsia="宋体" w:cs="宋体"/>
              </w:rPr>
              <w:t>2</w:t>
            </w:r>
            <w:r>
              <w:rPr>
                <w:rFonts w:hint="eastAsia" w:ascii="宋体" w:hAnsi="宋体" w:eastAsia="宋体" w:cs="宋体"/>
              </w:rPr>
              <w:t>）</w:t>
            </w:r>
          </w:p>
        </w:tc>
      </w:tr>
      <w:tr w14:paraId="6EB2F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Height w:val="407" w:hRule="atLeast"/>
          <w:jc w:val="center"/>
        </w:trPr>
        <w:tc>
          <w:tcPr>
            <w:tcW w:w="545" w:type="dxa"/>
            <w:vMerge w:val="continue"/>
            <w:tcBorders>
              <w:right w:val="single" w:color="auto" w:sz="4" w:space="0"/>
            </w:tcBorders>
          </w:tcPr>
          <w:p w14:paraId="6DF6F448">
            <w:pPr>
              <w:spacing w:line="500" w:lineRule="exact"/>
              <w:jc w:val="center"/>
              <w:rPr>
                <w:rFonts w:ascii="宋体" w:hAnsi="宋体" w:eastAsia="宋体" w:cs="Times New Roman"/>
              </w:rPr>
            </w:pPr>
          </w:p>
        </w:tc>
        <w:tc>
          <w:tcPr>
            <w:tcW w:w="545" w:type="dxa"/>
            <w:tcBorders>
              <w:top w:val="single" w:color="auto" w:sz="4" w:space="0"/>
              <w:left w:val="single" w:color="auto" w:sz="4" w:space="0"/>
              <w:bottom w:val="single" w:color="auto" w:sz="4" w:space="0"/>
              <w:right w:val="single" w:color="auto" w:sz="4" w:space="0"/>
            </w:tcBorders>
            <w:vAlign w:val="center"/>
          </w:tcPr>
          <w:p w14:paraId="2C05BD63">
            <w:pPr>
              <w:spacing w:line="500" w:lineRule="exact"/>
              <w:jc w:val="center"/>
              <w:rPr>
                <w:rFonts w:ascii="宋体" w:hAnsi="宋体" w:eastAsia="宋体" w:cs="宋体"/>
              </w:rPr>
            </w:pPr>
            <w:r>
              <w:rPr>
                <w:rFonts w:ascii="宋体" w:hAnsi="宋体" w:eastAsia="宋体" w:cs="宋体"/>
              </w:rPr>
              <w:t>1</w:t>
            </w:r>
          </w:p>
        </w:tc>
        <w:tc>
          <w:tcPr>
            <w:tcW w:w="1085" w:type="dxa"/>
            <w:tcBorders>
              <w:top w:val="single" w:color="auto" w:sz="4" w:space="0"/>
              <w:left w:val="single" w:color="auto" w:sz="4" w:space="0"/>
              <w:bottom w:val="single" w:color="auto" w:sz="4" w:space="0"/>
              <w:right w:val="single" w:color="auto" w:sz="4" w:space="0"/>
            </w:tcBorders>
            <w:vAlign w:val="center"/>
          </w:tcPr>
          <w:p w14:paraId="6DA9C4C1">
            <w:pPr>
              <w:spacing w:line="500" w:lineRule="exact"/>
              <w:jc w:val="center"/>
              <w:rPr>
                <w:rFonts w:ascii="宋体" w:hAnsi="宋体" w:eastAsia="宋体" w:cs="Times New Roman"/>
              </w:rPr>
            </w:pPr>
            <w:r>
              <w:rPr>
                <w:rFonts w:hint="eastAsia" w:ascii="宋体" w:hAnsi="宋体" w:eastAsia="宋体" w:cs="宋体"/>
              </w:rPr>
              <w:t>亚山镇清湖村泵站灌区改造工程</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3202E2F">
            <w:pPr>
              <w:spacing w:line="500" w:lineRule="exact"/>
              <w:jc w:val="center"/>
              <w:rPr>
                <w:rFonts w:ascii="宋体" w:hAnsi="宋体" w:eastAsia="宋体" w:cs="Times New Roman"/>
              </w:rPr>
            </w:pPr>
            <w:r>
              <w:rPr>
                <w:rFonts w:ascii="宋体" w:hAnsi="宋体" w:eastAsia="宋体" w:cs="宋体"/>
              </w:rPr>
              <w:t>1</w:t>
            </w:r>
            <w:r>
              <w:rPr>
                <w:rFonts w:hint="eastAsia" w:ascii="宋体" w:hAnsi="宋体" w:eastAsia="宋体" w:cs="宋体"/>
              </w:rPr>
              <w:t>项</w:t>
            </w:r>
          </w:p>
        </w:tc>
        <w:tc>
          <w:tcPr>
            <w:tcW w:w="4345" w:type="dxa"/>
            <w:tcBorders>
              <w:top w:val="single" w:color="auto" w:sz="4" w:space="0"/>
              <w:left w:val="single" w:color="auto" w:sz="4" w:space="0"/>
              <w:bottom w:val="single" w:color="auto" w:sz="4" w:space="0"/>
              <w:right w:val="single" w:color="auto" w:sz="4" w:space="0"/>
            </w:tcBorders>
            <w:vAlign w:val="center"/>
          </w:tcPr>
          <w:p w14:paraId="33A1C9AE">
            <w:pPr>
              <w:pStyle w:val="40"/>
              <w:widowControl/>
              <w:tabs>
                <w:tab w:val="center" w:pos="4153"/>
                <w:tab w:val="right" w:pos="8306"/>
              </w:tabs>
              <w:snapToGrid w:val="0"/>
              <w:spacing w:line="500" w:lineRule="exact"/>
              <w:ind w:firstLine="413" w:firstLineChars="196"/>
              <w:jc w:val="left"/>
              <w:rPr>
                <w:rFonts w:ascii="宋体" w:cs="宋体"/>
                <w:b/>
                <w:bCs/>
                <w:sz w:val="21"/>
                <w:szCs w:val="21"/>
              </w:rPr>
            </w:pPr>
            <w:r>
              <w:rPr>
                <w:rFonts w:hint="eastAsia" w:ascii="宋体" w:hAnsi="宋体" w:cs="宋体"/>
                <w:b/>
                <w:bCs/>
                <w:sz w:val="21"/>
                <w:szCs w:val="21"/>
              </w:rPr>
              <w:t>一、主要建设内容包括：</w:t>
            </w:r>
          </w:p>
          <w:p w14:paraId="045C1365">
            <w:pPr>
              <w:pStyle w:val="40"/>
              <w:widowControl/>
              <w:tabs>
                <w:tab w:val="center" w:pos="4153"/>
                <w:tab w:val="right" w:pos="8306"/>
              </w:tabs>
              <w:snapToGrid w:val="0"/>
              <w:spacing w:line="500" w:lineRule="exact"/>
              <w:ind w:firstLine="420" w:firstLineChars="200"/>
              <w:jc w:val="left"/>
              <w:rPr>
                <w:rFonts w:ascii="宋体" w:cs="宋体"/>
                <w:sz w:val="21"/>
                <w:szCs w:val="21"/>
              </w:rPr>
            </w:pPr>
            <w:r>
              <w:rPr>
                <w:rFonts w:hint="eastAsia" w:ascii="宋体" w:hAnsi="宋体" w:cs="宋体"/>
                <w:sz w:val="21"/>
                <w:szCs w:val="21"/>
              </w:rPr>
              <w:t>取水井、抽水设备、监控设备、输配管网及附属建筑物安装等，图纸及工程量清单包括的全部内容。</w:t>
            </w:r>
          </w:p>
          <w:p w14:paraId="6D9B8863">
            <w:pPr>
              <w:pStyle w:val="40"/>
              <w:widowControl/>
              <w:tabs>
                <w:tab w:val="center" w:pos="4153"/>
                <w:tab w:val="right" w:pos="8306"/>
              </w:tabs>
              <w:snapToGrid w:val="0"/>
              <w:spacing w:line="500" w:lineRule="exact"/>
              <w:ind w:firstLine="413" w:firstLineChars="196"/>
              <w:jc w:val="left"/>
              <w:rPr>
                <w:rFonts w:ascii="宋体" w:cs="宋体"/>
                <w:b/>
                <w:bCs/>
                <w:sz w:val="21"/>
                <w:szCs w:val="21"/>
              </w:rPr>
            </w:pPr>
            <w:r>
              <w:rPr>
                <w:rFonts w:hint="eastAsia" w:ascii="宋体" w:hAnsi="宋体" w:cs="宋体"/>
                <w:b/>
                <w:bCs/>
                <w:sz w:val="21"/>
                <w:szCs w:val="21"/>
              </w:rPr>
              <w:t>▲三、人员配备要求：</w:t>
            </w:r>
          </w:p>
          <w:p w14:paraId="125DF8FD">
            <w:pPr>
              <w:pStyle w:val="40"/>
              <w:widowControl/>
              <w:tabs>
                <w:tab w:val="center" w:pos="4153"/>
                <w:tab w:val="right" w:pos="8306"/>
              </w:tabs>
              <w:snapToGrid w:val="0"/>
              <w:spacing w:line="500" w:lineRule="exact"/>
              <w:ind w:firstLine="420" w:firstLineChars="200"/>
              <w:jc w:val="left"/>
              <w:rPr>
                <w:rFonts w:ascii="宋体" w:cs="宋体"/>
                <w:sz w:val="21"/>
                <w:szCs w:val="21"/>
              </w:rPr>
            </w:pPr>
            <w:r>
              <w:rPr>
                <w:rFonts w:hint="eastAsia" w:ascii="宋体" w:hAnsi="宋体" w:cs="宋体"/>
                <w:sz w:val="21"/>
                <w:szCs w:val="21"/>
              </w:rPr>
              <w:t>拟投入本工程的人员必须是本单位的在岗人员，并持有相应的执业资格证书，对相关人员的具体条件要求如下：</w:t>
            </w:r>
          </w:p>
          <w:p w14:paraId="727046B3">
            <w:pPr>
              <w:pStyle w:val="40"/>
              <w:widowControl/>
              <w:tabs>
                <w:tab w:val="center" w:pos="4153"/>
                <w:tab w:val="right" w:pos="8306"/>
              </w:tabs>
              <w:snapToGrid w:val="0"/>
              <w:spacing w:line="500" w:lineRule="exact"/>
              <w:jc w:val="left"/>
              <w:rPr>
                <w:rFonts w:asci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）项目经理：持有贰级或贰级以上建造师注册证书，专业是水利水电工程类专业（以建造师注册证书中“专业类别”栏所填写的专业为准）；持有省级或省级以上水行政主管部门或其授权部门（机构）颁发的</w:t>
            </w:r>
            <w:r>
              <w:rPr>
                <w:rFonts w:ascii="宋体" w:hAnsi="宋体" w:cs="宋体"/>
                <w:sz w:val="21"/>
                <w:szCs w:val="21"/>
              </w:rPr>
              <w:t>B</w:t>
            </w:r>
            <w:r>
              <w:rPr>
                <w:rFonts w:hint="eastAsia" w:ascii="宋体" w:hAnsi="宋体" w:cs="宋体"/>
                <w:sz w:val="21"/>
                <w:szCs w:val="21"/>
              </w:rPr>
              <w:t>类安全生产考核合格证书。</w:t>
            </w:r>
            <w:r>
              <w:rPr>
                <w:rFonts w:ascii="宋体" w:cs="宋体"/>
                <w:sz w:val="21"/>
                <w:szCs w:val="21"/>
              </w:rPr>
              <w:br w:type="textWrapping"/>
            </w:r>
            <w:r>
              <w:rPr>
                <w:rFonts w:hint="eastAsia" w:ascii="宋体" w:hAnsi="宋体" w:cs="宋体"/>
                <w:sz w:val="21"/>
                <w:szCs w:val="21"/>
              </w:rPr>
              <w:t>项目经理不得在任何在建工程中担任任何管理职务。符合以下条件之一的，界定为无在建工程：</w:t>
            </w:r>
            <w:r>
              <w:rPr>
                <w:rFonts w:ascii="宋体" w:cs="宋体"/>
                <w:sz w:val="21"/>
                <w:szCs w:val="21"/>
              </w:rPr>
              <w:br w:type="textWrapping"/>
            </w:r>
            <w:r>
              <w:rPr>
                <w:rFonts w:hint="eastAsia" w:ascii="宋体" w:hAnsi="宋体" w:cs="宋体"/>
                <w:sz w:val="21"/>
                <w:szCs w:val="21"/>
              </w:rPr>
              <w:t>①在建项目施工合同（包括签订的补充协议）工期已结束。</w:t>
            </w:r>
            <w:r>
              <w:rPr>
                <w:rFonts w:ascii="宋体" w:cs="宋体"/>
                <w:sz w:val="21"/>
                <w:szCs w:val="21"/>
              </w:rPr>
              <w:br w:type="textWrapping"/>
            </w:r>
            <w:r>
              <w:rPr>
                <w:rFonts w:hint="eastAsia" w:ascii="宋体" w:hAnsi="宋体" w:cs="宋体"/>
                <w:sz w:val="21"/>
                <w:szCs w:val="21"/>
              </w:rPr>
              <w:t>②项目通过合同完工验收或竣工验收。</w:t>
            </w:r>
            <w:r>
              <w:rPr>
                <w:rFonts w:ascii="宋体" w:cs="宋体"/>
                <w:sz w:val="21"/>
                <w:szCs w:val="21"/>
              </w:rPr>
              <w:br w:type="textWrapping"/>
            </w:r>
            <w:r>
              <w:rPr>
                <w:rFonts w:hint="eastAsia" w:ascii="宋体" w:hAnsi="宋体" w:cs="宋体"/>
                <w:sz w:val="21"/>
                <w:szCs w:val="21"/>
              </w:rPr>
              <w:t>③发包人原因造成停工的</w:t>
            </w:r>
            <w:r>
              <w:rPr>
                <w:rFonts w:hint="eastAsia" w:ascii="宋体" w:hAnsi="宋体" w:cs="宋体"/>
                <w:sz w:val="21"/>
                <w:szCs w:val="21"/>
                <w:lang w:eastAsia="zh-CN"/>
              </w:rPr>
              <w:t>，</w:t>
            </w:r>
            <w:r>
              <w:rPr>
                <w:rFonts w:hint="eastAsia" w:ascii="宋体" w:hAnsi="宋体" w:cs="宋体"/>
                <w:sz w:val="21"/>
                <w:szCs w:val="21"/>
              </w:rPr>
              <w:t>工程项目已按建设管理程序办理停工手续。</w:t>
            </w:r>
            <w:r>
              <w:rPr>
                <w:rFonts w:ascii="宋体" w:cs="宋体"/>
                <w:sz w:val="21"/>
                <w:szCs w:val="21"/>
              </w:rPr>
              <w:br w:type="textWrapping"/>
            </w: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）技术负责人：持有中级（含中级）以上技术职称，专业是水利水电工程类专业（专业以技术职称证书所填写专业为准）。</w:t>
            </w:r>
          </w:p>
          <w:p w14:paraId="757BEF36">
            <w:pPr>
              <w:pStyle w:val="40"/>
              <w:widowControl/>
              <w:tabs>
                <w:tab w:val="center" w:pos="4153"/>
                <w:tab w:val="right" w:pos="8306"/>
              </w:tabs>
              <w:snapToGrid w:val="0"/>
              <w:spacing w:line="500" w:lineRule="exact"/>
              <w:jc w:val="left"/>
              <w:rPr>
                <w:rFonts w:asci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）质量管理员：持有初级或初级以上技术职称，专业是水利水电工程类专业（专业以技术职称证书所填写专业为准）</w:t>
            </w:r>
            <w:r>
              <w:rPr>
                <w:rFonts w:ascii="宋体" w:cs="宋体"/>
                <w:sz w:val="21"/>
                <w:szCs w:val="21"/>
              </w:rPr>
              <w:br w:type="textWrapping"/>
            </w: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）安全管理员：持有省级或省级以上水行政主管部门或其授权部门（机构）颁发的</w:t>
            </w:r>
            <w:r>
              <w:rPr>
                <w:rFonts w:ascii="宋体" w:hAnsi="宋体" w:cs="宋体"/>
                <w:sz w:val="21"/>
                <w:szCs w:val="21"/>
              </w:rPr>
              <w:t>c</w:t>
            </w:r>
            <w:r>
              <w:rPr>
                <w:rFonts w:hint="eastAsia" w:ascii="宋体" w:hAnsi="宋体" w:cs="宋体"/>
                <w:sz w:val="21"/>
                <w:szCs w:val="21"/>
              </w:rPr>
              <w:t>类安全生产考核合格证书。</w:t>
            </w:r>
          </w:p>
          <w:p w14:paraId="5B784AFD">
            <w:pPr>
              <w:pStyle w:val="40"/>
              <w:widowControl/>
              <w:tabs>
                <w:tab w:val="center" w:pos="4153"/>
                <w:tab w:val="right" w:pos="8306"/>
              </w:tabs>
              <w:snapToGrid w:val="0"/>
              <w:spacing w:line="500" w:lineRule="exact"/>
              <w:ind w:firstLine="420" w:firstLineChars="200"/>
              <w:jc w:val="left"/>
              <w:rPr>
                <w:rFonts w:ascii="宋体" w:cs="宋体"/>
                <w:sz w:val="21"/>
                <w:szCs w:val="21"/>
              </w:rPr>
            </w:pPr>
            <w:r>
              <w:rPr>
                <w:rFonts w:hint="eastAsia" w:ascii="宋体" w:hAnsi="宋体" w:cs="宋体"/>
                <w:sz w:val="21"/>
                <w:szCs w:val="21"/>
              </w:rPr>
              <w:t>上述（</w:t>
            </w:r>
            <w:r>
              <w:rPr>
                <w:rFonts w:ascii="宋体" w:hAnsi="宋体" w:cs="宋体"/>
                <w:sz w:val="21"/>
                <w:szCs w:val="21"/>
              </w:rPr>
              <w:t>1</w:t>
            </w: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）项人员应附相关证书的复印件，并提供上述人员磋商截止时间前半年内任意连续三个月的社会保险缴费证明复印件。</w:t>
            </w:r>
          </w:p>
        </w:tc>
        <w:tc>
          <w:tcPr>
            <w:tcW w:w="1277" w:type="dxa"/>
            <w:tcBorders>
              <w:top w:val="single" w:color="auto" w:sz="4" w:space="0"/>
              <w:left w:val="single" w:color="auto" w:sz="4" w:space="0"/>
              <w:bottom w:val="single" w:color="auto" w:sz="4" w:space="0"/>
              <w:right w:val="single" w:color="auto" w:sz="4" w:space="0"/>
            </w:tcBorders>
            <w:vAlign w:val="center"/>
          </w:tcPr>
          <w:p w14:paraId="5B94BCE3">
            <w:pPr>
              <w:spacing w:line="500" w:lineRule="exact"/>
              <w:jc w:val="center"/>
              <w:rPr>
                <w:rFonts w:ascii="宋体" w:hAnsi="宋体" w:eastAsia="宋体" w:cs="宋体"/>
              </w:rPr>
            </w:pPr>
            <w:r>
              <w:rPr>
                <w:rFonts w:ascii="宋体" w:hAnsi="宋体" w:eastAsia="宋体" w:cs="宋体"/>
              </w:rPr>
              <w:t>666700.00</w:t>
            </w:r>
          </w:p>
        </w:tc>
        <w:tc>
          <w:tcPr>
            <w:tcW w:w="1345" w:type="dxa"/>
            <w:tcBorders>
              <w:top w:val="single" w:color="auto" w:sz="4" w:space="0"/>
              <w:left w:val="single" w:color="auto" w:sz="4" w:space="0"/>
              <w:bottom w:val="single" w:color="auto" w:sz="4" w:space="0"/>
            </w:tcBorders>
            <w:vAlign w:val="center"/>
          </w:tcPr>
          <w:p w14:paraId="6CBC002F">
            <w:pPr>
              <w:spacing w:line="500" w:lineRule="exact"/>
              <w:jc w:val="center"/>
              <w:rPr>
                <w:rFonts w:ascii="宋体" w:hAnsi="宋体" w:eastAsia="宋体" w:cs="Times New Roman"/>
              </w:rPr>
            </w:pPr>
            <w:r>
              <w:rPr>
                <w:rFonts w:hint="eastAsia" w:ascii="宋体" w:hAnsi="宋体" w:eastAsia="宋体" w:cs="宋体"/>
              </w:rPr>
              <w:t>建筑业</w:t>
            </w:r>
          </w:p>
        </w:tc>
      </w:tr>
      <w:tr w14:paraId="4393F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45" w:type="dxa"/>
            <w:tcBorders>
              <w:top w:val="single" w:color="auto" w:sz="4" w:space="0"/>
              <w:bottom w:val="single" w:color="auto" w:sz="4" w:space="0"/>
              <w:right w:val="single" w:color="auto" w:sz="4" w:space="0"/>
            </w:tcBorders>
            <w:vAlign w:val="center"/>
          </w:tcPr>
          <w:p w14:paraId="362903ED">
            <w:pPr>
              <w:spacing w:line="500" w:lineRule="exact"/>
              <w:jc w:val="center"/>
              <w:rPr>
                <w:rFonts w:ascii="宋体" w:hAnsi="宋体" w:eastAsia="宋体" w:cs="Times New Roman"/>
              </w:rPr>
            </w:pPr>
            <w:r>
              <w:rPr>
                <w:rFonts w:hint="eastAsia" w:ascii="宋体" w:hAnsi="宋体" w:eastAsia="宋体" w:cs="宋体"/>
              </w:rPr>
              <w:t>商务条款</w:t>
            </w:r>
          </w:p>
        </w:tc>
        <w:tc>
          <w:tcPr>
            <w:tcW w:w="9489" w:type="dxa"/>
            <w:gridSpan w:val="8"/>
            <w:tcBorders>
              <w:top w:val="single" w:color="auto" w:sz="4" w:space="0"/>
              <w:left w:val="single" w:color="auto" w:sz="4" w:space="0"/>
              <w:bottom w:val="single" w:color="auto" w:sz="4" w:space="0"/>
            </w:tcBorders>
          </w:tcPr>
          <w:p w14:paraId="26AA0181">
            <w:pPr>
              <w:widowControl/>
              <w:shd w:val="clear" w:color="auto" w:fill="FFFFFF"/>
              <w:spacing w:line="500" w:lineRule="exact"/>
              <w:ind w:firstLine="420" w:firstLineChars="200"/>
              <w:jc w:val="left"/>
              <w:rPr>
                <w:rFonts w:ascii="宋体" w:hAnsi="宋体" w:eastAsia="宋体" w:cs="Times New Roman"/>
              </w:rPr>
            </w:pPr>
            <w:r>
              <w:rPr>
                <w:rFonts w:hint="eastAsia" w:ascii="宋体" w:hAnsi="宋体" w:eastAsia="宋体" w:cs="宋体"/>
              </w:rPr>
              <w:t>▲一、合同签订期：自成交通知书发出之日起</w:t>
            </w:r>
            <w:r>
              <w:rPr>
                <w:rFonts w:ascii="宋体" w:hAnsi="宋体" w:eastAsia="宋体" w:cs="宋体"/>
              </w:rPr>
              <w:t>25</w:t>
            </w:r>
            <w:r>
              <w:rPr>
                <w:rFonts w:hint="eastAsia" w:ascii="宋体" w:hAnsi="宋体" w:eastAsia="宋体" w:cs="宋体"/>
              </w:rPr>
              <w:t>日内（注：成交通知书发出之日起</w:t>
            </w:r>
            <w:r>
              <w:rPr>
                <w:rFonts w:ascii="宋体" w:hAnsi="宋体" w:eastAsia="宋体" w:cs="宋体"/>
              </w:rPr>
              <w:t>25</w:t>
            </w:r>
            <w:r>
              <w:rPr>
                <w:rFonts w:hint="eastAsia" w:ascii="宋体" w:hAnsi="宋体" w:eastAsia="宋体" w:cs="宋体"/>
              </w:rPr>
              <w:t>日内必须签订合同。）</w:t>
            </w:r>
          </w:p>
          <w:p w14:paraId="73CAB555">
            <w:pPr>
              <w:widowControl/>
              <w:shd w:val="clear" w:color="auto" w:fill="FFFFFF"/>
              <w:spacing w:line="500" w:lineRule="exact"/>
              <w:ind w:firstLine="420" w:firstLineChars="200"/>
              <w:jc w:val="left"/>
              <w:rPr>
                <w:rFonts w:ascii="宋体" w:hAnsi="宋体" w:eastAsia="宋体" w:cs="Times New Roman"/>
              </w:rPr>
            </w:pPr>
            <w:r>
              <w:rPr>
                <w:rFonts w:hint="eastAsia" w:ascii="宋体" w:hAnsi="宋体" w:eastAsia="宋体" w:cs="宋体"/>
              </w:rPr>
              <w:t>▲二、合同履行</w:t>
            </w:r>
            <w:r>
              <w:rPr>
                <w:rFonts w:hint="eastAsia" w:ascii="宋体" w:hAnsi="宋体" w:eastAsia="宋体" w:cs="宋体"/>
                <w:color w:val="auto"/>
              </w:rPr>
              <w:t>期限：</w:t>
            </w:r>
            <w:r>
              <w:rPr>
                <w:rFonts w:ascii="宋体" w:hAnsi="宋体" w:eastAsia="宋体" w:cs="宋体"/>
                <w:color w:val="auto"/>
              </w:rPr>
              <w:t>180</w:t>
            </w:r>
            <w:r>
              <w:rPr>
                <w:rFonts w:hint="eastAsia" w:ascii="宋体" w:hAnsi="宋体" w:eastAsia="宋体" w:cs="宋体"/>
                <w:color w:val="auto"/>
              </w:rPr>
              <w:t>日历天。</w:t>
            </w:r>
          </w:p>
          <w:p w14:paraId="1A410BF1">
            <w:pPr>
              <w:widowControl/>
              <w:shd w:val="clear" w:color="auto" w:fill="FFFFFF"/>
              <w:tabs>
                <w:tab w:val="left" w:pos="9019"/>
              </w:tabs>
              <w:spacing w:line="500" w:lineRule="exact"/>
              <w:ind w:firstLine="420" w:firstLineChars="200"/>
              <w:jc w:val="left"/>
              <w:rPr>
                <w:rFonts w:ascii="宋体" w:hAnsi="宋体" w:eastAsia="宋体" w:cs="Times New Roman"/>
              </w:rPr>
            </w:pPr>
            <w:r>
              <w:rPr>
                <w:rFonts w:hint="eastAsia" w:ascii="宋体" w:hAnsi="宋体" w:eastAsia="宋体" w:cs="宋体"/>
              </w:rPr>
              <w:t>▲三、质量要求：达到国家和行业施工验收规范合格标准。</w:t>
            </w:r>
          </w:p>
          <w:p w14:paraId="45EBF9C3">
            <w:pPr>
              <w:widowControl/>
              <w:shd w:val="clear" w:color="auto" w:fill="FFFFFF"/>
              <w:spacing w:line="500" w:lineRule="exact"/>
              <w:ind w:firstLine="420" w:firstLineChars="200"/>
              <w:jc w:val="left"/>
              <w:rPr>
                <w:rFonts w:ascii="宋体" w:hAnsi="宋体" w:eastAsia="宋体" w:cs="Times New Roman"/>
              </w:rPr>
            </w:pPr>
            <w:r>
              <w:rPr>
                <w:rFonts w:hint="eastAsia" w:ascii="宋体" w:hAnsi="宋体" w:eastAsia="宋体" w:cs="宋体"/>
              </w:rPr>
              <w:t>▲四、项目实施要求：</w:t>
            </w:r>
          </w:p>
          <w:p w14:paraId="61E7506D">
            <w:pPr>
              <w:widowControl/>
              <w:shd w:val="clear" w:color="auto" w:fill="FFFFFF"/>
              <w:tabs>
                <w:tab w:val="left" w:pos="9019"/>
              </w:tabs>
              <w:spacing w:line="500" w:lineRule="exact"/>
              <w:ind w:firstLine="420" w:firstLineChars="200"/>
              <w:jc w:val="left"/>
              <w:rPr>
                <w:rFonts w:ascii="宋体" w:hAnsi="宋体" w:eastAsia="宋体" w:cs="Times New Roman"/>
              </w:rPr>
            </w:pPr>
            <w:r>
              <w:rPr>
                <w:rFonts w:ascii="宋体" w:hAnsi="宋体" w:eastAsia="宋体" w:cs="宋体"/>
              </w:rPr>
              <w:t>1.</w:t>
            </w:r>
            <w:r>
              <w:rPr>
                <w:rFonts w:hint="eastAsia" w:ascii="宋体" w:hAnsi="宋体" w:eastAsia="宋体" w:cs="宋体"/>
              </w:rPr>
              <w:t>处理问题响应时间：接到采购人处理问题通知后</w:t>
            </w:r>
            <w:r>
              <w:rPr>
                <w:rFonts w:ascii="宋体" w:hAnsi="宋体" w:eastAsia="宋体" w:cs="宋体"/>
              </w:rPr>
              <w:t>2</w:t>
            </w:r>
            <w:r>
              <w:rPr>
                <w:rFonts w:hint="eastAsia" w:ascii="宋体" w:hAnsi="宋体" w:eastAsia="宋体" w:cs="宋体"/>
              </w:rPr>
              <w:t>小时内到达采购人指定现场。</w:t>
            </w:r>
          </w:p>
          <w:p w14:paraId="0A900FB1">
            <w:pPr>
              <w:widowControl/>
              <w:shd w:val="clear" w:color="auto" w:fill="FFFFFF"/>
              <w:tabs>
                <w:tab w:val="left" w:pos="9019"/>
              </w:tabs>
              <w:spacing w:line="500" w:lineRule="exact"/>
              <w:ind w:firstLine="420" w:firstLineChars="200"/>
              <w:jc w:val="left"/>
              <w:rPr>
                <w:rFonts w:ascii="宋体" w:hAnsi="宋体" w:eastAsia="宋体" w:cs="Times New Roman"/>
              </w:rPr>
            </w:pPr>
            <w:r>
              <w:rPr>
                <w:rFonts w:ascii="宋体" w:hAnsi="宋体" w:eastAsia="宋体" w:cs="宋体"/>
              </w:rPr>
              <w:t>2.</w:t>
            </w:r>
            <w:r>
              <w:rPr>
                <w:rFonts w:hint="eastAsia" w:ascii="宋体" w:hAnsi="宋体" w:eastAsia="宋体" w:cs="宋体"/>
              </w:rPr>
              <w:t>成交人如需更换项目管理人员，需向采购人书面申请，经采购人审批许可，替换的人员所具备的资质不得低于原人员的资质。</w:t>
            </w:r>
          </w:p>
          <w:p w14:paraId="637AAE0A">
            <w:pPr>
              <w:widowControl/>
              <w:shd w:val="clear" w:color="auto" w:fill="FFFFFF"/>
              <w:tabs>
                <w:tab w:val="left" w:pos="9019"/>
              </w:tabs>
              <w:spacing w:line="500" w:lineRule="exact"/>
              <w:ind w:firstLine="420" w:firstLineChars="200"/>
              <w:jc w:val="left"/>
              <w:rPr>
                <w:rFonts w:ascii="宋体" w:hAnsi="宋体" w:eastAsia="宋体" w:cs="Times New Roman"/>
              </w:rPr>
            </w:pPr>
            <w:r>
              <w:rPr>
                <w:rFonts w:ascii="宋体" w:hAnsi="宋体" w:eastAsia="宋体" w:cs="宋体"/>
              </w:rPr>
              <w:t>3.</w:t>
            </w:r>
            <w:r>
              <w:rPr>
                <w:rFonts w:hint="eastAsia" w:ascii="宋体" w:hAnsi="宋体" w:eastAsia="宋体" w:cs="宋体"/>
              </w:rPr>
              <w:t>如因成交人原因导致本项目竣工验收不合格的，成交人应整改至通过竣工验收为止且自行承担相应的费用，采购人不另行支付费用。如因成交人原因导致本项目竣工验收不合格的，采购人不予支付合同款项并按合同扣罚违约金。</w:t>
            </w:r>
          </w:p>
          <w:p w14:paraId="7258DD10">
            <w:pPr>
              <w:widowControl/>
              <w:shd w:val="clear" w:color="auto" w:fill="FFFFFF"/>
              <w:spacing w:line="500" w:lineRule="exact"/>
              <w:ind w:firstLine="525" w:firstLineChars="250"/>
              <w:rPr>
                <w:rFonts w:ascii="宋体" w:hAnsi="宋体" w:eastAsia="宋体" w:cs="Times New Roman"/>
              </w:rPr>
            </w:pPr>
            <w:r>
              <w:rPr>
                <w:rFonts w:hint="eastAsia" w:ascii="宋体" w:hAnsi="宋体" w:eastAsia="宋体" w:cs="宋体"/>
              </w:rPr>
              <w:t>▲五、付款方式：</w:t>
            </w:r>
          </w:p>
          <w:p w14:paraId="3949060F">
            <w:pPr>
              <w:widowControl/>
              <w:shd w:val="clear" w:color="auto" w:fill="FFFFFF"/>
              <w:spacing w:line="500" w:lineRule="exact"/>
              <w:ind w:firstLine="420" w:firstLineChars="200"/>
              <w:rPr>
                <w:rFonts w:ascii="宋体" w:hAnsi="宋体" w:eastAsia="宋体" w:cs="Times New Roman"/>
              </w:rPr>
            </w:pPr>
            <w:r>
              <w:rPr>
                <w:rFonts w:hint="eastAsia" w:ascii="宋体" w:hAnsi="宋体" w:eastAsia="宋体" w:cs="宋体"/>
              </w:rPr>
              <w:t>每个付款周期按实际完成工程量的90%支付工程进度款（含因设计变更引起增加工程量造价同期支付）</w:t>
            </w:r>
            <w:r>
              <w:rPr>
                <w:rFonts w:hint="eastAsia" w:ascii="宋体" w:hAnsi="宋体" w:eastAsia="宋体" w:cs="宋体"/>
                <w:lang w:eastAsia="zh-CN"/>
              </w:rPr>
              <w:t>，</w:t>
            </w:r>
            <w:r>
              <w:rPr>
                <w:rFonts w:hint="eastAsia" w:ascii="宋体" w:hAnsi="宋体" w:eastAsia="宋体" w:cs="宋体"/>
              </w:rPr>
              <w:t>但余款不能少于关键工程未完工程量造价的2倍（此处应明确列出，一般是指施工难度大造价相对低的项目，如隧洞工程等）</w:t>
            </w:r>
            <w:r>
              <w:rPr>
                <w:rFonts w:hint="eastAsia" w:ascii="宋体" w:hAnsi="宋体" w:eastAsia="宋体" w:cs="宋体"/>
                <w:lang w:eastAsia="zh-CN"/>
              </w:rPr>
              <w:t>，</w:t>
            </w:r>
            <w:r>
              <w:rPr>
                <w:rFonts w:hint="eastAsia" w:ascii="宋体" w:hAnsi="宋体" w:eastAsia="宋体" w:cs="宋体"/>
              </w:rPr>
              <w:t>余款在工程完工结算经财政评审（或审计机构审计）确认，支付至审定工程结算价的97％，余额留3％作为保修金于保修期满后30天内支付给乙方。</w:t>
            </w:r>
          </w:p>
        </w:tc>
      </w:tr>
      <w:tr w14:paraId="78C3D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bottom w:val="single" w:color="auto" w:sz="4" w:space="0"/>
              <w:right w:val="single" w:color="auto" w:sz="4" w:space="0"/>
            </w:tcBorders>
            <w:vAlign w:val="center"/>
          </w:tcPr>
          <w:p w14:paraId="4D48E9C7">
            <w:pPr>
              <w:spacing w:line="500" w:lineRule="exact"/>
              <w:jc w:val="center"/>
              <w:rPr>
                <w:rFonts w:ascii="宋体" w:hAnsi="宋体" w:eastAsia="宋体" w:cs="Times New Roman"/>
              </w:rPr>
            </w:pPr>
            <w:r>
              <w:rPr>
                <w:rFonts w:hint="eastAsia" w:ascii="宋体" w:hAnsi="宋体" w:eastAsia="宋体" w:cs="宋体"/>
              </w:rPr>
              <w:t>其他说明</w:t>
            </w:r>
          </w:p>
        </w:tc>
        <w:tc>
          <w:tcPr>
            <w:tcW w:w="9489" w:type="dxa"/>
            <w:gridSpan w:val="8"/>
            <w:tcBorders>
              <w:top w:val="single" w:color="auto" w:sz="4" w:space="0"/>
              <w:left w:val="single" w:color="auto" w:sz="4" w:space="0"/>
              <w:bottom w:val="single" w:color="auto" w:sz="4" w:space="0"/>
            </w:tcBorders>
            <w:vAlign w:val="center"/>
          </w:tcPr>
          <w:p w14:paraId="69BF36FF">
            <w:pPr>
              <w:tabs>
                <w:tab w:val="left" w:pos="180"/>
                <w:tab w:val="left" w:pos="1620"/>
              </w:tabs>
              <w:spacing w:line="500" w:lineRule="exact"/>
              <w:rPr>
                <w:rFonts w:ascii="宋体" w:hAnsi="宋体" w:eastAsia="宋体" w:cs="宋体"/>
              </w:rPr>
            </w:pPr>
            <w:r>
              <w:rPr>
                <w:rFonts w:ascii="宋体" w:hAnsi="宋体" w:eastAsia="宋体" w:cs="宋体"/>
              </w:rPr>
              <w:t>/</w:t>
            </w:r>
          </w:p>
        </w:tc>
      </w:tr>
    </w:tbl>
    <w:p w14:paraId="5966CBA9">
      <w:pPr>
        <w:rPr>
          <w:rFonts w:ascii="宋体" w:hAnsi="宋体" w:eastAsia="宋体" w:cs="Times New Roman"/>
          <w:b/>
          <w:bCs/>
          <w:sz w:val="30"/>
          <w:szCs w:val="30"/>
        </w:rPr>
      </w:pPr>
      <w:r>
        <w:rPr>
          <w:rFonts w:ascii="宋体" w:hAnsi="宋体" w:eastAsia="宋体" w:cs="Times New Roman"/>
          <w:b/>
          <w:bCs/>
          <w:sz w:val="30"/>
          <w:szCs w:val="30"/>
        </w:rPr>
        <w:br w:type="page"/>
      </w:r>
    </w:p>
    <w:p w14:paraId="5623487A">
      <w:pPr>
        <w:pStyle w:val="23"/>
        <w:jc w:val="left"/>
        <w:rPr>
          <w:rFonts w:hAnsi="宋体" w:cs="Times New Roman"/>
          <w:b/>
          <w:bCs/>
          <w:sz w:val="30"/>
          <w:szCs w:val="30"/>
        </w:rPr>
      </w:pPr>
      <w:r>
        <w:rPr>
          <w:rFonts w:hint="eastAsia" w:hAnsi="宋体"/>
          <w:b/>
          <w:bCs/>
          <w:sz w:val="30"/>
          <w:szCs w:val="30"/>
        </w:rPr>
        <w:t>附件</w:t>
      </w:r>
      <w:r>
        <w:rPr>
          <w:rFonts w:hAnsi="宋体"/>
          <w:b/>
          <w:bCs/>
          <w:sz w:val="30"/>
          <w:szCs w:val="30"/>
        </w:rPr>
        <w:t>1</w:t>
      </w:r>
      <w:r>
        <w:rPr>
          <w:rFonts w:hint="eastAsia" w:hAnsi="宋体"/>
          <w:b/>
          <w:bCs/>
          <w:sz w:val="30"/>
          <w:szCs w:val="30"/>
        </w:rPr>
        <w:t>：</w:t>
      </w:r>
    </w:p>
    <w:p w14:paraId="26D25BD1">
      <w:pPr>
        <w:spacing w:line="528" w:lineRule="exact"/>
        <w:jc w:val="center"/>
        <w:rPr>
          <w:rFonts w:ascii="宋体" w:hAnsi="宋体" w:eastAsia="宋体" w:cs="Times New Roman"/>
          <w:b/>
          <w:bCs/>
          <w:sz w:val="30"/>
          <w:szCs w:val="30"/>
        </w:rPr>
      </w:pPr>
      <w:r>
        <w:rPr>
          <w:rFonts w:hint="eastAsia" w:ascii="宋体" w:hAnsi="宋体" w:eastAsia="宋体" w:cs="宋体"/>
          <w:b/>
          <w:bCs/>
          <w:sz w:val="30"/>
          <w:szCs w:val="30"/>
        </w:rPr>
        <w:t>中小微企业划型标准</w:t>
      </w:r>
    </w:p>
    <w:tbl>
      <w:tblPr>
        <w:tblStyle w:val="44"/>
        <w:tblW w:w="9500" w:type="dxa"/>
        <w:tblInd w:w="-106" w:type="dxa"/>
        <w:tblLayout w:type="fixed"/>
        <w:tblCellMar>
          <w:top w:w="0" w:type="dxa"/>
          <w:left w:w="108" w:type="dxa"/>
          <w:bottom w:w="0" w:type="dxa"/>
          <w:right w:w="108" w:type="dxa"/>
        </w:tblCellMar>
      </w:tblPr>
      <w:tblGrid>
        <w:gridCol w:w="1985"/>
        <w:gridCol w:w="1985"/>
        <w:gridCol w:w="851"/>
        <w:gridCol w:w="1843"/>
        <w:gridCol w:w="1702"/>
        <w:gridCol w:w="1134"/>
      </w:tblGrid>
      <w:tr w14:paraId="4902B95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18854A84">
            <w:pPr>
              <w:widowControl/>
              <w:jc w:val="left"/>
              <w:rPr>
                <w:rFonts w:ascii="宋体" w:hAnsi="宋体" w:eastAsia="宋体" w:cs="Times New Roman"/>
                <w:b/>
                <w:bCs/>
                <w:kern w:val="0"/>
                <w:sz w:val="24"/>
                <w:szCs w:val="24"/>
              </w:rPr>
            </w:pPr>
            <w:r>
              <w:rPr>
                <w:rFonts w:hint="eastAsia" w:ascii="宋体" w:hAnsi="宋体" w:eastAsia="宋体" w:cs="宋体"/>
                <w:b/>
                <w:bCs/>
                <w:kern w:val="0"/>
                <w:sz w:val="24"/>
                <w:szCs w:val="24"/>
              </w:rPr>
              <w:t>行业名称</w:t>
            </w:r>
          </w:p>
        </w:tc>
        <w:tc>
          <w:tcPr>
            <w:tcW w:w="1984" w:type="dxa"/>
            <w:tcBorders>
              <w:top w:val="single" w:color="auto" w:sz="4" w:space="0"/>
              <w:left w:val="nil"/>
              <w:bottom w:val="single" w:color="auto" w:sz="4" w:space="0"/>
              <w:right w:val="single" w:color="auto" w:sz="4" w:space="0"/>
            </w:tcBorders>
            <w:vAlign w:val="center"/>
          </w:tcPr>
          <w:p w14:paraId="4E367378">
            <w:pPr>
              <w:widowControl/>
              <w:jc w:val="left"/>
              <w:rPr>
                <w:rFonts w:ascii="宋体" w:hAnsi="宋体" w:eastAsia="宋体" w:cs="Times New Roman"/>
                <w:b/>
                <w:bCs/>
                <w:kern w:val="0"/>
                <w:sz w:val="24"/>
                <w:szCs w:val="24"/>
              </w:rPr>
            </w:pPr>
            <w:r>
              <w:rPr>
                <w:rFonts w:hint="eastAsia" w:ascii="宋体" w:hAnsi="宋体" w:eastAsia="宋体" w:cs="宋体"/>
                <w:b/>
                <w:bCs/>
                <w:kern w:val="0"/>
                <w:sz w:val="24"/>
                <w:szCs w:val="24"/>
              </w:rPr>
              <w:t>指标名称</w:t>
            </w:r>
          </w:p>
        </w:tc>
        <w:tc>
          <w:tcPr>
            <w:tcW w:w="851" w:type="dxa"/>
            <w:tcBorders>
              <w:top w:val="single" w:color="auto" w:sz="4" w:space="0"/>
              <w:left w:val="nil"/>
              <w:bottom w:val="single" w:color="auto" w:sz="4" w:space="0"/>
              <w:right w:val="single" w:color="auto" w:sz="4" w:space="0"/>
            </w:tcBorders>
            <w:vAlign w:val="center"/>
          </w:tcPr>
          <w:p w14:paraId="5A216FD7">
            <w:pPr>
              <w:widowControl/>
              <w:jc w:val="left"/>
              <w:rPr>
                <w:rFonts w:ascii="宋体" w:hAnsi="宋体" w:eastAsia="宋体" w:cs="Times New Roman"/>
                <w:b/>
                <w:bCs/>
                <w:kern w:val="0"/>
                <w:sz w:val="24"/>
                <w:szCs w:val="24"/>
              </w:rPr>
            </w:pPr>
            <w:r>
              <w:rPr>
                <w:rFonts w:hint="eastAsia" w:ascii="宋体" w:hAnsi="宋体" w:eastAsia="宋体" w:cs="宋体"/>
                <w:b/>
                <w:bCs/>
                <w:kern w:val="0"/>
                <w:sz w:val="24"/>
                <w:szCs w:val="24"/>
              </w:rPr>
              <w:t>计量单位</w:t>
            </w:r>
          </w:p>
        </w:tc>
        <w:tc>
          <w:tcPr>
            <w:tcW w:w="1842" w:type="dxa"/>
            <w:tcBorders>
              <w:top w:val="single" w:color="auto" w:sz="4" w:space="0"/>
              <w:left w:val="nil"/>
              <w:bottom w:val="single" w:color="auto" w:sz="4" w:space="0"/>
              <w:right w:val="single" w:color="auto" w:sz="4" w:space="0"/>
            </w:tcBorders>
            <w:vAlign w:val="center"/>
          </w:tcPr>
          <w:p w14:paraId="34C2B217">
            <w:pPr>
              <w:widowControl/>
              <w:jc w:val="left"/>
              <w:rPr>
                <w:rFonts w:ascii="宋体" w:hAnsi="宋体" w:eastAsia="宋体" w:cs="Times New Roman"/>
                <w:b/>
                <w:bCs/>
                <w:kern w:val="0"/>
                <w:sz w:val="24"/>
                <w:szCs w:val="24"/>
              </w:rPr>
            </w:pPr>
            <w:r>
              <w:rPr>
                <w:rFonts w:hint="eastAsia" w:ascii="宋体" w:hAnsi="宋体" w:eastAsia="宋体" w:cs="宋体"/>
                <w:b/>
                <w:bCs/>
                <w:kern w:val="0"/>
                <w:sz w:val="24"/>
                <w:szCs w:val="24"/>
              </w:rPr>
              <w:t>中型</w:t>
            </w:r>
          </w:p>
        </w:tc>
        <w:tc>
          <w:tcPr>
            <w:tcW w:w="1701" w:type="dxa"/>
            <w:tcBorders>
              <w:top w:val="single" w:color="auto" w:sz="4" w:space="0"/>
              <w:left w:val="nil"/>
              <w:bottom w:val="single" w:color="auto" w:sz="4" w:space="0"/>
              <w:right w:val="single" w:color="auto" w:sz="4" w:space="0"/>
            </w:tcBorders>
            <w:vAlign w:val="center"/>
          </w:tcPr>
          <w:p w14:paraId="594C4136">
            <w:pPr>
              <w:widowControl/>
              <w:jc w:val="left"/>
              <w:rPr>
                <w:rFonts w:ascii="宋体" w:hAnsi="宋体" w:eastAsia="宋体" w:cs="Times New Roman"/>
                <w:b/>
                <w:bCs/>
                <w:kern w:val="0"/>
                <w:sz w:val="24"/>
                <w:szCs w:val="24"/>
              </w:rPr>
            </w:pPr>
            <w:r>
              <w:rPr>
                <w:rFonts w:hint="eastAsia" w:ascii="宋体" w:hAnsi="宋体" w:eastAsia="宋体" w:cs="宋体"/>
                <w:b/>
                <w:bCs/>
                <w:kern w:val="0"/>
                <w:sz w:val="24"/>
                <w:szCs w:val="24"/>
              </w:rPr>
              <w:t>小型</w:t>
            </w:r>
          </w:p>
        </w:tc>
        <w:tc>
          <w:tcPr>
            <w:tcW w:w="1134" w:type="dxa"/>
            <w:tcBorders>
              <w:top w:val="single" w:color="auto" w:sz="4" w:space="0"/>
              <w:left w:val="nil"/>
              <w:bottom w:val="single" w:color="auto" w:sz="4" w:space="0"/>
              <w:right w:val="single" w:color="auto" w:sz="4" w:space="0"/>
            </w:tcBorders>
            <w:vAlign w:val="center"/>
          </w:tcPr>
          <w:p w14:paraId="04FA411C">
            <w:pPr>
              <w:widowControl/>
              <w:jc w:val="left"/>
              <w:rPr>
                <w:rFonts w:ascii="宋体" w:hAnsi="宋体" w:eastAsia="宋体" w:cs="Times New Roman"/>
                <w:b/>
                <w:bCs/>
                <w:kern w:val="0"/>
                <w:sz w:val="24"/>
                <w:szCs w:val="24"/>
              </w:rPr>
            </w:pPr>
            <w:r>
              <w:rPr>
                <w:rFonts w:hint="eastAsia" w:ascii="宋体" w:hAnsi="宋体" w:eastAsia="宋体" w:cs="宋体"/>
                <w:b/>
                <w:bCs/>
                <w:kern w:val="0"/>
                <w:sz w:val="24"/>
                <w:szCs w:val="24"/>
              </w:rPr>
              <w:t>微型</w:t>
            </w:r>
          </w:p>
        </w:tc>
      </w:tr>
      <w:tr w14:paraId="416D29F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63456656">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农、林、牧、渔</w:t>
            </w:r>
          </w:p>
        </w:tc>
        <w:tc>
          <w:tcPr>
            <w:tcW w:w="1984" w:type="dxa"/>
            <w:tcBorders>
              <w:top w:val="nil"/>
              <w:left w:val="nil"/>
              <w:bottom w:val="single" w:color="auto" w:sz="4" w:space="0"/>
              <w:right w:val="single" w:color="auto" w:sz="4" w:space="0"/>
            </w:tcBorders>
            <w:vAlign w:val="center"/>
          </w:tcPr>
          <w:p w14:paraId="114D6EC7">
            <w:pPr>
              <w:widowControl/>
              <w:jc w:val="left"/>
              <w:rPr>
                <w:rFonts w:ascii="宋体" w:hAnsi="宋体" w:eastAsia="宋体" w:cs="Times New Roman"/>
                <w:kern w:val="0"/>
                <w:sz w:val="18"/>
                <w:szCs w:val="18"/>
              </w:rPr>
            </w:pPr>
            <w:r>
              <w:rPr>
                <w:rFonts w:hint="eastAsia" w:ascii="宋体" w:hAnsi="宋体" w:eastAsia="宋体" w:cs="宋体"/>
                <w:kern w:val="0"/>
                <w:sz w:val="18"/>
                <w:szCs w:val="18"/>
              </w:rPr>
              <w:t>营业收入（</w:t>
            </w:r>
            <w:r>
              <w:rPr>
                <w:rFonts w:ascii="宋体" w:hAnsi="宋体" w:eastAsia="宋体" w:cs="宋体"/>
                <w:kern w:val="0"/>
                <w:sz w:val="18"/>
                <w:szCs w:val="18"/>
              </w:rPr>
              <w:t>Y</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22936409">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117C018B">
            <w:pPr>
              <w:widowControl/>
              <w:jc w:val="left"/>
              <w:rPr>
                <w:rFonts w:ascii="宋体" w:hAnsi="宋体" w:eastAsia="宋体" w:cs="宋体"/>
                <w:kern w:val="0"/>
                <w:sz w:val="18"/>
                <w:szCs w:val="18"/>
              </w:rPr>
            </w:pPr>
            <w:r>
              <w:rPr>
                <w:rFonts w:ascii="宋体" w:hAnsi="宋体" w:eastAsia="宋体" w:cs="宋体"/>
                <w:kern w:val="0"/>
                <w:sz w:val="18"/>
                <w:szCs w:val="18"/>
              </w:rPr>
              <w:t>500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20000</w:t>
            </w:r>
          </w:p>
        </w:tc>
        <w:tc>
          <w:tcPr>
            <w:tcW w:w="1701" w:type="dxa"/>
            <w:tcBorders>
              <w:top w:val="nil"/>
              <w:left w:val="nil"/>
              <w:bottom w:val="single" w:color="auto" w:sz="4" w:space="0"/>
              <w:right w:val="single" w:color="auto" w:sz="4" w:space="0"/>
            </w:tcBorders>
            <w:vAlign w:val="center"/>
          </w:tcPr>
          <w:p w14:paraId="182607DD">
            <w:pPr>
              <w:widowControl/>
              <w:jc w:val="left"/>
              <w:rPr>
                <w:rFonts w:ascii="宋体" w:hAnsi="宋体" w:eastAsia="宋体" w:cs="宋体"/>
                <w:kern w:val="0"/>
                <w:sz w:val="18"/>
                <w:szCs w:val="18"/>
              </w:rPr>
            </w:pPr>
            <w:r>
              <w:rPr>
                <w:rFonts w:ascii="宋体" w:hAnsi="宋体" w:eastAsia="宋体" w:cs="宋体"/>
                <w:kern w:val="0"/>
                <w:sz w:val="18"/>
                <w:szCs w:val="18"/>
              </w:rPr>
              <w:t>50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500</w:t>
            </w:r>
          </w:p>
        </w:tc>
        <w:tc>
          <w:tcPr>
            <w:tcW w:w="1134" w:type="dxa"/>
            <w:tcBorders>
              <w:top w:val="nil"/>
              <w:left w:val="nil"/>
              <w:bottom w:val="single" w:color="auto" w:sz="4" w:space="0"/>
              <w:right w:val="single" w:color="auto" w:sz="4" w:space="0"/>
            </w:tcBorders>
            <w:vAlign w:val="center"/>
          </w:tcPr>
          <w:p w14:paraId="718BB5A2">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50</w:t>
            </w:r>
          </w:p>
        </w:tc>
      </w:tr>
      <w:tr w14:paraId="513EA7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ADCF27A">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工业</w:t>
            </w:r>
          </w:p>
        </w:tc>
        <w:tc>
          <w:tcPr>
            <w:tcW w:w="1984" w:type="dxa"/>
            <w:tcBorders>
              <w:top w:val="nil"/>
              <w:left w:val="nil"/>
              <w:bottom w:val="single" w:color="auto" w:sz="4" w:space="0"/>
              <w:right w:val="single" w:color="auto" w:sz="4" w:space="0"/>
            </w:tcBorders>
            <w:vAlign w:val="center"/>
          </w:tcPr>
          <w:p w14:paraId="1DADC193">
            <w:pPr>
              <w:widowControl/>
              <w:jc w:val="left"/>
              <w:rPr>
                <w:rFonts w:ascii="宋体" w:hAnsi="宋体" w:eastAsia="宋体" w:cs="Times New Roman"/>
                <w:kern w:val="0"/>
                <w:sz w:val="18"/>
                <w:szCs w:val="18"/>
              </w:rPr>
            </w:pPr>
            <w:r>
              <w:rPr>
                <w:rFonts w:hint="eastAsia" w:ascii="宋体" w:hAnsi="宋体" w:eastAsia="宋体" w:cs="宋体"/>
                <w:kern w:val="0"/>
                <w:sz w:val="18"/>
                <w:szCs w:val="18"/>
              </w:rPr>
              <w:t>从业人员（</w:t>
            </w:r>
            <w:r>
              <w:rPr>
                <w:rFonts w:ascii="宋体" w:hAnsi="宋体" w:eastAsia="宋体" w:cs="宋体"/>
                <w:kern w:val="0"/>
                <w:sz w:val="18"/>
                <w:szCs w:val="18"/>
              </w:rPr>
              <w:t>X</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2A52EDFC">
            <w:pPr>
              <w:widowControl/>
              <w:jc w:val="left"/>
              <w:rPr>
                <w:rFonts w:ascii="宋体" w:hAnsi="宋体" w:eastAsia="宋体" w:cs="Times New Roman"/>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561370D7">
            <w:pPr>
              <w:widowControl/>
              <w:jc w:val="left"/>
              <w:rPr>
                <w:rFonts w:ascii="宋体" w:hAnsi="宋体" w:eastAsia="宋体" w:cs="宋体"/>
                <w:kern w:val="0"/>
                <w:sz w:val="18"/>
                <w:szCs w:val="18"/>
              </w:rPr>
            </w:pPr>
            <w:r>
              <w:rPr>
                <w:rFonts w:ascii="宋体" w:hAnsi="宋体" w:eastAsia="宋体" w:cs="宋体"/>
                <w:kern w:val="0"/>
                <w:sz w:val="18"/>
                <w:szCs w:val="18"/>
              </w:rPr>
              <w:t>300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1000</w:t>
            </w:r>
          </w:p>
        </w:tc>
        <w:tc>
          <w:tcPr>
            <w:tcW w:w="1701" w:type="dxa"/>
            <w:tcBorders>
              <w:top w:val="nil"/>
              <w:left w:val="nil"/>
              <w:bottom w:val="single" w:color="auto" w:sz="4" w:space="0"/>
              <w:right w:val="single" w:color="auto" w:sz="4" w:space="0"/>
            </w:tcBorders>
            <w:vAlign w:val="center"/>
          </w:tcPr>
          <w:p w14:paraId="0C43C882">
            <w:pPr>
              <w:widowControl/>
              <w:jc w:val="left"/>
              <w:rPr>
                <w:rFonts w:ascii="宋体" w:hAnsi="宋体" w:eastAsia="宋体" w:cs="宋体"/>
                <w:kern w:val="0"/>
                <w:sz w:val="18"/>
                <w:szCs w:val="18"/>
              </w:rPr>
            </w:pPr>
            <w:r>
              <w:rPr>
                <w:rFonts w:ascii="宋体" w:hAnsi="宋体" w:eastAsia="宋体" w:cs="宋体"/>
                <w:kern w:val="0"/>
                <w:sz w:val="18"/>
                <w:szCs w:val="18"/>
              </w:rPr>
              <w:t>20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300</w:t>
            </w:r>
          </w:p>
        </w:tc>
        <w:tc>
          <w:tcPr>
            <w:tcW w:w="1134" w:type="dxa"/>
            <w:tcBorders>
              <w:top w:val="nil"/>
              <w:left w:val="nil"/>
              <w:bottom w:val="single" w:color="auto" w:sz="4" w:space="0"/>
              <w:right w:val="single" w:color="auto" w:sz="4" w:space="0"/>
            </w:tcBorders>
            <w:vAlign w:val="center"/>
          </w:tcPr>
          <w:p w14:paraId="55D00179">
            <w:pPr>
              <w:widowControl/>
              <w:jc w:val="left"/>
              <w:rPr>
                <w:rFonts w:ascii="宋体" w:hAnsi="宋体" w:eastAsia="宋体" w:cs="宋体"/>
                <w:kern w:val="0"/>
                <w:sz w:val="18"/>
                <w:szCs w:val="18"/>
              </w:rPr>
            </w:pP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20</w:t>
            </w:r>
          </w:p>
        </w:tc>
      </w:tr>
      <w:tr w14:paraId="7D785A6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9579C26">
            <w:pPr>
              <w:widowControl/>
              <w:jc w:val="left"/>
              <w:rPr>
                <w:rFonts w:ascii="宋体" w:hAnsi="宋体" w:eastAsia="宋体" w:cs="Times New Roman"/>
                <w:b/>
                <w:bCs/>
                <w:kern w:val="0"/>
                <w:sz w:val="18"/>
                <w:szCs w:val="18"/>
              </w:rPr>
            </w:pPr>
          </w:p>
        </w:tc>
        <w:tc>
          <w:tcPr>
            <w:tcW w:w="1984" w:type="dxa"/>
            <w:tcBorders>
              <w:top w:val="nil"/>
              <w:left w:val="nil"/>
              <w:bottom w:val="single" w:color="auto" w:sz="4" w:space="0"/>
              <w:right w:val="single" w:color="auto" w:sz="4" w:space="0"/>
            </w:tcBorders>
            <w:vAlign w:val="center"/>
          </w:tcPr>
          <w:p w14:paraId="54B33729">
            <w:pPr>
              <w:widowControl/>
              <w:jc w:val="left"/>
              <w:rPr>
                <w:rFonts w:ascii="宋体" w:hAnsi="宋体" w:eastAsia="宋体" w:cs="Times New Roman"/>
                <w:kern w:val="0"/>
                <w:sz w:val="18"/>
                <w:szCs w:val="18"/>
              </w:rPr>
            </w:pPr>
            <w:r>
              <w:rPr>
                <w:rFonts w:hint="eastAsia" w:ascii="宋体" w:hAnsi="宋体" w:eastAsia="宋体" w:cs="宋体"/>
                <w:kern w:val="0"/>
                <w:sz w:val="18"/>
                <w:szCs w:val="18"/>
              </w:rPr>
              <w:t>营业收入（</w:t>
            </w:r>
            <w:r>
              <w:rPr>
                <w:rFonts w:ascii="宋体" w:hAnsi="宋体" w:eastAsia="宋体" w:cs="宋体"/>
                <w:kern w:val="0"/>
                <w:sz w:val="18"/>
                <w:szCs w:val="18"/>
              </w:rPr>
              <w:t>Y</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011AE775">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27FBD078">
            <w:pPr>
              <w:widowControl/>
              <w:jc w:val="left"/>
              <w:rPr>
                <w:rFonts w:ascii="宋体" w:hAnsi="宋体" w:eastAsia="宋体" w:cs="宋体"/>
                <w:kern w:val="0"/>
                <w:sz w:val="18"/>
                <w:szCs w:val="18"/>
              </w:rPr>
            </w:pPr>
            <w:r>
              <w:rPr>
                <w:rFonts w:ascii="宋体" w:hAnsi="宋体" w:eastAsia="宋体" w:cs="宋体"/>
                <w:kern w:val="0"/>
                <w:sz w:val="18"/>
                <w:szCs w:val="18"/>
              </w:rPr>
              <w:t>2000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40000</w:t>
            </w:r>
          </w:p>
        </w:tc>
        <w:tc>
          <w:tcPr>
            <w:tcW w:w="1701" w:type="dxa"/>
            <w:tcBorders>
              <w:top w:val="nil"/>
              <w:left w:val="nil"/>
              <w:bottom w:val="single" w:color="auto" w:sz="4" w:space="0"/>
              <w:right w:val="single" w:color="auto" w:sz="4" w:space="0"/>
            </w:tcBorders>
            <w:vAlign w:val="center"/>
          </w:tcPr>
          <w:p w14:paraId="171E1821">
            <w:pPr>
              <w:widowControl/>
              <w:jc w:val="left"/>
              <w:rPr>
                <w:rFonts w:ascii="宋体" w:hAnsi="宋体" w:eastAsia="宋体" w:cs="宋体"/>
                <w:kern w:val="0"/>
                <w:sz w:val="18"/>
                <w:szCs w:val="18"/>
              </w:rPr>
            </w:pPr>
            <w:r>
              <w:rPr>
                <w:rFonts w:ascii="宋体" w:hAnsi="宋体" w:eastAsia="宋体" w:cs="宋体"/>
                <w:kern w:val="0"/>
                <w:sz w:val="18"/>
                <w:szCs w:val="18"/>
              </w:rPr>
              <w:t>300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2000</w:t>
            </w:r>
          </w:p>
        </w:tc>
        <w:tc>
          <w:tcPr>
            <w:tcW w:w="1134" w:type="dxa"/>
            <w:tcBorders>
              <w:top w:val="nil"/>
              <w:left w:val="nil"/>
              <w:bottom w:val="single" w:color="auto" w:sz="4" w:space="0"/>
              <w:right w:val="single" w:color="auto" w:sz="4" w:space="0"/>
            </w:tcBorders>
            <w:vAlign w:val="center"/>
          </w:tcPr>
          <w:p w14:paraId="66D7C79D">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300</w:t>
            </w:r>
          </w:p>
        </w:tc>
      </w:tr>
      <w:tr w14:paraId="10D3C04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2AD4CF5">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建筑业</w:t>
            </w:r>
          </w:p>
        </w:tc>
        <w:tc>
          <w:tcPr>
            <w:tcW w:w="1984" w:type="dxa"/>
            <w:tcBorders>
              <w:top w:val="nil"/>
              <w:left w:val="nil"/>
              <w:bottom w:val="single" w:color="auto" w:sz="4" w:space="0"/>
              <w:right w:val="single" w:color="auto" w:sz="4" w:space="0"/>
            </w:tcBorders>
            <w:vAlign w:val="center"/>
          </w:tcPr>
          <w:p w14:paraId="47A6EB44">
            <w:pPr>
              <w:widowControl/>
              <w:jc w:val="left"/>
              <w:rPr>
                <w:rFonts w:ascii="宋体" w:hAnsi="宋体" w:eastAsia="宋体" w:cs="Times New Roman"/>
                <w:kern w:val="0"/>
                <w:sz w:val="18"/>
                <w:szCs w:val="18"/>
              </w:rPr>
            </w:pPr>
            <w:r>
              <w:rPr>
                <w:rFonts w:hint="eastAsia" w:ascii="宋体" w:hAnsi="宋体" w:eastAsia="宋体" w:cs="宋体"/>
                <w:kern w:val="0"/>
                <w:sz w:val="18"/>
                <w:szCs w:val="18"/>
              </w:rPr>
              <w:t>营业收入（</w:t>
            </w:r>
            <w:r>
              <w:rPr>
                <w:rFonts w:ascii="宋体" w:hAnsi="宋体" w:eastAsia="宋体" w:cs="宋体"/>
                <w:kern w:val="0"/>
                <w:sz w:val="18"/>
                <w:szCs w:val="18"/>
              </w:rPr>
              <w:t>Y</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6F5559C9">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70579720">
            <w:pPr>
              <w:widowControl/>
              <w:jc w:val="left"/>
              <w:rPr>
                <w:rFonts w:ascii="宋体" w:hAnsi="宋体" w:eastAsia="宋体" w:cs="宋体"/>
                <w:kern w:val="0"/>
                <w:sz w:val="18"/>
                <w:szCs w:val="18"/>
              </w:rPr>
            </w:pPr>
            <w:r>
              <w:rPr>
                <w:rFonts w:ascii="宋体" w:hAnsi="宋体" w:eastAsia="宋体" w:cs="宋体"/>
                <w:kern w:val="0"/>
                <w:sz w:val="18"/>
                <w:szCs w:val="18"/>
              </w:rPr>
              <w:t>6000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80000</w:t>
            </w:r>
          </w:p>
        </w:tc>
        <w:tc>
          <w:tcPr>
            <w:tcW w:w="1701" w:type="dxa"/>
            <w:tcBorders>
              <w:top w:val="nil"/>
              <w:left w:val="nil"/>
              <w:bottom w:val="single" w:color="auto" w:sz="4" w:space="0"/>
              <w:right w:val="single" w:color="auto" w:sz="4" w:space="0"/>
            </w:tcBorders>
            <w:vAlign w:val="center"/>
          </w:tcPr>
          <w:p w14:paraId="1F615221">
            <w:pPr>
              <w:widowControl/>
              <w:jc w:val="left"/>
              <w:rPr>
                <w:rFonts w:ascii="宋体" w:hAnsi="宋体" w:eastAsia="宋体" w:cs="宋体"/>
                <w:kern w:val="0"/>
                <w:sz w:val="18"/>
                <w:szCs w:val="18"/>
              </w:rPr>
            </w:pPr>
            <w:r>
              <w:rPr>
                <w:rFonts w:ascii="宋体" w:hAnsi="宋体" w:eastAsia="宋体" w:cs="宋体"/>
                <w:kern w:val="0"/>
                <w:sz w:val="18"/>
                <w:szCs w:val="18"/>
              </w:rPr>
              <w:t>300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6000</w:t>
            </w:r>
          </w:p>
        </w:tc>
        <w:tc>
          <w:tcPr>
            <w:tcW w:w="1134" w:type="dxa"/>
            <w:tcBorders>
              <w:top w:val="nil"/>
              <w:left w:val="nil"/>
              <w:bottom w:val="single" w:color="auto" w:sz="4" w:space="0"/>
              <w:right w:val="single" w:color="auto" w:sz="4" w:space="0"/>
            </w:tcBorders>
            <w:vAlign w:val="center"/>
          </w:tcPr>
          <w:p w14:paraId="1FFDDDA2">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300</w:t>
            </w:r>
          </w:p>
        </w:tc>
      </w:tr>
      <w:tr w14:paraId="664273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9C13B91">
            <w:pPr>
              <w:widowControl/>
              <w:jc w:val="left"/>
              <w:rPr>
                <w:rFonts w:ascii="宋体" w:hAnsi="宋体" w:eastAsia="宋体" w:cs="Times New Roman"/>
                <w:b/>
                <w:bCs/>
                <w:kern w:val="0"/>
                <w:sz w:val="18"/>
                <w:szCs w:val="18"/>
              </w:rPr>
            </w:pPr>
          </w:p>
        </w:tc>
        <w:tc>
          <w:tcPr>
            <w:tcW w:w="1984" w:type="dxa"/>
            <w:tcBorders>
              <w:top w:val="nil"/>
              <w:left w:val="nil"/>
              <w:bottom w:val="single" w:color="auto" w:sz="4" w:space="0"/>
              <w:right w:val="single" w:color="auto" w:sz="4" w:space="0"/>
            </w:tcBorders>
            <w:vAlign w:val="center"/>
          </w:tcPr>
          <w:p w14:paraId="2D07BD7C">
            <w:pPr>
              <w:widowControl/>
              <w:jc w:val="left"/>
              <w:rPr>
                <w:rFonts w:ascii="宋体" w:hAnsi="宋体" w:eastAsia="宋体" w:cs="Times New Roman"/>
                <w:kern w:val="0"/>
                <w:sz w:val="18"/>
                <w:szCs w:val="18"/>
              </w:rPr>
            </w:pPr>
            <w:r>
              <w:rPr>
                <w:rFonts w:hint="eastAsia" w:ascii="宋体" w:hAnsi="宋体" w:eastAsia="宋体" w:cs="宋体"/>
                <w:kern w:val="0"/>
                <w:sz w:val="18"/>
                <w:szCs w:val="18"/>
              </w:rPr>
              <w:t>资产总额（</w:t>
            </w:r>
            <w:r>
              <w:rPr>
                <w:rFonts w:ascii="宋体" w:hAnsi="宋体" w:eastAsia="宋体" w:cs="宋体"/>
                <w:kern w:val="0"/>
                <w:sz w:val="18"/>
                <w:szCs w:val="18"/>
              </w:rPr>
              <w:t>Z</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65A78E28">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2B3D7C83">
            <w:pPr>
              <w:widowControl/>
              <w:jc w:val="left"/>
              <w:rPr>
                <w:rFonts w:ascii="宋体" w:hAnsi="宋体" w:eastAsia="宋体" w:cs="宋体"/>
                <w:kern w:val="0"/>
                <w:sz w:val="18"/>
                <w:szCs w:val="18"/>
              </w:rPr>
            </w:pPr>
            <w:r>
              <w:rPr>
                <w:rFonts w:ascii="宋体" w:hAnsi="宋体" w:eastAsia="宋体" w:cs="宋体"/>
                <w:kern w:val="0"/>
                <w:sz w:val="18"/>
                <w:szCs w:val="18"/>
              </w:rPr>
              <w:t>5000</w:t>
            </w:r>
            <w:r>
              <w:rPr>
                <w:rFonts w:hint="eastAsia" w:ascii="宋体" w:hAnsi="宋体" w:eastAsia="宋体" w:cs="宋体"/>
                <w:kern w:val="0"/>
                <w:sz w:val="18"/>
                <w:szCs w:val="18"/>
              </w:rPr>
              <w:t>≤</w:t>
            </w:r>
            <w:r>
              <w:rPr>
                <w:rFonts w:ascii="宋体" w:hAnsi="宋体" w:eastAsia="宋体" w:cs="宋体"/>
                <w:kern w:val="0"/>
                <w:sz w:val="18"/>
                <w:szCs w:val="18"/>
              </w:rPr>
              <w:t>Z</w:t>
            </w:r>
            <w:r>
              <w:rPr>
                <w:rFonts w:hint="eastAsia" w:ascii="宋体" w:hAnsi="宋体" w:eastAsia="宋体" w:cs="宋体"/>
                <w:kern w:val="0"/>
                <w:sz w:val="18"/>
                <w:szCs w:val="18"/>
              </w:rPr>
              <w:t>＜</w:t>
            </w:r>
            <w:r>
              <w:rPr>
                <w:rFonts w:ascii="宋体" w:hAnsi="宋体" w:eastAsia="宋体" w:cs="宋体"/>
                <w:kern w:val="0"/>
                <w:sz w:val="18"/>
                <w:szCs w:val="18"/>
              </w:rPr>
              <w:t>80000</w:t>
            </w:r>
          </w:p>
        </w:tc>
        <w:tc>
          <w:tcPr>
            <w:tcW w:w="1701" w:type="dxa"/>
            <w:tcBorders>
              <w:top w:val="nil"/>
              <w:left w:val="nil"/>
              <w:bottom w:val="single" w:color="auto" w:sz="4" w:space="0"/>
              <w:right w:val="single" w:color="auto" w:sz="4" w:space="0"/>
            </w:tcBorders>
            <w:vAlign w:val="center"/>
          </w:tcPr>
          <w:p w14:paraId="4487CC79">
            <w:pPr>
              <w:widowControl/>
              <w:jc w:val="left"/>
              <w:rPr>
                <w:rFonts w:ascii="宋体" w:hAnsi="宋体" w:eastAsia="宋体" w:cs="宋体"/>
                <w:kern w:val="0"/>
                <w:sz w:val="18"/>
                <w:szCs w:val="18"/>
              </w:rPr>
            </w:pPr>
            <w:r>
              <w:rPr>
                <w:rFonts w:ascii="宋体" w:hAnsi="宋体" w:eastAsia="宋体" w:cs="宋体"/>
                <w:kern w:val="0"/>
                <w:sz w:val="18"/>
                <w:szCs w:val="18"/>
              </w:rPr>
              <w:t>300</w:t>
            </w:r>
            <w:r>
              <w:rPr>
                <w:rFonts w:hint="eastAsia" w:ascii="宋体" w:hAnsi="宋体" w:eastAsia="宋体" w:cs="宋体"/>
                <w:kern w:val="0"/>
                <w:sz w:val="18"/>
                <w:szCs w:val="18"/>
              </w:rPr>
              <w:t>≤</w:t>
            </w:r>
            <w:r>
              <w:rPr>
                <w:rFonts w:ascii="宋体" w:hAnsi="宋体" w:eastAsia="宋体" w:cs="宋体"/>
                <w:kern w:val="0"/>
                <w:sz w:val="18"/>
                <w:szCs w:val="18"/>
              </w:rPr>
              <w:t>Z</w:t>
            </w:r>
            <w:r>
              <w:rPr>
                <w:rFonts w:hint="eastAsia" w:ascii="宋体" w:hAnsi="宋体" w:eastAsia="宋体" w:cs="宋体"/>
                <w:kern w:val="0"/>
                <w:sz w:val="18"/>
                <w:szCs w:val="18"/>
              </w:rPr>
              <w:t>＜</w:t>
            </w:r>
            <w:r>
              <w:rPr>
                <w:rFonts w:ascii="宋体" w:hAnsi="宋体" w:eastAsia="宋体" w:cs="宋体"/>
                <w:kern w:val="0"/>
                <w:sz w:val="18"/>
                <w:szCs w:val="18"/>
              </w:rPr>
              <w:t>5000</w:t>
            </w:r>
          </w:p>
        </w:tc>
        <w:tc>
          <w:tcPr>
            <w:tcW w:w="1134" w:type="dxa"/>
            <w:tcBorders>
              <w:top w:val="nil"/>
              <w:left w:val="nil"/>
              <w:bottom w:val="single" w:color="auto" w:sz="4" w:space="0"/>
              <w:right w:val="single" w:color="auto" w:sz="4" w:space="0"/>
            </w:tcBorders>
            <w:vAlign w:val="center"/>
          </w:tcPr>
          <w:p w14:paraId="2664D915">
            <w:pPr>
              <w:widowControl/>
              <w:jc w:val="left"/>
              <w:rPr>
                <w:rFonts w:ascii="宋体" w:hAnsi="宋体" w:eastAsia="宋体" w:cs="宋体"/>
                <w:kern w:val="0"/>
                <w:sz w:val="18"/>
                <w:szCs w:val="18"/>
              </w:rPr>
            </w:pPr>
            <w:r>
              <w:rPr>
                <w:rFonts w:ascii="宋体" w:hAnsi="宋体" w:eastAsia="宋体" w:cs="宋体"/>
                <w:kern w:val="0"/>
                <w:sz w:val="18"/>
                <w:szCs w:val="18"/>
              </w:rPr>
              <w:t>Z</w:t>
            </w:r>
            <w:r>
              <w:rPr>
                <w:rFonts w:hint="eastAsia" w:ascii="宋体" w:hAnsi="宋体" w:eastAsia="宋体" w:cs="宋体"/>
                <w:kern w:val="0"/>
                <w:sz w:val="18"/>
                <w:szCs w:val="18"/>
              </w:rPr>
              <w:t>＜</w:t>
            </w:r>
            <w:r>
              <w:rPr>
                <w:rFonts w:ascii="宋体" w:hAnsi="宋体" w:eastAsia="宋体" w:cs="宋体"/>
                <w:kern w:val="0"/>
                <w:sz w:val="18"/>
                <w:szCs w:val="18"/>
              </w:rPr>
              <w:t>300</w:t>
            </w:r>
          </w:p>
        </w:tc>
      </w:tr>
      <w:tr w14:paraId="60A6B8E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540DBDA">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批发业</w:t>
            </w:r>
          </w:p>
        </w:tc>
        <w:tc>
          <w:tcPr>
            <w:tcW w:w="1984" w:type="dxa"/>
            <w:tcBorders>
              <w:top w:val="nil"/>
              <w:left w:val="nil"/>
              <w:bottom w:val="single" w:color="auto" w:sz="4" w:space="0"/>
              <w:right w:val="single" w:color="auto" w:sz="4" w:space="0"/>
            </w:tcBorders>
            <w:vAlign w:val="center"/>
          </w:tcPr>
          <w:p w14:paraId="7377DD20">
            <w:pPr>
              <w:widowControl/>
              <w:jc w:val="left"/>
              <w:rPr>
                <w:rFonts w:ascii="宋体" w:hAnsi="宋体" w:eastAsia="宋体" w:cs="Times New Roman"/>
                <w:kern w:val="0"/>
                <w:sz w:val="18"/>
                <w:szCs w:val="18"/>
              </w:rPr>
            </w:pPr>
            <w:r>
              <w:rPr>
                <w:rFonts w:hint="eastAsia" w:ascii="宋体" w:hAnsi="宋体" w:eastAsia="宋体" w:cs="宋体"/>
                <w:kern w:val="0"/>
                <w:sz w:val="18"/>
                <w:szCs w:val="18"/>
              </w:rPr>
              <w:t>从业人员（</w:t>
            </w:r>
            <w:r>
              <w:rPr>
                <w:rFonts w:ascii="宋体" w:hAnsi="宋体" w:eastAsia="宋体" w:cs="宋体"/>
                <w:kern w:val="0"/>
                <w:sz w:val="18"/>
                <w:szCs w:val="18"/>
              </w:rPr>
              <w:t>X</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013ADFF1">
            <w:pPr>
              <w:widowControl/>
              <w:jc w:val="left"/>
              <w:rPr>
                <w:rFonts w:ascii="宋体" w:hAnsi="宋体" w:eastAsia="宋体" w:cs="Times New Roman"/>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03C81D6C">
            <w:pPr>
              <w:widowControl/>
              <w:jc w:val="left"/>
              <w:rPr>
                <w:rFonts w:ascii="宋体" w:hAnsi="宋体" w:eastAsia="宋体" w:cs="宋体"/>
                <w:kern w:val="0"/>
                <w:sz w:val="18"/>
                <w:szCs w:val="18"/>
              </w:rPr>
            </w:pPr>
            <w:r>
              <w:rPr>
                <w:rFonts w:ascii="宋体" w:hAnsi="宋体" w:eastAsia="宋体" w:cs="宋体"/>
                <w:kern w:val="0"/>
                <w:sz w:val="18"/>
                <w:szCs w:val="18"/>
              </w:rPr>
              <w:t>20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200</w:t>
            </w:r>
          </w:p>
        </w:tc>
        <w:tc>
          <w:tcPr>
            <w:tcW w:w="1701" w:type="dxa"/>
            <w:tcBorders>
              <w:top w:val="nil"/>
              <w:left w:val="nil"/>
              <w:bottom w:val="single" w:color="auto" w:sz="4" w:space="0"/>
              <w:right w:val="single" w:color="auto" w:sz="4" w:space="0"/>
            </w:tcBorders>
            <w:vAlign w:val="center"/>
          </w:tcPr>
          <w:p w14:paraId="2C3615FD">
            <w:pPr>
              <w:widowControl/>
              <w:jc w:val="left"/>
              <w:rPr>
                <w:rFonts w:ascii="宋体" w:hAnsi="宋体" w:eastAsia="宋体" w:cs="宋体"/>
                <w:kern w:val="0"/>
                <w:sz w:val="18"/>
                <w:szCs w:val="18"/>
              </w:rPr>
            </w:pPr>
            <w:r>
              <w:rPr>
                <w:rFonts w:ascii="宋体" w:hAnsi="宋体" w:eastAsia="宋体" w:cs="宋体"/>
                <w:kern w:val="0"/>
                <w:sz w:val="18"/>
                <w:szCs w:val="18"/>
              </w:rPr>
              <w:t>5</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20</w:t>
            </w:r>
          </w:p>
        </w:tc>
        <w:tc>
          <w:tcPr>
            <w:tcW w:w="1134" w:type="dxa"/>
            <w:tcBorders>
              <w:top w:val="nil"/>
              <w:left w:val="nil"/>
              <w:bottom w:val="single" w:color="auto" w:sz="4" w:space="0"/>
              <w:right w:val="single" w:color="auto" w:sz="4" w:space="0"/>
            </w:tcBorders>
            <w:vAlign w:val="center"/>
          </w:tcPr>
          <w:p w14:paraId="761D5173">
            <w:pPr>
              <w:widowControl/>
              <w:jc w:val="left"/>
              <w:rPr>
                <w:rFonts w:ascii="宋体" w:hAnsi="宋体" w:eastAsia="宋体" w:cs="宋体"/>
                <w:kern w:val="0"/>
                <w:sz w:val="18"/>
                <w:szCs w:val="18"/>
              </w:rPr>
            </w:pP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5</w:t>
            </w:r>
          </w:p>
        </w:tc>
      </w:tr>
      <w:tr w14:paraId="1162550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1294784">
            <w:pPr>
              <w:widowControl/>
              <w:jc w:val="left"/>
              <w:rPr>
                <w:rFonts w:ascii="宋体" w:hAnsi="宋体" w:eastAsia="宋体" w:cs="Times New Roman"/>
                <w:b/>
                <w:bCs/>
                <w:kern w:val="0"/>
                <w:sz w:val="18"/>
                <w:szCs w:val="18"/>
              </w:rPr>
            </w:pPr>
          </w:p>
        </w:tc>
        <w:tc>
          <w:tcPr>
            <w:tcW w:w="1984" w:type="dxa"/>
            <w:tcBorders>
              <w:top w:val="nil"/>
              <w:left w:val="nil"/>
              <w:bottom w:val="single" w:color="auto" w:sz="4" w:space="0"/>
              <w:right w:val="single" w:color="auto" w:sz="4" w:space="0"/>
            </w:tcBorders>
            <w:vAlign w:val="center"/>
          </w:tcPr>
          <w:p w14:paraId="1BE7AA72">
            <w:pPr>
              <w:widowControl/>
              <w:jc w:val="left"/>
              <w:rPr>
                <w:rFonts w:ascii="宋体" w:hAnsi="宋体" w:eastAsia="宋体" w:cs="Times New Roman"/>
                <w:kern w:val="0"/>
                <w:sz w:val="18"/>
                <w:szCs w:val="18"/>
              </w:rPr>
            </w:pPr>
            <w:r>
              <w:rPr>
                <w:rFonts w:hint="eastAsia" w:ascii="宋体" w:hAnsi="宋体" w:eastAsia="宋体" w:cs="宋体"/>
                <w:kern w:val="0"/>
                <w:sz w:val="18"/>
                <w:szCs w:val="18"/>
              </w:rPr>
              <w:t>营业收入（</w:t>
            </w:r>
            <w:r>
              <w:rPr>
                <w:rFonts w:ascii="宋体" w:hAnsi="宋体" w:eastAsia="宋体" w:cs="宋体"/>
                <w:kern w:val="0"/>
                <w:sz w:val="18"/>
                <w:szCs w:val="18"/>
              </w:rPr>
              <w:t>Y</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4F4CACE7">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2BD69747">
            <w:pPr>
              <w:widowControl/>
              <w:jc w:val="left"/>
              <w:rPr>
                <w:rFonts w:ascii="宋体" w:hAnsi="宋体" w:eastAsia="宋体" w:cs="宋体"/>
                <w:kern w:val="0"/>
                <w:sz w:val="18"/>
                <w:szCs w:val="18"/>
              </w:rPr>
            </w:pPr>
            <w:r>
              <w:rPr>
                <w:rFonts w:ascii="宋体" w:hAnsi="宋体" w:eastAsia="宋体" w:cs="宋体"/>
                <w:kern w:val="0"/>
                <w:sz w:val="18"/>
                <w:szCs w:val="18"/>
              </w:rPr>
              <w:t>5000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40000</w:t>
            </w:r>
          </w:p>
        </w:tc>
        <w:tc>
          <w:tcPr>
            <w:tcW w:w="1701" w:type="dxa"/>
            <w:tcBorders>
              <w:top w:val="nil"/>
              <w:left w:val="nil"/>
              <w:bottom w:val="single" w:color="auto" w:sz="4" w:space="0"/>
              <w:right w:val="single" w:color="auto" w:sz="4" w:space="0"/>
            </w:tcBorders>
            <w:vAlign w:val="center"/>
          </w:tcPr>
          <w:p w14:paraId="2DB81770">
            <w:pPr>
              <w:widowControl/>
              <w:jc w:val="left"/>
              <w:rPr>
                <w:rFonts w:ascii="宋体" w:hAnsi="宋体" w:eastAsia="宋体" w:cs="宋体"/>
                <w:kern w:val="0"/>
                <w:sz w:val="18"/>
                <w:szCs w:val="18"/>
              </w:rPr>
            </w:pPr>
            <w:r>
              <w:rPr>
                <w:rFonts w:ascii="宋体" w:hAnsi="宋体" w:eastAsia="宋体" w:cs="宋体"/>
                <w:kern w:val="0"/>
                <w:sz w:val="18"/>
                <w:szCs w:val="18"/>
              </w:rPr>
              <w:t>1000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5000</w:t>
            </w:r>
          </w:p>
        </w:tc>
        <w:tc>
          <w:tcPr>
            <w:tcW w:w="1134" w:type="dxa"/>
            <w:tcBorders>
              <w:top w:val="nil"/>
              <w:left w:val="nil"/>
              <w:bottom w:val="single" w:color="auto" w:sz="4" w:space="0"/>
              <w:right w:val="single" w:color="auto" w:sz="4" w:space="0"/>
            </w:tcBorders>
            <w:vAlign w:val="center"/>
          </w:tcPr>
          <w:p w14:paraId="1292C9CE">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1000</w:t>
            </w:r>
          </w:p>
        </w:tc>
      </w:tr>
      <w:tr w14:paraId="0B88E98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2399367">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零售业</w:t>
            </w:r>
          </w:p>
        </w:tc>
        <w:tc>
          <w:tcPr>
            <w:tcW w:w="1984" w:type="dxa"/>
            <w:tcBorders>
              <w:top w:val="nil"/>
              <w:left w:val="nil"/>
              <w:bottom w:val="single" w:color="auto" w:sz="4" w:space="0"/>
              <w:right w:val="single" w:color="auto" w:sz="4" w:space="0"/>
            </w:tcBorders>
            <w:vAlign w:val="center"/>
          </w:tcPr>
          <w:p w14:paraId="4B474581">
            <w:pPr>
              <w:widowControl/>
              <w:jc w:val="left"/>
              <w:rPr>
                <w:rFonts w:ascii="宋体" w:hAnsi="宋体" w:eastAsia="宋体" w:cs="Times New Roman"/>
                <w:kern w:val="0"/>
                <w:sz w:val="18"/>
                <w:szCs w:val="18"/>
              </w:rPr>
            </w:pPr>
            <w:r>
              <w:rPr>
                <w:rFonts w:hint="eastAsia" w:ascii="宋体" w:hAnsi="宋体" w:eastAsia="宋体" w:cs="宋体"/>
                <w:kern w:val="0"/>
                <w:sz w:val="18"/>
                <w:szCs w:val="18"/>
              </w:rPr>
              <w:t>从业人员（</w:t>
            </w:r>
            <w:r>
              <w:rPr>
                <w:rFonts w:ascii="宋体" w:hAnsi="宋体" w:eastAsia="宋体" w:cs="宋体"/>
                <w:kern w:val="0"/>
                <w:sz w:val="18"/>
                <w:szCs w:val="18"/>
              </w:rPr>
              <w:t>X</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3AF913E3">
            <w:pPr>
              <w:widowControl/>
              <w:jc w:val="left"/>
              <w:rPr>
                <w:rFonts w:ascii="宋体" w:hAnsi="宋体" w:eastAsia="宋体" w:cs="Times New Roman"/>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501EDA1D">
            <w:pPr>
              <w:widowControl/>
              <w:jc w:val="left"/>
              <w:rPr>
                <w:rFonts w:ascii="宋体" w:hAnsi="宋体" w:eastAsia="宋体" w:cs="宋体"/>
                <w:kern w:val="0"/>
                <w:sz w:val="18"/>
                <w:szCs w:val="18"/>
              </w:rPr>
            </w:pPr>
            <w:r>
              <w:rPr>
                <w:rFonts w:ascii="宋体" w:hAnsi="宋体" w:eastAsia="宋体" w:cs="宋体"/>
                <w:kern w:val="0"/>
                <w:sz w:val="18"/>
                <w:szCs w:val="18"/>
              </w:rPr>
              <w:t>50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300</w:t>
            </w:r>
          </w:p>
        </w:tc>
        <w:tc>
          <w:tcPr>
            <w:tcW w:w="1701" w:type="dxa"/>
            <w:tcBorders>
              <w:top w:val="nil"/>
              <w:left w:val="nil"/>
              <w:bottom w:val="single" w:color="auto" w:sz="4" w:space="0"/>
              <w:right w:val="single" w:color="auto" w:sz="4" w:space="0"/>
            </w:tcBorders>
            <w:vAlign w:val="center"/>
          </w:tcPr>
          <w:p w14:paraId="1779C02A">
            <w:pPr>
              <w:widowControl/>
              <w:jc w:val="left"/>
              <w:rPr>
                <w:rFonts w:ascii="宋体" w:hAnsi="宋体" w:eastAsia="宋体" w:cs="宋体"/>
                <w:kern w:val="0"/>
                <w:sz w:val="18"/>
                <w:szCs w:val="18"/>
              </w:rPr>
            </w:pPr>
            <w:r>
              <w:rPr>
                <w:rFonts w:ascii="宋体" w:hAnsi="宋体" w:eastAsia="宋体" w:cs="宋体"/>
                <w:kern w:val="0"/>
                <w:sz w:val="18"/>
                <w:szCs w:val="18"/>
              </w:rPr>
              <w:t>10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50</w:t>
            </w:r>
          </w:p>
        </w:tc>
        <w:tc>
          <w:tcPr>
            <w:tcW w:w="1134" w:type="dxa"/>
            <w:tcBorders>
              <w:top w:val="nil"/>
              <w:left w:val="nil"/>
              <w:bottom w:val="single" w:color="auto" w:sz="4" w:space="0"/>
              <w:right w:val="single" w:color="auto" w:sz="4" w:space="0"/>
            </w:tcBorders>
            <w:vAlign w:val="center"/>
          </w:tcPr>
          <w:p w14:paraId="3F6B2CA2">
            <w:pPr>
              <w:widowControl/>
              <w:jc w:val="left"/>
              <w:rPr>
                <w:rFonts w:ascii="宋体" w:hAnsi="宋体" w:eastAsia="宋体" w:cs="宋体"/>
                <w:kern w:val="0"/>
                <w:sz w:val="18"/>
                <w:szCs w:val="18"/>
              </w:rPr>
            </w:pP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w:t>
            </w:r>
          </w:p>
        </w:tc>
      </w:tr>
      <w:tr w14:paraId="4D8BEDD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3351BE2">
            <w:pPr>
              <w:widowControl/>
              <w:jc w:val="left"/>
              <w:rPr>
                <w:rFonts w:ascii="宋体" w:hAnsi="宋体" w:eastAsia="宋体" w:cs="Times New Roman"/>
                <w:b/>
                <w:bCs/>
                <w:kern w:val="0"/>
                <w:sz w:val="18"/>
                <w:szCs w:val="18"/>
              </w:rPr>
            </w:pPr>
          </w:p>
        </w:tc>
        <w:tc>
          <w:tcPr>
            <w:tcW w:w="1984" w:type="dxa"/>
            <w:tcBorders>
              <w:top w:val="nil"/>
              <w:left w:val="nil"/>
              <w:bottom w:val="single" w:color="auto" w:sz="4" w:space="0"/>
              <w:right w:val="single" w:color="auto" w:sz="4" w:space="0"/>
            </w:tcBorders>
            <w:vAlign w:val="center"/>
          </w:tcPr>
          <w:p w14:paraId="643CEA52">
            <w:pPr>
              <w:widowControl/>
              <w:jc w:val="left"/>
              <w:rPr>
                <w:rFonts w:ascii="宋体" w:hAnsi="宋体" w:eastAsia="宋体" w:cs="Times New Roman"/>
                <w:kern w:val="0"/>
                <w:sz w:val="18"/>
                <w:szCs w:val="18"/>
              </w:rPr>
            </w:pPr>
            <w:r>
              <w:rPr>
                <w:rFonts w:hint="eastAsia" w:ascii="宋体" w:hAnsi="宋体" w:eastAsia="宋体" w:cs="宋体"/>
                <w:kern w:val="0"/>
                <w:sz w:val="18"/>
                <w:szCs w:val="18"/>
              </w:rPr>
              <w:t>营业收入（</w:t>
            </w:r>
            <w:r>
              <w:rPr>
                <w:rFonts w:ascii="宋体" w:hAnsi="宋体" w:eastAsia="宋体" w:cs="宋体"/>
                <w:kern w:val="0"/>
                <w:sz w:val="18"/>
                <w:szCs w:val="18"/>
              </w:rPr>
              <w:t>Y</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59DED071">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51E950AE">
            <w:pPr>
              <w:widowControl/>
              <w:jc w:val="left"/>
              <w:rPr>
                <w:rFonts w:ascii="宋体" w:hAnsi="宋体" w:eastAsia="宋体" w:cs="宋体"/>
                <w:kern w:val="0"/>
                <w:sz w:val="18"/>
                <w:szCs w:val="18"/>
              </w:rPr>
            </w:pPr>
            <w:r>
              <w:rPr>
                <w:rFonts w:ascii="宋体" w:hAnsi="宋体" w:eastAsia="宋体" w:cs="宋体"/>
                <w:kern w:val="0"/>
                <w:sz w:val="18"/>
                <w:szCs w:val="18"/>
              </w:rPr>
              <w:t>500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20000</w:t>
            </w:r>
          </w:p>
        </w:tc>
        <w:tc>
          <w:tcPr>
            <w:tcW w:w="1701" w:type="dxa"/>
            <w:tcBorders>
              <w:top w:val="nil"/>
              <w:left w:val="nil"/>
              <w:bottom w:val="single" w:color="auto" w:sz="4" w:space="0"/>
              <w:right w:val="single" w:color="auto" w:sz="4" w:space="0"/>
            </w:tcBorders>
            <w:vAlign w:val="center"/>
          </w:tcPr>
          <w:p w14:paraId="39BD3A95">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500</w:t>
            </w:r>
          </w:p>
        </w:tc>
        <w:tc>
          <w:tcPr>
            <w:tcW w:w="1134" w:type="dxa"/>
            <w:tcBorders>
              <w:top w:val="nil"/>
              <w:left w:val="nil"/>
              <w:bottom w:val="single" w:color="auto" w:sz="4" w:space="0"/>
              <w:right w:val="single" w:color="auto" w:sz="4" w:space="0"/>
            </w:tcBorders>
            <w:vAlign w:val="center"/>
          </w:tcPr>
          <w:p w14:paraId="175FD23D">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w:t>
            </w:r>
          </w:p>
        </w:tc>
      </w:tr>
      <w:tr w14:paraId="74D03BD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694B281">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交通运输业</w:t>
            </w:r>
          </w:p>
        </w:tc>
        <w:tc>
          <w:tcPr>
            <w:tcW w:w="1984" w:type="dxa"/>
            <w:tcBorders>
              <w:top w:val="nil"/>
              <w:left w:val="nil"/>
              <w:bottom w:val="single" w:color="auto" w:sz="4" w:space="0"/>
              <w:right w:val="single" w:color="auto" w:sz="4" w:space="0"/>
            </w:tcBorders>
            <w:vAlign w:val="center"/>
          </w:tcPr>
          <w:p w14:paraId="5CC161CE">
            <w:pPr>
              <w:widowControl/>
              <w:jc w:val="left"/>
              <w:rPr>
                <w:rFonts w:ascii="宋体" w:hAnsi="宋体" w:eastAsia="宋体" w:cs="Times New Roman"/>
                <w:kern w:val="0"/>
                <w:sz w:val="18"/>
                <w:szCs w:val="18"/>
              </w:rPr>
            </w:pPr>
            <w:r>
              <w:rPr>
                <w:rFonts w:hint="eastAsia" w:ascii="宋体" w:hAnsi="宋体" w:eastAsia="宋体" w:cs="宋体"/>
                <w:kern w:val="0"/>
                <w:sz w:val="18"/>
                <w:szCs w:val="18"/>
              </w:rPr>
              <w:t>从业人员（</w:t>
            </w:r>
            <w:r>
              <w:rPr>
                <w:rFonts w:ascii="宋体" w:hAnsi="宋体" w:eastAsia="宋体" w:cs="宋体"/>
                <w:kern w:val="0"/>
                <w:sz w:val="18"/>
                <w:szCs w:val="18"/>
              </w:rPr>
              <w:t>X</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2EC30E28">
            <w:pPr>
              <w:widowControl/>
              <w:jc w:val="left"/>
              <w:rPr>
                <w:rFonts w:ascii="宋体" w:hAnsi="宋体" w:eastAsia="宋体" w:cs="Times New Roman"/>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684DE0E1">
            <w:pPr>
              <w:widowControl/>
              <w:jc w:val="left"/>
              <w:rPr>
                <w:rFonts w:ascii="宋体" w:hAnsi="宋体" w:eastAsia="宋体" w:cs="宋体"/>
                <w:kern w:val="0"/>
                <w:sz w:val="18"/>
                <w:szCs w:val="18"/>
              </w:rPr>
            </w:pPr>
            <w:r>
              <w:rPr>
                <w:rFonts w:ascii="宋体" w:hAnsi="宋体" w:eastAsia="宋体" w:cs="宋体"/>
                <w:kern w:val="0"/>
                <w:sz w:val="18"/>
                <w:szCs w:val="18"/>
              </w:rPr>
              <w:t>300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1000</w:t>
            </w:r>
          </w:p>
        </w:tc>
        <w:tc>
          <w:tcPr>
            <w:tcW w:w="1701" w:type="dxa"/>
            <w:tcBorders>
              <w:top w:val="nil"/>
              <w:left w:val="nil"/>
              <w:bottom w:val="single" w:color="auto" w:sz="4" w:space="0"/>
              <w:right w:val="single" w:color="auto" w:sz="4" w:space="0"/>
            </w:tcBorders>
            <w:vAlign w:val="center"/>
          </w:tcPr>
          <w:p w14:paraId="02F5ECE5">
            <w:pPr>
              <w:widowControl/>
              <w:jc w:val="left"/>
              <w:rPr>
                <w:rFonts w:ascii="宋体" w:hAnsi="宋体" w:eastAsia="宋体" w:cs="宋体"/>
                <w:kern w:val="0"/>
                <w:sz w:val="18"/>
                <w:szCs w:val="18"/>
              </w:rPr>
            </w:pPr>
            <w:r>
              <w:rPr>
                <w:rFonts w:ascii="宋体" w:hAnsi="宋体" w:eastAsia="宋体" w:cs="宋体"/>
                <w:kern w:val="0"/>
                <w:sz w:val="18"/>
                <w:szCs w:val="18"/>
              </w:rPr>
              <w:t>20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300</w:t>
            </w:r>
          </w:p>
        </w:tc>
        <w:tc>
          <w:tcPr>
            <w:tcW w:w="1134" w:type="dxa"/>
            <w:tcBorders>
              <w:top w:val="nil"/>
              <w:left w:val="nil"/>
              <w:bottom w:val="single" w:color="auto" w:sz="4" w:space="0"/>
              <w:right w:val="single" w:color="auto" w:sz="4" w:space="0"/>
            </w:tcBorders>
            <w:vAlign w:val="center"/>
          </w:tcPr>
          <w:p w14:paraId="6166C465">
            <w:pPr>
              <w:widowControl/>
              <w:jc w:val="left"/>
              <w:rPr>
                <w:rFonts w:ascii="宋体" w:hAnsi="宋体" w:eastAsia="宋体" w:cs="宋体"/>
                <w:kern w:val="0"/>
                <w:sz w:val="18"/>
                <w:szCs w:val="18"/>
              </w:rPr>
            </w:pP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20</w:t>
            </w:r>
          </w:p>
        </w:tc>
      </w:tr>
      <w:tr w14:paraId="677578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4B2AD9D">
            <w:pPr>
              <w:widowControl/>
              <w:jc w:val="left"/>
              <w:rPr>
                <w:rFonts w:ascii="宋体" w:hAnsi="宋体" w:eastAsia="宋体" w:cs="Times New Roman"/>
                <w:b/>
                <w:bCs/>
                <w:kern w:val="0"/>
                <w:sz w:val="18"/>
                <w:szCs w:val="18"/>
              </w:rPr>
            </w:pPr>
          </w:p>
        </w:tc>
        <w:tc>
          <w:tcPr>
            <w:tcW w:w="1984" w:type="dxa"/>
            <w:tcBorders>
              <w:top w:val="nil"/>
              <w:left w:val="nil"/>
              <w:bottom w:val="single" w:color="auto" w:sz="4" w:space="0"/>
              <w:right w:val="single" w:color="auto" w:sz="4" w:space="0"/>
            </w:tcBorders>
            <w:vAlign w:val="center"/>
          </w:tcPr>
          <w:p w14:paraId="7285D952">
            <w:pPr>
              <w:widowControl/>
              <w:jc w:val="left"/>
              <w:rPr>
                <w:rFonts w:ascii="宋体" w:hAnsi="宋体" w:eastAsia="宋体" w:cs="Times New Roman"/>
                <w:kern w:val="0"/>
                <w:sz w:val="18"/>
                <w:szCs w:val="18"/>
              </w:rPr>
            </w:pPr>
            <w:r>
              <w:rPr>
                <w:rFonts w:hint="eastAsia" w:ascii="宋体" w:hAnsi="宋体" w:eastAsia="宋体" w:cs="宋体"/>
                <w:kern w:val="0"/>
                <w:sz w:val="18"/>
                <w:szCs w:val="18"/>
              </w:rPr>
              <w:t>营业收入（</w:t>
            </w:r>
            <w:r>
              <w:rPr>
                <w:rFonts w:ascii="宋体" w:hAnsi="宋体" w:eastAsia="宋体" w:cs="宋体"/>
                <w:kern w:val="0"/>
                <w:sz w:val="18"/>
                <w:szCs w:val="18"/>
              </w:rPr>
              <w:t>Y</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3BE471CF">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71B4542F">
            <w:pPr>
              <w:widowControl/>
              <w:jc w:val="left"/>
              <w:rPr>
                <w:rFonts w:ascii="宋体" w:hAnsi="宋体" w:eastAsia="宋体" w:cs="宋体"/>
                <w:kern w:val="0"/>
                <w:sz w:val="18"/>
                <w:szCs w:val="18"/>
              </w:rPr>
            </w:pPr>
            <w:r>
              <w:rPr>
                <w:rFonts w:ascii="宋体" w:hAnsi="宋体" w:eastAsia="宋体" w:cs="宋体"/>
                <w:kern w:val="0"/>
                <w:sz w:val="18"/>
                <w:szCs w:val="18"/>
              </w:rPr>
              <w:t>3000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30000</w:t>
            </w:r>
          </w:p>
        </w:tc>
        <w:tc>
          <w:tcPr>
            <w:tcW w:w="1701" w:type="dxa"/>
            <w:tcBorders>
              <w:top w:val="nil"/>
              <w:left w:val="nil"/>
              <w:bottom w:val="single" w:color="auto" w:sz="4" w:space="0"/>
              <w:right w:val="single" w:color="auto" w:sz="4" w:space="0"/>
            </w:tcBorders>
            <w:vAlign w:val="center"/>
          </w:tcPr>
          <w:p w14:paraId="7AC781A3">
            <w:pPr>
              <w:widowControl/>
              <w:jc w:val="left"/>
              <w:rPr>
                <w:rFonts w:ascii="宋体" w:hAnsi="宋体" w:eastAsia="宋体" w:cs="宋体"/>
                <w:kern w:val="0"/>
                <w:sz w:val="18"/>
                <w:szCs w:val="18"/>
              </w:rPr>
            </w:pPr>
            <w:r>
              <w:rPr>
                <w:rFonts w:ascii="宋体" w:hAnsi="宋体" w:eastAsia="宋体" w:cs="宋体"/>
                <w:kern w:val="0"/>
                <w:sz w:val="18"/>
                <w:szCs w:val="18"/>
              </w:rPr>
              <w:t>200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3000</w:t>
            </w:r>
          </w:p>
        </w:tc>
        <w:tc>
          <w:tcPr>
            <w:tcW w:w="1134" w:type="dxa"/>
            <w:tcBorders>
              <w:top w:val="nil"/>
              <w:left w:val="nil"/>
              <w:bottom w:val="single" w:color="auto" w:sz="4" w:space="0"/>
              <w:right w:val="single" w:color="auto" w:sz="4" w:space="0"/>
            </w:tcBorders>
            <w:vAlign w:val="center"/>
          </w:tcPr>
          <w:p w14:paraId="3DCAF9F7">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200</w:t>
            </w:r>
          </w:p>
        </w:tc>
      </w:tr>
      <w:tr w14:paraId="42BD2D3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374A2D3">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仓储业</w:t>
            </w:r>
          </w:p>
        </w:tc>
        <w:tc>
          <w:tcPr>
            <w:tcW w:w="1984" w:type="dxa"/>
            <w:tcBorders>
              <w:top w:val="nil"/>
              <w:left w:val="nil"/>
              <w:bottom w:val="single" w:color="auto" w:sz="4" w:space="0"/>
              <w:right w:val="single" w:color="auto" w:sz="4" w:space="0"/>
            </w:tcBorders>
            <w:vAlign w:val="center"/>
          </w:tcPr>
          <w:p w14:paraId="78F1FF23">
            <w:pPr>
              <w:widowControl/>
              <w:jc w:val="left"/>
              <w:rPr>
                <w:rFonts w:ascii="宋体" w:hAnsi="宋体" w:eastAsia="宋体" w:cs="Times New Roman"/>
                <w:kern w:val="0"/>
                <w:sz w:val="18"/>
                <w:szCs w:val="18"/>
              </w:rPr>
            </w:pPr>
            <w:r>
              <w:rPr>
                <w:rFonts w:hint="eastAsia" w:ascii="宋体" w:hAnsi="宋体" w:eastAsia="宋体" w:cs="宋体"/>
                <w:kern w:val="0"/>
                <w:sz w:val="18"/>
                <w:szCs w:val="18"/>
              </w:rPr>
              <w:t>从业人员（</w:t>
            </w:r>
            <w:r>
              <w:rPr>
                <w:rFonts w:ascii="宋体" w:hAnsi="宋体" w:eastAsia="宋体" w:cs="宋体"/>
                <w:kern w:val="0"/>
                <w:sz w:val="18"/>
                <w:szCs w:val="18"/>
              </w:rPr>
              <w:t>X</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0D098F14">
            <w:pPr>
              <w:widowControl/>
              <w:jc w:val="left"/>
              <w:rPr>
                <w:rFonts w:ascii="宋体" w:hAnsi="宋体" w:eastAsia="宋体" w:cs="Times New Roman"/>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4BDE5CAC">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200</w:t>
            </w:r>
          </w:p>
        </w:tc>
        <w:tc>
          <w:tcPr>
            <w:tcW w:w="1701" w:type="dxa"/>
            <w:tcBorders>
              <w:top w:val="nil"/>
              <w:left w:val="nil"/>
              <w:bottom w:val="single" w:color="auto" w:sz="4" w:space="0"/>
              <w:right w:val="single" w:color="auto" w:sz="4" w:space="0"/>
            </w:tcBorders>
            <w:vAlign w:val="center"/>
          </w:tcPr>
          <w:p w14:paraId="7804F944">
            <w:pPr>
              <w:widowControl/>
              <w:jc w:val="left"/>
              <w:rPr>
                <w:rFonts w:ascii="宋体" w:hAnsi="宋体" w:eastAsia="宋体" w:cs="宋体"/>
                <w:kern w:val="0"/>
                <w:sz w:val="18"/>
                <w:szCs w:val="18"/>
              </w:rPr>
            </w:pPr>
            <w:r>
              <w:rPr>
                <w:rFonts w:ascii="宋体" w:hAnsi="宋体" w:eastAsia="宋体" w:cs="宋体"/>
                <w:kern w:val="0"/>
                <w:sz w:val="18"/>
                <w:szCs w:val="18"/>
              </w:rPr>
              <w:t>20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100</w:t>
            </w:r>
          </w:p>
        </w:tc>
        <w:tc>
          <w:tcPr>
            <w:tcW w:w="1134" w:type="dxa"/>
            <w:tcBorders>
              <w:top w:val="nil"/>
              <w:left w:val="nil"/>
              <w:bottom w:val="single" w:color="auto" w:sz="4" w:space="0"/>
              <w:right w:val="single" w:color="auto" w:sz="4" w:space="0"/>
            </w:tcBorders>
            <w:vAlign w:val="center"/>
          </w:tcPr>
          <w:p w14:paraId="6B89D584">
            <w:pPr>
              <w:widowControl/>
              <w:jc w:val="left"/>
              <w:rPr>
                <w:rFonts w:ascii="宋体" w:hAnsi="宋体" w:eastAsia="宋体" w:cs="宋体"/>
                <w:kern w:val="0"/>
                <w:sz w:val="18"/>
                <w:szCs w:val="18"/>
              </w:rPr>
            </w:pP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20</w:t>
            </w:r>
          </w:p>
        </w:tc>
      </w:tr>
      <w:tr w14:paraId="60F9C2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E065B1D">
            <w:pPr>
              <w:widowControl/>
              <w:jc w:val="left"/>
              <w:rPr>
                <w:rFonts w:ascii="宋体" w:hAnsi="宋体" w:eastAsia="宋体" w:cs="Times New Roman"/>
                <w:b/>
                <w:bCs/>
                <w:kern w:val="0"/>
                <w:sz w:val="18"/>
                <w:szCs w:val="18"/>
              </w:rPr>
            </w:pPr>
          </w:p>
        </w:tc>
        <w:tc>
          <w:tcPr>
            <w:tcW w:w="1984" w:type="dxa"/>
            <w:tcBorders>
              <w:top w:val="nil"/>
              <w:left w:val="nil"/>
              <w:bottom w:val="single" w:color="auto" w:sz="4" w:space="0"/>
              <w:right w:val="single" w:color="auto" w:sz="4" w:space="0"/>
            </w:tcBorders>
            <w:vAlign w:val="center"/>
          </w:tcPr>
          <w:p w14:paraId="2EEF28AC">
            <w:pPr>
              <w:widowControl/>
              <w:jc w:val="left"/>
              <w:rPr>
                <w:rFonts w:ascii="宋体" w:hAnsi="宋体" w:eastAsia="宋体" w:cs="Times New Roman"/>
                <w:kern w:val="0"/>
                <w:sz w:val="18"/>
                <w:szCs w:val="18"/>
              </w:rPr>
            </w:pPr>
            <w:r>
              <w:rPr>
                <w:rFonts w:hint="eastAsia" w:ascii="宋体" w:hAnsi="宋体" w:eastAsia="宋体" w:cs="宋体"/>
                <w:kern w:val="0"/>
                <w:sz w:val="18"/>
                <w:szCs w:val="18"/>
              </w:rPr>
              <w:t>营业收入（</w:t>
            </w:r>
            <w:r>
              <w:rPr>
                <w:rFonts w:ascii="宋体" w:hAnsi="宋体" w:eastAsia="宋体" w:cs="宋体"/>
                <w:kern w:val="0"/>
                <w:sz w:val="18"/>
                <w:szCs w:val="18"/>
              </w:rPr>
              <w:t>Y</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3C1A6669">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37A7D87A">
            <w:pPr>
              <w:widowControl/>
              <w:jc w:val="left"/>
              <w:rPr>
                <w:rFonts w:ascii="宋体" w:hAnsi="宋体" w:eastAsia="宋体" w:cs="宋体"/>
                <w:kern w:val="0"/>
                <w:sz w:val="18"/>
                <w:szCs w:val="18"/>
              </w:rPr>
            </w:pPr>
            <w:r>
              <w:rPr>
                <w:rFonts w:ascii="宋体" w:hAnsi="宋体" w:eastAsia="宋体" w:cs="宋体"/>
                <w:kern w:val="0"/>
                <w:sz w:val="18"/>
                <w:szCs w:val="18"/>
              </w:rPr>
              <w:t>1000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30000</w:t>
            </w:r>
          </w:p>
        </w:tc>
        <w:tc>
          <w:tcPr>
            <w:tcW w:w="1701" w:type="dxa"/>
            <w:tcBorders>
              <w:top w:val="nil"/>
              <w:left w:val="nil"/>
              <w:bottom w:val="single" w:color="auto" w:sz="4" w:space="0"/>
              <w:right w:val="single" w:color="auto" w:sz="4" w:space="0"/>
            </w:tcBorders>
            <w:vAlign w:val="center"/>
          </w:tcPr>
          <w:p w14:paraId="765B7527">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1000</w:t>
            </w:r>
          </w:p>
        </w:tc>
        <w:tc>
          <w:tcPr>
            <w:tcW w:w="1134" w:type="dxa"/>
            <w:tcBorders>
              <w:top w:val="nil"/>
              <w:left w:val="nil"/>
              <w:bottom w:val="single" w:color="auto" w:sz="4" w:space="0"/>
              <w:right w:val="single" w:color="auto" w:sz="4" w:space="0"/>
            </w:tcBorders>
            <w:vAlign w:val="center"/>
          </w:tcPr>
          <w:p w14:paraId="2E10B8DB">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w:t>
            </w:r>
          </w:p>
        </w:tc>
      </w:tr>
      <w:tr w14:paraId="3F99D1F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2868C4D">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邮政业</w:t>
            </w:r>
          </w:p>
        </w:tc>
        <w:tc>
          <w:tcPr>
            <w:tcW w:w="1984" w:type="dxa"/>
            <w:tcBorders>
              <w:top w:val="nil"/>
              <w:left w:val="nil"/>
              <w:bottom w:val="single" w:color="auto" w:sz="4" w:space="0"/>
              <w:right w:val="single" w:color="auto" w:sz="4" w:space="0"/>
            </w:tcBorders>
            <w:vAlign w:val="center"/>
          </w:tcPr>
          <w:p w14:paraId="7F0187FD">
            <w:pPr>
              <w:widowControl/>
              <w:jc w:val="left"/>
              <w:rPr>
                <w:rFonts w:ascii="宋体" w:hAnsi="宋体" w:eastAsia="宋体" w:cs="Times New Roman"/>
                <w:kern w:val="0"/>
                <w:sz w:val="18"/>
                <w:szCs w:val="18"/>
              </w:rPr>
            </w:pPr>
            <w:r>
              <w:rPr>
                <w:rFonts w:hint="eastAsia" w:ascii="宋体" w:hAnsi="宋体" w:eastAsia="宋体" w:cs="宋体"/>
                <w:kern w:val="0"/>
                <w:sz w:val="18"/>
                <w:szCs w:val="18"/>
              </w:rPr>
              <w:t>从业人员（</w:t>
            </w:r>
            <w:r>
              <w:rPr>
                <w:rFonts w:ascii="宋体" w:hAnsi="宋体" w:eastAsia="宋体" w:cs="宋体"/>
                <w:kern w:val="0"/>
                <w:sz w:val="18"/>
                <w:szCs w:val="18"/>
              </w:rPr>
              <w:t>X</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3FD9F001">
            <w:pPr>
              <w:widowControl/>
              <w:jc w:val="left"/>
              <w:rPr>
                <w:rFonts w:ascii="宋体" w:hAnsi="宋体" w:eastAsia="宋体" w:cs="Times New Roman"/>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7D20395F">
            <w:pPr>
              <w:widowControl/>
              <w:jc w:val="left"/>
              <w:rPr>
                <w:rFonts w:ascii="宋体" w:hAnsi="宋体" w:eastAsia="宋体" w:cs="宋体"/>
                <w:kern w:val="0"/>
                <w:sz w:val="18"/>
                <w:szCs w:val="18"/>
              </w:rPr>
            </w:pPr>
            <w:r>
              <w:rPr>
                <w:rFonts w:ascii="宋体" w:hAnsi="宋体" w:eastAsia="宋体" w:cs="宋体"/>
                <w:kern w:val="0"/>
                <w:sz w:val="18"/>
                <w:szCs w:val="18"/>
              </w:rPr>
              <w:t>300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1000</w:t>
            </w:r>
          </w:p>
        </w:tc>
        <w:tc>
          <w:tcPr>
            <w:tcW w:w="1701" w:type="dxa"/>
            <w:tcBorders>
              <w:top w:val="nil"/>
              <w:left w:val="nil"/>
              <w:bottom w:val="single" w:color="auto" w:sz="4" w:space="0"/>
              <w:right w:val="single" w:color="auto" w:sz="4" w:space="0"/>
            </w:tcBorders>
            <w:vAlign w:val="center"/>
          </w:tcPr>
          <w:p w14:paraId="33F99D60">
            <w:pPr>
              <w:widowControl/>
              <w:jc w:val="left"/>
              <w:rPr>
                <w:rFonts w:ascii="宋体" w:hAnsi="宋体" w:eastAsia="宋体" w:cs="宋体"/>
                <w:kern w:val="0"/>
                <w:sz w:val="18"/>
                <w:szCs w:val="18"/>
              </w:rPr>
            </w:pPr>
            <w:r>
              <w:rPr>
                <w:rFonts w:ascii="宋体" w:hAnsi="宋体" w:eastAsia="宋体" w:cs="宋体"/>
                <w:kern w:val="0"/>
                <w:sz w:val="18"/>
                <w:szCs w:val="18"/>
              </w:rPr>
              <w:t>20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300</w:t>
            </w:r>
          </w:p>
        </w:tc>
        <w:tc>
          <w:tcPr>
            <w:tcW w:w="1134" w:type="dxa"/>
            <w:tcBorders>
              <w:top w:val="nil"/>
              <w:left w:val="nil"/>
              <w:bottom w:val="single" w:color="auto" w:sz="4" w:space="0"/>
              <w:right w:val="single" w:color="auto" w:sz="4" w:space="0"/>
            </w:tcBorders>
            <w:vAlign w:val="center"/>
          </w:tcPr>
          <w:p w14:paraId="340A9160">
            <w:pPr>
              <w:widowControl/>
              <w:jc w:val="left"/>
              <w:rPr>
                <w:rFonts w:ascii="宋体" w:hAnsi="宋体" w:eastAsia="宋体" w:cs="宋体"/>
                <w:kern w:val="0"/>
                <w:sz w:val="18"/>
                <w:szCs w:val="18"/>
              </w:rPr>
            </w:pP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20</w:t>
            </w:r>
          </w:p>
        </w:tc>
      </w:tr>
      <w:tr w14:paraId="305EAC0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E14BA49">
            <w:pPr>
              <w:widowControl/>
              <w:jc w:val="left"/>
              <w:rPr>
                <w:rFonts w:ascii="宋体" w:hAnsi="宋体" w:eastAsia="宋体" w:cs="Times New Roman"/>
                <w:b/>
                <w:bCs/>
                <w:kern w:val="0"/>
                <w:sz w:val="18"/>
                <w:szCs w:val="18"/>
              </w:rPr>
            </w:pPr>
          </w:p>
        </w:tc>
        <w:tc>
          <w:tcPr>
            <w:tcW w:w="1984" w:type="dxa"/>
            <w:tcBorders>
              <w:top w:val="nil"/>
              <w:left w:val="nil"/>
              <w:bottom w:val="single" w:color="auto" w:sz="4" w:space="0"/>
              <w:right w:val="single" w:color="auto" w:sz="4" w:space="0"/>
            </w:tcBorders>
            <w:vAlign w:val="center"/>
          </w:tcPr>
          <w:p w14:paraId="2CF27FA9">
            <w:pPr>
              <w:widowControl/>
              <w:jc w:val="left"/>
              <w:rPr>
                <w:rFonts w:ascii="宋体" w:hAnsi="宋体" w:eastAsia="宋体" w:cs="Times New Roman"/>
                <w:kern w:val="0"/>
                <w:sz w:val="18"/>
                <w:szCs w:val="18"/>
              </w:rPr>
            </w:pPr>
            <w:r>
              <w:rPr>
                <w:rFonts w:hint="eastAsia" w:ascii="宋体" w:hAnsi="宋体" w:eastAsia="宋体" w:cs="宋体"/>
                <w:kern w:val="0"/>
                <w:sz w:val="18"/>
                <w:szCs w:val="18"/>
              </w:rPr>
              <w:t>营业收入（</w:t>
            </w:r>
            <w:r>
              <w:rPr>
                <w:rFonts w:ascii="宋体" w:hAnsi="宋体" w:eastAsia="宋体" w:cs="宋体"/>
                <w:kern w:val="0"/>
                <w:sz w:val="18"/>
                <w:szCs w:val="18"/>
              </w:rPr>
              <w:t>Y</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47079041">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00D5FE88">
            <w:pPr>
              <w:widowControl/>
              <w:jc w:val="left"/>
              <w:rPr>
                <w:rFonts w:ascii="宋体" w:hAnsi="宋体" w:eastAsia="宋体" w:cs="宋体"/>
                <w:kern w:val="0"/>
                <w:sz w:val="18"/>
                <w:szCs w:val="18"/>
              </w:rPr>
            </w:pPr>
            <w:r>
              <w:rPr>
                <w:rFonts w:ascii="宋体" w:hAnsi="宋体" w:eastAsia="宋体" w:cs="宋体"/>
                <w:kern w:val="0"/>
                <w:sz w:val="18"/>
                <w:szCs w:val="18"/>
              </w:rPr>
              <w:t>2000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30000</w:t>
            </w:r>
          </w:p>
        </w:tc>
        <w:tc>
          <w:tcPr>
            <w:tcW w:w="1701" w:type="dxa"/>
            <w:tcBorders>
              <w:top w:val="nil"/>
              <w:left w:val="nil"/>
              <w:bottom w:val="single" w:color="auto" w:sz="4" w:space="0"/>
              <w:right w:val="single" w:color="auto" w:sz="4" w:space="0"/>
            </w:tcBorders>
            <w:vAlign w:val="center"/>
          </w:tcPr>
          <w:p w14:paraId="57622931">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2000</w:t>
            </w:r>
          </w:p>
        </w:tc>
        <w:tc>
          <w:tcPr>
            <w:tcW w:w="1134" w:type="dxa"/>
            <w:tcBorders>
              <w:top w:val="nil"/>
              <w:left w:val="nil"/>
              <w:bottom w:val="single" w:color="auto" w:sz="4" w:space="0"/>
              <w:right w:val="single" w:color="auto" w:sz="4" w:space="0"/>
            </w:tcBorders>
            <w:vAlign w:val="center"/>
          </w:tcPr>
          <w:p w14:paraId="14CFA08D">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w:t>
            </w:r>
          </w:p>
        </w:tc>
      </w:tr>
      <w:tr w14:paraId="6457943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9516A35">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住宿业</w:t>
            </w:r>
          </w:p>
        </w:tc>
        <w:tc>
          <w:tcPr>
            <w:tcW w:w="1984" w:type="dxa"/>
            <w:tcBorders>
              <w:top w:val="nil"/>
              <w:left w:val="nil"/>
              <w:bottom w:val="single" w:color="auto" w:sz="4" w:space="0"/>
              <w:right w:val="single" w:color="auto" w:sz="4" w:space="0"/>
            </w:tcBorders>
            <w:vAlign w:val="center"/>
          </w:tcPr>
          <w:p w14:paraId="69A3069D">
            <w:pPr>
              <w:widowControl/>
              <w:jc w:val="left"/>
              <w:rPr>
                <w:rFonts w:ascii="宋体" w:hAnsi="宋体" w:eastAsia="宋体" w:cs="Times New Roman"/>
                <w:kern w:val="0"/>
                <w:sz w:val="18"/>
                <w:szCs w:val="18"/>
              </w:rPr>
            </w:pPr>
            <w:r>
              <w:rPr>
                <w:rFonts w:hint="eastAsia" w:ascii="宋体" w:hAnsi="宋体" w:eastAsia="宋体" w:cs="宋体"/>
                <w:kern w:val="0"/>
                <w:sz w:val="18"/>
                <w:szCs w:val="18"/>
              </w:rPr>
              <w:t>从业人员（</w:t>
            </w:r>
            <w:r>
              <w:rPr>
                <w:rFonts w:ascii="宋体" w:hAnsi="宋体" w:eastAsia="宋体" w:cs="宋体"/>
                <w:kern w:val="0"/>
                <w:sz w:val="18"/>
                <w:szCs w:val="18"/>
              </w:rPr>
              <w:t>X</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1D564DAC">
            <w:pPr>
              <w:widowControl/>
              <w:jc w:val="left"/>
              <w:rPr>
                <w:rFonts w:ascii="宋体" w:hAnsi="宋体" w:eastAsia="宋体" w:cs="Times New Roman"/>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77112B57">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300</w:t>
            </w:r>
          </w:p>
        </w:tc>
        <w:tc>
          <w:tcPr>
            <w:tcW w:w="1701" w:type="dxa"/>
            <w:tcBorders>
              <w:top w:val="nil"/>
              <w:left w:val="nil"/>
              <w:bottom w:val="single" w:color="auto" w:sz="4" w:space="0"/>
              <w:right w:val="single" w:color="auto" w:sz="4" w:space="0"/>
            </w:tcBorders>
            <w:vAlign w:val="center"/>
          </w:tcPr>
          <w:p w14:paraId="70989AA2">
            <w:pPr>
              <w:widowControl/>
              <w:jc w:val="left"/>
              <w:rPr>
                <w:rFonts w:ascii="宋体" w:hAnsi="宋体" w:eastAsia="宋体" w:cs="宋体"/>
                <w:kern w:val="0"/>
                <w:sz w:val="18"/>
                <w:szCs w:val="18"/>
              </w:rPr>
            </w:pPr>
            <w:r>
              <w:rPr>
                <w:rFonts w:ascii="宋体" w:hAnsi="宋体" w:eastAsia="宋体" w:cs="宋体"/>
                <w:kern w:val="0"/>
                <w:sz w:val="18"/>
                <w:szCs w:val="18"/>
              </w:rPr>
              <w:t>10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100</w:t>
            </w:r>
          </w:p>
        </w:tc>
        <w:tc>
          <w:tcPr>
            <w:tcW w:w="1134" w:type="dxa"/>
            <w:tcBorders>
              <w:top w:val="nil"/>
              <w:left w:val="nil"/>
              <w:bottom w:val="single" w:color="auto" w:sz="4" w:space="0"/>
              <w:right w:val="single" w:color="auto" w:sz="4" w:space="0"/>
            </w:tcBorders>
            <w:vAlign w:val="center"/>
          </w:tcPr>
          <w:p w14:paraId="3FDF194C">
            <w:pPr>
              <w:widowControl/>
              <w:jc w:val="left"/>
              <w:rPr>
                <w:rFonts w:ascii="宋体" w:hAnsi="宋体" w:eastAsia="宋体" w:cs="宋体"/>
                <w:kern w:val="0"/>
                <w:sz w:val="18"/>
                <w:szCs w:val="18"/>
              </w:rPr>
            </w:pP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w:t>
            </w:r>
          </w:p>
        </w:tc>
      </w:tr>
      <w:tr w14:paraId="5B57BFF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3684392">
            <w:pPr>
              <w:widowControl/>
              <w:jc w:val="left"/>
              <w:rPr>
                <w:rFonts w:ascii="宋体" w:hAnsi="宋体" w:eastAsia="宋体" w:cs="Times New Roman"/>
                <w:b/>
                <w:bCs/>
                <w:kern w:val="0"/>
                <w:sz w:val="18"/>
                <w:szCs w:val="18"/>
              </w:rPr>
            </w:pPr>
          </w:p>
        </w:tc>
        <w:tc>
          <w:tcPr>
            <w:tcW w:w="1984" w:type="dxa"/>
            <w:tcBorders>
              <w:top w:val="nil"/>
              <w:left w:val="nil"/>
              <w:bottom w:val="single" w:color="auto" w:sz="4" w:space="0"/>
              <w:right w:val="single" w:color="auto" w:sz="4" w:space="0"/>
            </w:tcBorders>
            <w:vAlign w:val="center"/>
          </w:tcPr>
          <w:p w14:paraId="4128EBE5">
            <w:pPr>
              <w:widowControl/>
              <w:jc w:val="left"/>
              <w:rPr>
                <w:rFonts w:ascii="宋体" w:hAnsi="宋体" w:eastAsia="宋体" w:cs="Times New Roman"/>
                <w:kern w:val="0"/>
                <w:sz w:val="18"/>
                <w:szCs w:val="18"/>
              </w:rPr>
            </w:pPr>
            <w:r>
              <w:rPr>
                <w:rFonts w:hint="eastAsia" w:ascii="宋体" w:hAnsi="宋体" w:eastAsia="宋体" w:cs="宋体"/>
                <w:kern w:val="0"/>
                <w:sz w:val="18"/>
                <w:szCs w:val="18"/>
              </w:rPr>
              <w:t>营业收入（</w:t>
            </w:r>
            <w:r>
              <w:rPr>
                <w:rFonts w:ascii="宋体" w:hAnsi="宋体" w:eastAsia="宋体" w:cs="宋体"/>
                <w:kern w:val="0"/>
                <w:sz w:val="18"/>
                <w:szCs w:val="18"/>
              </w:rPr>
              <w:t>Y</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116BDFFC">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013DF722">
            <w:pPr>
              <w:widowControl/>
              <w:jc w:val="left"/>
              <w:rPr>
                <w:rFonts w:ascii="宋体" w:hAnsi="宋体" w:eastAsia="宋体" w:cs="宋体"/>
                <w:kern w:val="0"/>
                <w:sz w:val="18"/>
                <w:szCs w:val="18"/>
              </w:rPr>
            </w:pPr>
            <w:r>
              <w:rPr>
                <w:rFonts w:ascii="宋体" w:hAnsi="宋体" w:eastAsia="宋体" w:cs="宋体"/>
                <w:kern w:val="0"/>
                <w:sz w:val="18"/>
                <w:szCs w:val="18"/>
              </w:rPr>
              <w:t>2000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10000</w:t>
            </w:r>
          </w:p>
        </w:tc>
        <w:tc>
          <w:tcPr>
            <w:tcW w:w="1701" w:type="dxa"/>
            <w:tcBorders>
              <w:top w:val="nil"/>
              <w:left w:val="nil"/>
              <w:bottom w:val="single" w:color="auto" w:sz="4" w:space="0"/>
              <w:right w:val="single" w:color="auto" w:sz="4" w:space="0"/>
            </w:tcBorders>
            <w:vAlign w:val="center"/>
          </w:tcPr>
          <w:p w14:paraId="5F7664D1">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2000</w:t>
            </w:r>
          </w:p>
        </w:tc>
        <w:tc>
          <w:tcPr>
            <w:tcW w:w="1134" w:type="dxa"/>
            <w:tcBorders>
              <w:top w:val="nil"/>
              <w:left w:val="nil"/>
              <w:bottom w:val="single" w:color="auto" w:sz="4" w:space="0"/>
              <w:right w:val="single" w:color="auto" w:sz="4" w:space="0"/>
            </w:tcBorders>
            <w:vAlign w:val="center"/>
          </w:tcPr>
          <w:p w14:paraId="5AE2BE78">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w:t>
            </w:r>
          </w:p>
        </w:tc>
      </w:tr>
      <w:tr w14:paraId="284AC64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5FCD3BF">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餐饮业</w:t>
            </w:r>
          </w:p>
        </w:tc>
        <w:tc>
          <w:tcPr>
            <w:tcW w:w="1984" w:type="dxa"/>
            <w:tcBorders>
              <w:top w:val="nil"/>
              <w:left w:val="nil"/>
              <w:bottom w:val="single" w:color="auto" w:sz="4" w:space="0"/>
              <w:right w:val="single" w:color="auto" w:sz="4" w:space="0"/>
            </w:tcBorders>
            <w:vAlign w:val="center"/>
          </w:tcPr>
          <w:p w14:paraId="04893161">
            <w:pPr>
              <w:widowControl/>
              <w:jc w:val="left"/>
              <w:rPr>
                <w:rFonts w:ascii="宋体" w:hAnsi="宋体" w:eastAsia="宋体" w:cs="Times New Roman"/>
                <w:kern w:val="0"/>
                <w:sz w:val="18"/>
                <w:szCs w:val="18"/>
              </w:rPr>
            </w:pPr>
            <w:r>
              <w:rPr>
                <w:rFonts w:hint="eastAsia" w:ascii="宋体" w:hAnsi="宋体" w:eastAsia="宋体" w:cs="宋体"/>
                <w:kern w:val="0"/>
                <w:sz w:val="18"/>
                <w:szCs w:val="18"/>
              </w:rPr>
              <w:t>从业人员（</w:t>
            </w:r>
            <w:r>
              <w:rPr>
                <w:rFonts w:ascii="宋体" w:hAnsi="宋体" w:eastAsia="宋体" w:cs="宋体"/>
                <w:kern w:val="0"/>
                <w:sz w:val="18"/>
                <w:szCs w:val="18"/>
              </w:rPr>
              <w:t>X</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2EB0E507">
            <w:pPr>
              <w:widowControl/>
              <w:jc w:val="left"/>
              <w:rPr>
                <w:rFonts w:ascii="宋体" w:hAnsi="宋体" w:eastAsia="宋体" w:cs="Times New Roman"/>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7D4F3A3A">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300</w:t>
            </w:r>
          </w:p>
        </w:tc>
        <w:tc>
          <w:tcPr>
            <w:tcW w:w="1701" w:type="dxa"/>
            <w:tcBorders>
              <w:top w:val="nil"/>
              <w:left w:val="nil"/>
              <w:bottom w:val="single" w:color="auto" w:sz="4" w:space="0"/>
              <w:right w:val="single" w:color="auto" w:sz="4" w:space="0"/>
            </w:tcBorders>
            <w:vAlign w:val="center"/>
          </w:tcPr>
          <w:p w14:paraId="08F63A00">
            <w:pPr>
              <w:widowControl/>
              <w:jc w:val="left"/>
              <w:rPr>
                <w:rFonts w:ascii="宋体" w:hAnsi="宋体" w:eastAsia="宋体" w:cs="宋体"/>
                <w:kern w:val="0"/>
                <w:sz w:val="18"/>
                <w:szCs w:val="18"/>
              </w:rPr>
            </w:pPr>
            <w:r>
              <w:rPr>
                <w:rFonts w:ascii="宋体" w:hAnsi="宋体" w:eastAsia="宋体" w:cs="宋体"/>
                <w:kern w:val="0"/>
                <w:sz w:val="18"/>
                <w:szCs w:val="18"/>
              </w:rPr>
              <w:t>10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100</w:t>
            </w:r>
          </w:p>
        </w:tc>
        <w:tc>
          <w:tcPr>
            <w:tcW w:w="1134" w:type="dxa"/>
            <w:tcBorders>
              <w:top w:val="nil"/>
              <w:left w:val="nil"/>
              <w:bottom w:val="single" w:color="auto" w:sz="4" w:space="0"/>
              <w:right w:val="single" w:color="auto" w:sz="4" w:space="0"/>
            </w:tcBorders>
            <w:vAlign w:val="center"/>
          </w:tcPr>
          <w:p w14:paraId="16795893">
            <w:pPr>
              <w:widowControl/>
              <w:jc w:val="left"/>
              <w:rPr>
                <w:rFonts w:ascii="宋体" w:hAnsi="宋体" w:eastAsia="宋体" w:cs="宋体"/>
                <w:kern w:val="0"/>
                <w:sz w:val="18"/>
                <w:szCs w:val="18"/>
              </w:rPr>
            </w:pP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w:t>
            </w:r>
          </w:p>
        </w:tc>
      </w:tr>
      <w:tr w14:paraId="4E8232D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9C946BA">
            <w:pPr>
              <w:widowControl/>
              <w:jc w:val="left"/>
              <w:rPr>
                <w:rFonts w:ascii="宋体" w:hAnsi="宋体" w:eastAsia="宋体" w:cs="Times New Roman"/>
                <w:b/>
                <w:bCs/>
                <w:kern w:val="0"/>
                <w:sz w:val="18"/>
                <w:szCs w:val="18"/>
              </w:rPr>
            </w:pPr>
          </w:p>
        </w:tc>
        <w:tc>
          <w:tcPr>
            <w:tcW w:w="1984" w:type="dxa"/>
            <w:tcBorders>
              <w:top w:val="nil"/>
              <w:left w:val="nil"/>
              <w:bottom w:val="single" w:color="auto" w:sz="4" w:space="0"/>
              <w:right w:val="single" w:color="auto" w:sz="4" w:space="0"/>
            </w:tcBorders>
            <w:vAlign w:val="center"/>
          </w:tcPr>
          <w:p w14:paraId="7D630788">
            <w:pPr>
              <w:widowControl/>
              <w:jc w:val="left"/>
              <w:rPr>
                <w:rFonts w:ascii="宋体" w:hAnsi="宋体" w:eastAsia="宋体" w:cs="Times New Roman"/>
                <w:kern w:val="0"/>
                <w:sz w:val="18"/>
                <w:szCs w:val="18"/>
              </w:rPr>
            </w:pPr>
            <w:r>
              <w:rPr>
                <w:rFonts w:hint="eastAsia" w:ascii="宋体" w:hAnsi="宋体" w:eastAsia="宋体" w:cs="宋体"/>
                <w:kern w:val="0"/>
                <w:sz w:val="18"/>
                <w:szCs w:val="18"/>
              </w:rPr>
              <w:t>营业收入（</w:t>
            </w:r>
            <w:r>
              <w:rPr>
                <w:rFonts w:ascii="宋体" w:hAnsi="宋体" w:eastAsia="宋体" w:cs="宋体"/>
                <w:kern w:val="0"/>
                <w:sz w:val="18"/>
                <w:szCs w:val="18"/>
              </w:rPr>
              <w:t>Y</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67D053EE">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7502EF87">
            <w:pPr>
              <w:widowControl/>
              <w:jc w:val="left"/>
              <w:rPr>
                <w:rFonts w:ascii="宋体" w:hAnsi="宋体" w:eastAsia="宋体" w:cs="宋体"/>
                <w:kern w:val="0"/>
                <w:sz w:val="18"/>
                <w:szCs w:val="18"/>
              </w:rPr>
            </w:pPr>
            <w:r>
              <w:rPr>
                <w:rFonts w:ascii="宋体" w:hAnsi="宋体" w:eastAsia="宋体" w:cs="宋体"/>
                <w:kern w:val="0"/>
                <w:sz w:val="18"/>
                <w:szCs w:val="18"/>
              </w:rPr>
              <w:t>2000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10000</w:t>
            </w:r>
          </w:p>
        </w:tc>
        <w:tc>
          <w:tcPr>
            <w:tcW w:w="1701" w:type="dxa"/>
            <w:tcBorders>
              <w:top w:val="nil"/>
              <w:left w:val="nil"/>
              <w:bottom w:val="single" w:color="auto" w:sz="4" w:space="0"/>
              <w:right w:val="single" w:color="auto" w:sz="4" w:space="0"/>
            </w:tcBorders>
            <w:vAlign w:val="center"/>
          </w:tcPr>
          <w:p w14:paraId="13E1569E">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2000</w:t>
            </w:r>
          </w:p>
        </w:tc>
        <w:tc>
          <w:tcPr>
            <w:tcW w:w="1134" w:type="dxa"/>
            <w:tcBorders>
              <w:top w:val="nil"/>
              <w:left w:val="nil"/>
              <w:bottom w:val="single" w:color="auto" w:sz="4" w:space="0"/>
              <w:right w:val="single" w:color="auto" w:sz="4" w:space="0"/>
            </w:tcBorders>
            <w:vAlign w:val="center"/>
          </w:tcPr>
          <w:p w14:paraId="15F95C8B">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w:t>
            </w:r>
          </w:p>
        </w:tc>
      </w:tr>
      <w:tr w14:paraId="7A04F9C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F986EA1">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信息传输业</w:t>
            </w:r>
          </w:p>
        </w:tc>
        <w:tc>
          <w:tcPr>
            <w:tcW w:w="1984" w:type="dxa"/>
            <w:tcBorders>
              <w:top w:val="nil"/>
              <w:left w:val="nil"/>
              <w:bottom w:val="single" w:color="auto" w:sz="4" w:space="0"/>
              <w:right w:val="single" w:color="auto" w:sz="4" w:space="0"/>
            </w:tcBorders>
            <w:vAlign w:val="center"/>
          </w:tcPr>
          <w:p w14:paraId="36DE6B10">
            <w:pPr>
              <w:widowControl/>
              <w:jc w:val="left"/>
              <w:rPr>
                <w:rFonts w:ascii="宋体" w:hAnsi="宋体" w:eastAsia="宋体" w:cs="Times New Roman"/>
                <w:kern w:val="0"/>
                <w:sz w:val="18"/>
                <w:szCs w:val="18"/>
              </w:rPr>
            </w:pPr>
            <w:r>
              <w:rPr>
                <w:rFonts w:hint="eastAsia" w:ascii="宋体" w:hAnsi="宋体" w:eastAsia="宋体" w:cs="宋体"/>
                <w:kern w:val="0"/>
                <w:sz w:val="18"/>
                <w:szCs w:val="18"/>
              </w:rPr>
              <w:t>从业人员（</w:t>
            </w:r>
            <w:r>
              <w:rPr>
                <w:rFonts w:ascii="宋体" w:hAnsi="宋体" w:eastAsia="宋体" w:cs="宋体"/>
                <w:kern w:val="0"/>
                <w:sz w:val="18"/>
                <w:szCs w:val="18"/>
              </w:rPr>
              <w:t>X</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45FC0245">
            <w:pPr>
              <w:widowControl/>
              <w:jc w:val="left"/>
              <w:rPr>
                <w:rFonts w:ascii="宋体" w:hAnsi="宋体" w:eastAsia="宋体" w:cs="Times New Roman"/>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617A408E">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2000</w:t>
            </w:r>
          </w:p>
        </w:tc>
        <w:tc>
          <w:tcPr>
            <w:tcW w:w="1701" w:type="dxa"/>
            <w:tcBorders>
              <w:top w:val="nil"/>
              <w:left w:val="nil"/>
              <w:bottom w:val="single" w:color="auto" w:sz="4" w:space="0"/>
              <w:right w:val="single" w:color="auto" w:sz="4" w:space="0"/>
            </w:tcBorders>
            <w:vAlign w:val="center"/>
          </w:tcPr>
          <w:p w14:paraId="3794FBD7">
            <w:pPr>
              <w:widowControl/>
              <w:jc w:val="left"/>
              <w:rPr>
                <w:rFonts w:ascii="宋体" w:hAnsi="宋体" w:eastAsia="宋体" w:cs="宋体"/>
                <w:kern w:val="0"/>
                <w:sz w:val="18"/>
                <w:szCs w:val="18"/>
              </w:rPr>
            </w:pPr>
            <w:r>
              <w:rPr>
                <w:rFonts w:ascii="宋体" w:hAnsi="宋体" w:eastAsia="宋体" w:cs="宋体"/>
                <w:kern w:val="0"/>
                <w:sz w:val="18"/>
                <w:szCs w:val="18"/>
              </w:rPr>
              <w:t>10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100</w:t>
            </w:r>
          </w:p>
        </w:tc>
        <w:tc>
          <w:tcPr>
            <w:tcW w:w="1134" w:type="dxa"/>
            <w:tcBorders>
              <w:top w:val="nil"/>
              <w:left w:val="nil"/>
              <w:bottom w:val="single" w:color="auto" w:sz="4" w:space="0"/>
              <w:right w:val="single" w:color="auto" w:sz="4" w:space="0"/>
            </w:tcBorders>
            <w:vAlign w:val="center"/>
          </w:tcPr>
          <w:p w14:paraId="2A20FB62">
            <w:pPr>
              <w:widowControl/>
              <w:jc w:val="left"/>
              <w:rPr>
                <w:rFonts w:ascii="宋体" w:hAnsi="宋体" w:eastAsia="宋体" w:cs="宋体"/>
                <w:kern w:val="0"/>
                <w:sz w:val="18"/>
                <w:szCs w:val="18"/>
              </w:rPr>
            </w:pP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w:t>
            </w:r>
          </w:p>
        </w:tc>
      </w:tr>
      <w:tr w14:paraId="72CE419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38C40AC">
            <w:pPr>
              <w:widowControl/>
              <w:jc w:val="left"/>
              <w:rPr>
                <w:rFonts w:ascii="宋体" w:hAnsi="宋体" w:eastAsia="宋体" w:cs="Times New Roman"/>
                <w:b/>
                <w:bCs/>
                <w:kern w:val="0"/>
                <w:sz w:val="18"/>
                <w:szCs w:val="18"/>
              </w:rPr>
            </w:pPr>
          </w:p>
        </w:tc>
        <w:tc>
          <w:tcPr>
            <w:tcW w:w="1984" w:type="dxa"/>
            <w:tcBorders>
              <w:top w:val="nil"/>
              <w:left w:val="nil"/>
              <w:bottom w:val="single" w:color="auto" w:sz="4" w:space="0"/>
              <w:right w:val="single" w:color="auto" w:sz="4" w:space="0"/>
            </w:tcBorders>
            <w:vAlign w:val="center"/>
          </w:tcPr>
          <w:p w14:paraId="6D83C587">
            <w:pPr>
              <w:widowControl/>
              <w:jc w:val="left"/>
              <w:rPr>
                <w:rFonts w:ascii="宋体" w:hAnsi="宋体" w:eastAsia="宋体" w:cs="Times New Roman"/>
                <w:kern w:val="0"/>
                <w:sz w:val="18"/>
                <w:szCs w:val="18"/>
              </w:rPr>
            </w:pPr>
            <w:r>
              <w:rPr>
                <w:rFonts w:hint="eastAsia" w:ascii="宋体" w:hAnsi="宋体" w:eastAsia="宋体" w:cs="宋体"/>
                <w:kern w:val="0"/>
                <w:sz w:val="18"/>
                <w:szCs w:val="18"/>
              </w:rPr>
              <w:t>营业收入（</w:t>
            </w:r>
            <w:r>
              <w:rPr>
                <w:rFonts w:ascii="宋体" w:hAnsi="宋体" w:eastAsia="宋体" w:cs="宋体"/>
                <w:kern w:val="0"/>
                <w:sz w:val="18"/>
                <w:szCs w:val="18"/>
              </w:rPr>
              <w:t>Y</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3B39222C">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4CAD20B6">
            <w:pPr>
              <w:widowControl/>
              <w:jc w:val="left"/>
              <w:rPr>
                <w:rFonts w:ascii="宋体" w:hAnsi="宋体" w:eastAsia="宋体" w:cs="宋体"/>
                <w:kern w:val="0"/>
                <w:sz w:val="18"/>
                <w:szCs w:val="18"/>
              </w:rPr>
            </w:pPr>
            <w:r>
              <w:rPr>
                <w:rFonts w:ascii="宋体" w:hAnsi="宋体" w:eastAsia="宋体" w:cs="宋体"/>
                <w:kern w:val="0"/>
                <w:sz w:val="18"/>
                <w:szCs w:val="18"/>
              </w:rPr>
              <w:t>1000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100000</w:t>
            </w:r>
          </w:p>
        </w:tc>
        <w:tc>
          <w:tcPr>
            <w:tcW w:w="1701" w:type="dxa"/>
            <w:tcBorders>
              <w:top w:val="nil"/>
              <w:left w:val="nil"/>
              <w:bottom w:val="single" w:color="auto" w:sz="4" w:space="0"/>
              <w:right w:val="single" w:color="auto" w:sz="4" w:space="0"/>
            </w:tcBorders>
            <w:vAlign w:val="center"/>
          </w:tcPr>
          <w:p w14:paraId="533C95D2">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1000</w:t>
            </w:r>
          </w:p>
        </w:tc>
        <w:tc>
          <w:tcPr>
            <w:tcW w:w="1134" w:type="dxa"/>
            <w:tcBorders>
              <w:top w:val="nil"/>
              <w:left w:val="nil"/>
              <w:bottom w:val="single" w:color="auto" w:sz="4" w:space="0"/>
              <w:right w:val="single" w:color="auto" w:sz="4" w:space="0"/>
            </w:tcBorders>
            <w:vAlign w:val="center"/>
          </w:tcPr>
          <w:p w14:paraId="0F1FF270">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w:t>
            </w:r>
          </w:p>
        </w:tc>
      </w:tr>
      <w:tr w14:paraId="6E83A7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43697C1">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软件和信息技术服务业</w:t>
            </w:r>
          </w:p>
        </w:tc>
        <w:tc>
          <w:tcPr>
            <w:tcW w:w="1984" w:type="dxa"/>
            <w:tcBorders>
              <w:top w:val="nil"/>
              <w:left w:val="nil"/>
              <w:bottom w:val="single" w:color="auto" w:sz="4" w:space="0"/>
              <w:right w:val="single" w:color="auto" w:sz="4" w:space="0"/>
            </w:tcBorders>
            <w:vAlign w:val="center"/>
          </w:tcPr>
          <w:p w14:paraId="75404264">
            <w:pPr>
              <w:widowControl/>
              <w:jc w:val="left"/>
              <w:rPr>
                <w:rFonts w:ascii="宋体" w:hAnsi="宋体" w:eastAsia="宋体" w:cs="Times New Roman"/>
                <w:kern w:val="0"/>
                <w:sz w:val="18"/>
                <w:szCs w:val="18"/>
              </w:rPr>
            </w:pPr>
            <w:r>
              <w:rPr>
                <w:rFonts w:hint="eastAsia" w:ascii="宋体" w:hAnsi="宋体" w:eastAsia="宋体" w:cs="宋体"/>
                <w:kern w:val="0"/>
                <w:sz w:val="18"/>
                <w:szCs w:val="18"/>
              </w:rPr>
              <w:t>从业人员（</w:t>
            </w:r>
            <w:r>
              <w:rPr>
                <w:rFonts w:ascii="宋体" w:hAnsi="宋体" w:eastAsia="宋体" w:cs="宋体"/>
                <w:kern w:val="0"/>
                <w:sz w:val="18"/>
                <w:szCs w:val="18"/>
              </w:rPr>
              <w:t>X</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5196AE47">
            <w:pPr>
              <w:widowControl/>
              <w:jc w:val="left"/>
              <w:rPr>
                <w:rFonts w:ascii="宋体" w:hAnsi="宋体" w:eastAsia="宋体" w:cs="Times New Roman"/>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42047782">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300</w:t>
            </w:r>
          </w:p>
        </w:tc>
        <w:tc>
          <w:tcPr>
            <w:tcW w:w="1701" w:type="dxa"/>
            <w:tcBorders>
              <w:top w:val="nil"/>
              <w:left w:val="nil"/>
              <w:bottom w:val="single" w:color="auto" w:sz="4" w:space="0"/>
              <w:right w:val="single" w:color="auto" w:sz="4" w:space="0"/>
            </w:tcBorders>
            <w:vAlign w:val="center"/>
          </w:tcPr>
          <w:p w14:paraId="74E1B788">
            <w:pPr>
              <w:widowControl/>
              <w:jc w:val="left"/>
              <w:rPr>
                <w:rFonts w:ascii="宋体" w:hAnsi="宋体" w:eastAsia="宋体" w:cs="宋体"/>
                <w:kern w:val="0"/>
                <w:sz w:val="18"/>
                <w:szCs w:val="18"/>
              </w:rPr>
            </w:pPr>
            <w:r>
              <w:rPr>
                <w:rFonts w:ascii="宋体" w:hAnsi="宋体" w:eastAsia="宋体" w:cs="宋体"/>
                <w:kern w:val="0"/>
                <w:sz w:val="18"/>
                <w:szCs w:val="18"/>
              </w:rPr>
              <w:t>10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100</w:t>
            </w:r>
          </w:p>
        </w:tc>
        <w:tc>
          <w:tcPr>
            <w:tcW w:w="1134" w:type="dxa"/>
            <w:tcBorders>
              <w:top w:val="nil"/>
              <w:left w:val="nil"/>
              <w:bottom w:val="single" w:color="auto" w:sz="4" w:space="0"/>
              <w:right w:val="single" w:color="auto" w:sz="4" w:space="0"/>
            </w:tcBorders>
            <w:vAlign w:val="center"/>
          </w:tcPr>
          <w:p w14:paraId="604F7AD9">
            <w:pPr>
              <w:widowControl/>
              <w:jc w:val="left"/>
              <w:rPr>
                <w:rFonts w:ascii="宋体" w:hAnsi="宋体" w:eastAsia="宋体" w:cs="宋体"/>
                <w:kern w:val="0"/>
                <w:sz w:val="18"/>
                <w:szCs w:val="18"/>
              </w:rPr>
            </w:pP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w:t>
            </w:r>
          </w:p>
        </w:tc>
      </w:tr>
      <w:tr w14:paraId="55ECD4D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D4574D5">
            <w:pPr>
              <w:widowControl/>
              <w:jc w:val="left"/>
              <w:rPr>
                <w:rFonts w:ascii="宋体" w:hAnsi="宋体" w:eastAsia="宋体" w:cs="Times New Roman"/>
                <w:b/>
                <w:bCs/>
                <w:kern w:val="0"/>
                <w:sz w:val="18"/>
                <w:szCs w:val="18"/>
              </w:rPr>
            </w:pPr>
          </w:p>
        </w:tc>
        <w:tc>
          <w:tcPr>
            <w:tcW w:w="1984" w:type="dxa"/>
            <w:tcBorders>
              <w:top w:val="nil"/>
              <w:left w:val="nil"/>
              <w:bottom w:val="single" w:color="auto" w:sz="4" w:space="0"/>
              <w:right w:val="single" w:color="auto" w:sz="4" w:space="0"/>
            </w:tcBorders>
            <w:vAlign w:val="center"/>
          </w:tcPr>
          <w:p w14:paraId="50832F46">
            <w:pPr>
              <w:widowControl/>
              <w:jc w:val="left"/>
              <w:rPr>
                <w:rFonts w:ascii="宋体" w:hAnsi="宋体" w:eastAsia="宋体" w:cs="Times New Roman"/>
                <w:kern w:val="0"/>
                <w:sz w:val="18"/>
                <w:szCs w:val="18"/>
              </w:rPr>
            </w:pPr>
            <w:r>
              <w:rPr>
                <w:rFonts w:hint="eastAsia" w:ascii="宋体" w:hAnsi="宋体" w:eastAsia="宋体" w:cs="宋体"/>
                <w:kern w:val="0"/>
                <w:sz w:val="18"/>
                <w:szCs w:val="18"/>
              </w:rPr>
              <w:t>营业收入（</w:t>
            </w:r>
            <w:r>
              <w:rPr>
                <w:rFonts w:ascii="宋体" w:hAnsi="宋体" w:eastAsia="宋体" w:cs="宋体"/>
                <w:kern w:val="0"/>
                <w:sz w:val="18"/>
                <w:szCs w:val="18"/>
              </w:rPr>
              <w:t>Y</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3FD755FA">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3BE2A44B">
            <w:pPr>
              <w:widowControl/>
              <w:jc w:val="left"/>
              <w:rPr>
                <w:rFonts w:ascii="宋体" w:hAnsi="宋体" w:eastAsia="宋体" w:cs="宋体"/>
                <w:kern w:val="0"/>
                <w:sz w:val="18"/>
                <w:szCs w:val="18"/>
              </w:rPr>
            </w:pPr>
            <w:r>
              <w:rPr>
                <w:rFonts w:ascii="宋体" w:hAnsi="宋体" w:eastAsia="宋体" w:cs="宋体"/>
                <w:kern w:val="0"/>
                <w:sz w:val="18"/>
                <w:szCs w:val="18"/>
              </w:rPr>
              <w:t>1000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10000</w:t>
            </w:r>
          </w:p>
        </w:tc>
        <w:tc>
          <w:tcPr>
            <w:tcW w:w="1701" w:type="dxa"/>
            <w:tcBorders>
              <w:top w:val="nil"/>
              <w:left w:val="nil"/>
              <w:bottom w:val="single" w:color="auto" w:sz="4" w:space="0"/>
              <w:right w:val="single" w:color="auto" w:sz="4" w:space="0"/>
            </w:tcBorders>
            <w:vAlign w:val="center"/>
          </w:tcPr>
          <w:p w14:paraId="19BA5100">
            <w:pPr>
              <w:widowControl/>
              <w:jc w:val="left"/>
              <w:rPr>
                <w:rFonts w:ascii="宋体" w:hAnsi="宋体" w:eastAsia="宋体" w:cs="宋体"/>
                <w:kern w:val="0"/>
                <w:sz w:val="18"/>
                <w:szCs w:val="18"/>
              </w:rPr>
            </w:pPr>
            <w:r>
              <w:rPr>
                <w:rFonts w:ascii="宋体" w:hAnsi="宋体" w:eastAsia="宋体" w:cs="宋体"/>
                <w:kern w:val="0"/>
                <w:sz w:val="18"/>
                <w:szCs w:val="18"/>
              </w:rPr>
              <w:t>50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1000</w:t>
            </w:r>
          </w:p>
        </w:tc>
        <w:tc>
          <w:tcPr>
            <w:tcW w:w="1134" w:type="dxa"/>
            <w:tcBorders>
              <w:top w:val="nil"/>
              <w:left w:val="nil"/>
              <w:bottom w:val="single" w:color="auto" w:sz="4" w:space="0"/>
              <w:right w:val="single" w:color="auto" w:sz="4" w:space="0"/>
            </w:tcBorders>
            <w:vAlign w:val="center"/>
          </w:tcPr>
          <w:p w14:paraId="7601A167">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50</w:t>
            </w:r>
          </w:p>
        </w:tc>
      </w:tr>
      <w:tr w14:paraId="53D3E15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1DEEBDA">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房地产开发经营</w:t>
            </w:r>
          </w:p>
        </w:tc>
        <w:tc>
          <w:tcPr>
            <w:tcW w:w="1984" w:type="dxa"/>
            <w:tcBorders>
              <w:top w:val="nil"/>
              <w:left w:val="nil"/>
              <w:bottom w:val="single" w:color="auto" w:sz="4" w:space="0"/>
              <w:right w:val="single" w:color="auto" w:sz="4" w:space="0"/>
            </w:tcBorders>
            <w:vAlign w:val="center"/>
          </w:tcPr>
          <w:p w14:paraId="6B1A7181">
            <w:pPr>
              <w:widowControl/>
              <w:jc w:val="left"/>
              <w:rPr>
                <w:rFonts w:ascii="宋体" w:hAnsi="宋体" w:eastAsia="宋体" w:cs="Times New Roman"/>
                <w:kern w:val="0"/>
                <w:sz w:val="18"/>
                <w:szCs w:val="18"/>
              </w:rPr>
            </w:pPr>
            <w:r>
              <w:rPr>
                <w:rFonts w:hint="eastAsia" w:ascii="宋体" w:hAnsi="宋体" w:eastAsia="宋体" w:cs="宋体"/>
                <w:kern w:val="0"/>
                <w:sz w:val="18"/>
                <w:szCs w:val="18"/>
              </w:rPr>
              <w:t>营业收入（</w:t>
            </w:r>
            <w:r>
              <w:rPr>
                <w:rFonts w:ascii="宋体" w:hAnsi="宋体" w:eastAsia="宋体" w:cs="宋体"/>
                <w:kern w:val="0"/>
                <w:sz w:val="18"/>
                <w:szCs w:val="18"/>
              </w:rPr>
              <w:t>Y</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6D9D209C">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33D1BD55">
            <w:pPr>
              <w:widowControl/>
              <w:jc w:val="left"/>
              <w:rPr>
                <w:rFonts w:ascii="宋体" w:hAnsi="宋体" w:eastAsia="宋体" w:cs="宋体"/>
                <w:kern w:val="0"/>
                <w:sz w:val="18"/>
                <w:szCs w:val="18"/>
              </w:rPr>
            </w:pPr>
            <w:r>
              <w:rPr>
                <w:rFonts w:ascii="宋体" w:hAnsi="宋体" w:eastAsia="宋体" w:cs="宋体"/>
                <w:kern w:val="0"/>
                <w:sz w:val="18"/>
                <w:szCs w:val="18"/>
              </w:rPr>
              <w:t>1000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200000</w:t>
            </w:r>
          </w:p>
        </w:tc>
        <w:tc>
          <w:tcPr>
            <w:tcW w:w="1701" w:type="dxa"/>
            <w:tcBorders>
              <w:top w:val="nil"/>
              <w:left w:val="nil"/>
              <w:bottom w:val="single" w:color="auto" w:sz="4" w:space="0"/>
              <w:right w:val="single" w:color="auto" w:sz="4" w:space="0"/>
            </w:tcBorders>
            <w:vAlign w:val="center"/>
          </w:tcPr>
          <w:p w14:paraId="484E32E6">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1000</w:t>
            </w:r>
          </w:p>
        </w:tc>
        <w:tc>
          <w:tcPr>
            <w:tcW w:w="1134" w:type="dxa"/>
            <w:tcBorders>
              <w:top w:val="nil"/>
              <w:left w:val="nil"/>
              <w:bottom w:val="single" w:color="auto" w:sz="4" w:space="0"/>
              <w:right w:val="single" w:color="auto" w:sz="4" w:space="0"/>
            </w:tcBorders>
            <w:vAlign w:val="center"/>
          </w:tcPr>
          <w:p w14:paraId="24B4CB7D">
            <w:pPr>
              <w:widowControl/>
              <w:jc w:val="left"/>
              <w:rPr>
                <w:rFonts w:ascii="宋体" w:hAnsi="宋体" w:eastAsia="宋体" w:cs="宋体"/>
                <w:kern w:val="0"/>
                <w:sz w:val="18"/>
                <w:szCs w:val="18"/>
              </w:rPr>
            </w:pP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100</w:t>
            </w:r>
          </w:p>
        </w:tc>
      </w:tr>
      <w:tr w14:paraId="77D8416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FEA8F65">
            <w:pPr>
              <w:widowControl/>
              <w:jc w:val="left"/>
              <w:rPr>
                <w:rFonts w:ascii="宋体" w:hAnsi="宋体" w:eastAsia="宋体" w:cs="Times New Roman"/>
                <w:b/>
                <w:bCs/>
                <w:kern w:val="0"/>
                <w:sz w:val="18"/>
                <w:szCs w:val="18"/>
              </w:rPr>
            </w:pPr>
          </w:p>
        </w:tc>
        <w:tc>
          <w:tcPr>
            <w:tcW w:w="1984" w:type="dxa"/>
            <w:tcBorders>
              <w:top w:val="nil"/>
              <w:left w:val="nil"/>
              <w:bottom w:val="single" w:color="auto" w:sz="4" w:space="0"/>
              <w:right w:val="single" w:color="auto" w:sz="4" w:space="0"/>
            </w:tcBorders>
            <w:vAlign w:val="center"/>
          </w:tcPr>
          <w:p w14:paraId="50D18D58">
            <w:pPr>
              <w:widowControl/>
              <w:jc w:val="left"/>
              <w:rPr>
                <w:rFonts w:ascii="宋体" w:hAnsi="宋体" w:eastAsia="宋体" w:cs="Times New Roman"/>
                <w:kern w:val="0"/>
                <w:sz w:val="18"/>
                <w:szCs w:val="18"/>
              </w:rPr>
            </w:pPr>
            <w:r>
              <w:rPr>
                <w:rFonts w:hint="eastAsia" w:ascii="宋体" w:hAnsi="宋体" w:eastAsia="宋体" w:cs="宋体"/>
                <w:kern w:val="0"/>
                <w:sz w:val="18"/>
                <w:szCs w:val="18"/>
              </w:rPr>
              <w:t>资产总额（</w:t>
            </w:r>
            <w:r>
              <w:rPr>
                <w:rFonts w:ascii="宋体" w:hAnsi="宋体" w:eastAsia="宋体" w:cs="宋体"/>
                <w:kern w:val="0"/>
                <w:sz w:val="18"/>
                <w:szCs w:val="18"/>
              </w:rPr>
              <w:t>Z</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598B760E">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13E79BD0">
            <w:pPr>
              <w:widowControl/>
              <w:jc w:val="left"/>
              <w:rPr>
                <w:rFonts w:ascii="宋体" w:hAnsi="宋体" w:eastAsia="宋体" w:cs="宋体"/>
                <w:kern w:val="0"/>
                <w:sz w:val="18"/>
                <w:szCs w:val="18"/>
              </w:rPr>
            </w:pPr>
            <w:r>
              <w:rPr>
                <w:rFonts w:ascii="宋体" w:hAnsi="宋体" w:eastAsia="宋体" w:cs="宋体"/>
                <w:kern w:val="0"/>
                <w:sz w:val="18"/>
                <w:szCs w:val="18"/>
              </w:rPr>
              <w:t>5000</w:t>
            </w:r>
            <w:r>
              <w:rPr>
                <w:rFonts w:hint="eastAsia" w:ascii="宋体" w:hAnsi="宋体" w:eastAsia="宋体" w:cs="宋体"/>
                <w:kern w:val="0"/>
                <w:sz w:val="18"/>
                <w:szCs w:val="18"/>
              </w:rPr>
              <w:t>≤</w:t>
            </w:r>
            <w:r>
              <w:rPr>
                <w:rFonts w:ascii="宋体" w:hAnsi="宋体" w:eastAsia="宋体" w:cs="宋体"/>
                <w:kern w:val="0"/>
                <w:sz w:val="18"/>
                <w:szCs w:val="18"/>
              </w:rPr>
              <w:t>Z</w:t>
            </w:r>
            <w:r>
              <w:rPr>
                <w:rFonts w:hint="eastAsia" w:ascii="宋体" w:hAnsi="宋体" w:eastAsia="宋体" w:cs="宋体"/>
                <w:kern w:val="0"/>
                <w:sz w:val="18"/>
                <w:szCs w:val="18"/>
              </w:rPr>
              <w:t>＜</w:t>
            </w:r>
            <w:r>
              <w:rPr>
                <w:rFonts w:ascii="宋体" w:hAnsi="宋体" w:eastAsia="宋体" w:cs="宋体"/>
                <w:kern w:val="0"/>
                <w:sz w:val="18"/>
                <w:szCs w:val="18"/>
              </w:rPr>
              <w:t>10000</w:t>
            </w:r>
          </w:p>
        </w:tc>
        <w:tc>
          <w:tcPr>
            <w:tcW w:w="1701" w:type="dxa"/>
            <w:tcBorders>
              <w:top w:val="nil"/>
              <w:left w:val="nil"/>
              <w:bottom w:val="single" w:color="auto" w:sz="4" w:space="0"/>
              <w:right w:val="single" w:color="auto" w:sz="4" w:space="0"/>
            </w:tcBorders>
            <w:vAlign w:val="center"/>
          </w:tcPr>
          <w:p w14:paraId="446988AB">
            <w:pPr>
              <w:widowControl/>
              <w:jc w:val="left"/>
              <w:rPr>
                <w:rFonts w:ascii="宋体" w:hAnsi="宋体" w:eastAsia="宋体" w:cs="宋体"/>
                <w:kern w:val="0"/>
                <w:sz w:val="18"/>
                <w:szCs w:val="18"/>
              </w:rPr>
            </w:pPr>
            <w:r>
              <w:rPr>
                <w:rFonts w:ascii="宋体" w:hAnsi="宋体" w:eastAsia="宋体" w:cs="宋体"/>
                <w:kern w:val="0"/>
                <w:sz w:val="18"/>
                <w:szCs w:val="18"/>
              </w:rPr>
              <w:t>2000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5000</w:t>
            </w:r>
          </w:p>
        </w:tc>
        <w:tc>
          <w:tcPr>
            <w:tcW w:w="1134" w:type="dxa"/>
            <w:tcBorders>
              <w:top w:val="nil"/>
              <w:left w:val="nil"/>
              <w:bottom w:val="single" w:color="auto" w:sz="4" w:space="0"/>
              <w:right w:val="single" w:color="auto" w:sz="4" w:space="0"/>
            </w:tcBorders>
            <w:vAlign w:val="center"/>
          </w:tcPr>
          <w:p w14:paraId="098D63D3">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2000</w:t>
            </w:r>
          </w:p>
        </w:tc>
      </w:tr>
      <w:tr w14:paraId="34FCD7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BFEBA87">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物业管理</w:t>
            </w:r>
          </w:p>
        </w:tc>
        <w:tc>
          <w:tcPr>
            <w:tcW w:w="1984" w:type="dxa"/>
            <w:tcBorders>
              <w:top w:val="nil"/>
              <w:left w:val="nil"/>
              <w:bottom w:val="single" w:color="auto" w:sz="4" w:space="0"/>
              <w:right w:val="single" w:color="auto" w:sz="4" w:space="0"/>
            </w:tcBorders>
            <w:vAlign w:val="center"/>
          </w:tcPr>
          <w:p w14:paraId="55F33AAD">
            <w:pPr>
              <w:widowControl/>
              <w:jc w:val="left"/>
              <w:rPr>
                <w:rFonts w:ascii="宋体" w:hAnsi="宋体" w:eastAsia="宋体" w:cs="Times New Roman"/>
                <w:kern w:val="0"/>
                <w:sz w:val="18"/>
                <w:szCs w:val="18"/>
              </w:rPr>
            </w:pPr>
            <w:r>
              <w:rPr>
                <w:rFonts w:hint="eastAsia" w:ascii="宋体" w:hAnsi="宋体" w:eastAsia="宋体" w:cs="宋体"/>
                <w:kern w:val="0"/>
                <w:sz w:val="18"/>
                <w:szCs w:val="18"/>
              </w:rPr>
              <w:t>从业人员（</w:t>
            </w:r>
            <w:r>
              <w:rPr>
                <w:rFonts w:ascii="宋体" w:hAnsi="宋体" w:eastAsia="宋体" w:cs="宋体"/>
                <w:kern w:val="0"/>
                <w:sz w:val="18"/>
                <w:szCs w:val="18"/>
              </w:rPr>
              <w:t>X</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4465CE43">
            <w:pPr>
              <w:widowControl/>
              <w:jc w:val="left"/>
              <w:rPr>
                <w:rFonts w:ascii="宋体" w:hAnsi="宋体" w:eastAsia="宋体" w:cs="Times New Roman"/>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3F8E82CD">
            <w:pPr>
              <w:widowControl/>
              <w:jc w:val="left"/>
              <w:rPr>
                <w:rFonts w:ascii="宋体" w:hAnsi="宋体" w:eastAsia="宋体" w:cs="宋体"/>
                <w:kern w:val="0"/>
                <w:sz w:val="18"/>
                <w:szCs w:val="18"/>
              </w:rPr>
            </w:pPr>
            <w:r>
              <w:rPr>
                <w:rFonts w:ascii="宋体" w:hAnsi="宋体" w:eastAsia="宋体" w:cs="宋体"/>
                <w:kern w:val="0"/>
                <w:sz w:val="18"/>
                <w:szCs w:val="18"/>
              </w:rPr>
              <w:t>300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1000</w:t>
            </w:r>
          </w:p>
        </w:tc>
        <w:tc>
          <w:tcPr>
            <w:tcW w:w="1701" w:type="dxa"/>
            <w:tcBorders>
              <w:top w:val="nil"/>
              <w:left w:val="nil"/>
              <w:bottom w:val="single" w:color="auto" w:sz="4" w:space="0"/>
              <w:right w:val="single" w:color="auto" w:sz="4" w:space="0"/>
            </w:tcBorders>
            <w:vAlign w:val="center"/>
          </w:tcPr>
          <w:p w14:paraId="6C01C881">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300</w:t>
            </w:r>
          </w:p>
        </w:tc>
        <w:tc>
          <w:tcPr>
            <w:tcW w:w="1134" w:type="dxa"/>
            <w:tcBorders>
              <w:top w:val="nil"/>
              <w:left w:val="nil"/>
              <w:bottom w:val="single" w:color="auto" w:sz="4" w:space="0"/>
              <w:right w:val="single" w:color="auto" w:sz="4" w:space="0"/>
            </w:tcBorders>
            <w:vAlign w:val="center"/>
          </w:tcPr>
          <w:p w14:paraId="71A19187">
            <w:pPr>
              <w:widowControl/>
              <w:jc w:val="left"/>
              <w:rPr>
                <w:rFonts w:ascii="宋体" w:hAnsi="宋体" w:eastAsia="宋体" w:cs="宋体"/>
                <w:kern w:val="0"/>
                <w:sz w:val="18"/>
                <w:szCs w:val="18"/>
              </w:rPr>
            </w:pP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100</w:t>
            </w:r>
          </w:p>
        </w:tc>
      </w:tr>
      <w:tr w14:paraId="289F6DA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0CF0BC5">
            <w:pPr>
              <w:widowControl/>
              <w:jc w:val="left"/>
              <w:rPr>
                <w:rFonts w:ascii="宋体" w:hAnsi="宋体" w:eastAsia="宋体" w:cs="Times New Roman"/>
                <w:b/>
                <w:bCs/>
                <w:kern w:val="0"/>
                <w:sz w:val="18"/>
                <w:szCs w:val="18"/>
              </w:rPr>
            </w:pPr>
          </w:p>
        </w:tc>
        <w:tc>
          <w:tcPr>
            <w:tcW w:w="1984" w:type="dxa"/>
            <w:tcBorders>
              <w:top w:val="nil"/>
              <w:left w:val="nil"/>
              <w:bottom w:val="single" w:color="auto" w:sz="4" w:space="0"/>
              <w:right w:val="single" w:color="auto" w:sz="4" w:space="0"/>
            </w:tcBorders>
            <w:vAlign w:val="center"/>
          </w:tcPr>
          <w:p w14:paraId="5B2AAEF3">
            <w:pPr>
              <w:widowControl/>
              <w:jc w:val="left"/>
              <w:rPr>
                <w:rFonts w:ascii="宋体" w:hAnsi="宋体" w:eastAsia="宋体" w:cs="Times New Roman"/>
                <w:kern w:val="0"/>
                <w:sz w:val="18"/>
                <w:szCs w:val="18"/>
              </w:rPr>
            </w:pPr>
            <w:r>
              <w:rPr>
                <w:rFonts w:hint="eastAsia" w:ascii="宋体" w:hAnsi="宋体" w:eastAsia="宋体" w:cs="宋体"/>
                <w:kern w:val="0"/>
                <w:sz w:val="18"/>
                <w:szCs w:val="18"/>
              </w:rPr>
              <w:t>营业收入（</w:t>
            </w:r>
            <w:r>
              <w:rPr>
                <w:rFonts w:ascii="宋体" w:hAnsi="宋体" w:eastAsia="宋体" w:cs="宋体"/>
                <w:kern w:val="0"/>
                <w:sz w:val="18"/>
                <w:szCs w:val="18"/>
              </w:rPr>
              <w:t>Y</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6BC5E8F5">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4D678586">
            <w:pPr>
              <w:widowControl/>
              <w:jc w:val="left"/>
              <w:rPr>
                <w:rFonts w:ascii="宋体" w:hAnsi="宋体" w:eastAsia="宋体" w:cs="宋体"/>
                <w:kern w:val="0"/>
                <w:sz w:val="18"/>
                <w:szCs w:val="18"/>
              </w:rPr>
            </w:pPr>
            <w:r>
              <w:rPr>
                <w:rFonts w:ascii="宋体" w:hAnsi="宋体" w:eastAsia="宋体" w:cs="宋体"/>
                <w:kern w:val="0"/>
                <w:sz w:val="18"/>
                <w:szCs w:val="18"/>
              </w:rPr>
              <w:t>1000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5000</w:t>
            </w:r>
          </w:p>
        </w:tc>
        <w:tc>
          <w:tcPr>
            <w:tcW w:w="1701" w:type="dxa"/>
            <w:tcBorders>
              <w:top w:val="nil"/>
              <w:left w:val="nil"/>
              <w:bottom w:val="single" w:color="auto" w:sz="4" w:space="0"/>
              <w:right w:val="single" w:color="auto" w:sz="4" w:space="0"/>
            </w:tcBorders>
            <w:vAlign w:val="center"/>
          </w:tcPr>
          <w:p w14:paraId="3BD18B2B">
            <w:pPr>
              <w:widowControl/>
              <w:jc w:val="left"/>
              <w:rPr>
                <w:rFonts w:ascii="宋体" w:hAnsi="宋体" w:eastAsia="宋体" w:cs="宋体"/>
                <w:kern w:val="0"/>
                <w:sz w:val="18"/>
                <w:szCs w:val="18"/>
              </w:rPr>
            </w:pPr>
            <w:r>
              <w:rPr>
                <w:rFonts w:ascii="宋体" w:hAnsi="宋体" w:eastAsia="宋体" w:cs="宋体"/>
                <w:kern w:val="0"/>
                <w:sz w:val="18"/>
                <w:szCs w:val="18"/>
              </w:rPr>
              <w:t>500</w:t>
            </w:r>
            <w:r>
              <w:rPr>
                <w:rFonts w:hint="eastAsia" w:ascii="宋体" w:hAnsi="宋体" w:eastAsia="宋体" w:cs="宋体"/>
                <w:kern w:val="0"/>
                <w:sz w:val="18"/>
                <w:szCs w:val="18"/>
              </w:rPr>
              <w:t>≤</w:t>
            </w: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1000</w:t>
            </w:r>
          </w:p>
        </w:tc>
        <w:tc>
          <w:tcPr>
            <w:tcW w:w="1134" w:type="dxa"/>
            <w:tcBorders>
              <w:top w:val="nil"/>
              <w:left w:val="nil"/>
              <w:bottom w:val="single" w:color="auto" w:sz="4" w:space="0"/>
              <w:right w:val="single" w:color="auto" w:sz="4" w:space="0"/>
            </w:tcBorders>
            <w:vAlign w:val="center"/>
          </w:tcPr>
          <w:p w14:paraId="78AF410F">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500</w:t>
            </w:r>
          </w:p>
        </w:tc>
      </w:tr>
      <w:tr w14:paraId="6E3EB1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272D716">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租赁和商务服务业</w:t>
            </w:r>
          </w:p>
        </w:tc>
        <w:tc>
          <w:tcPr>
            <w:tcW w:w="1984" w:type="dxa"/>
            <w:tcBorders>
              <w:top w:val="nil"/>
              <w:left w:val="nil"/>
              <w:bottom w:val="single" w:color="auto" w:sz="4" w:space="0"/>
              <w:right w:val="single" w:color="auto" w:sz="4" w:space="0"/>
            </w:tcBorders>
            <w:vAlign w:val="center"/>
          </w:tcPr>
          <w:p w14:paraId="09242499">
            <w:pPr>
              <w:widowControl/>
              <w:jc w:val="left"/>
              <w:rPr>
                <w:rFonts w:ascii="宋体" w:hAnsi="宋体" w:eastAsia="宋体" w:cs="Times New Roman"/>
                <w:kern w:val="0"/>
                <w:sz w:val="18"/>
                <w:szCs w:val="18"/>
              </w:rPr>
            </w:pPr>
            <w:r>
              <w:rPr>
                <w:rFonts w:hint="eastAsia" w:ascii="宋体" w:hAnsi="宋体" w:eastAsia="宋体" w:cs="宋体"/>
                <w:kern w:val="0"/>
                <w:sz w:val="18"/>
                <w:szCs w:val="18"/>
              </w:rPr>
              <w:t>从业人员（</w:t>
            </w:r>
            <w:r>
              <w:rPr>
                <w:rFonts w:ascii="宋体" w:hAnsi="宋体" w:eastAsia="宋体" w:cs="宋体"/>
                <w:kern w:val="0"/>
                <w:sz w:val="18"/>
                <w:szCs w:val="18"/>
              </w:rPr>
              <w:t>X</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316075AA">
            <w:pPr>
              <w:widowControl/>
              <w:jc w:val="left"/>
              <w:rPr>
                <w:rFonts w:ascii="宋体" w:hAnsi="宋体" w:eastAsia="宋体" w:cs="Times New Roman"/>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54690450">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300</w:t>
            </w:r>
          </w:p>
        </w:tc>
        <w:tc>
          <w:tcPr>
            <w:tcW w:w="1701" w:type="dxa"/>
            <w:tcBorders>
              <w:top w:val="nil"/>
              <w:left w:val="nil"/>
              <w:bottom w:val="single" w:color="auto" w:sz="4" w:space="0"/>
              <w:right w:val="single" w:color="auto" w:sz="4" w:space="0"/>
            </w:tcBorders>
            <w:vAlign w:val="center"/>
          </w:tcPr>
          <w:p w14:paraId="0DFF3F33">
            <w:pPr>
              <w:widowControl/>
              <w:jc w:val="left"/>
              <w:rPr>
                <w:rFonts w:ascii="宋体" w:hAnsi="宋体" w:eastAsia="宋体" w:cs="宋体"/>
                <w:kern w:val="0"/>
                <w:sz w:val="18"/>
                <w:szCs w:val="18"/>
              </w:rPr>
            </w:pPr>
            <w:r>
              <w:rPr>
                <w:rFonts w:ascii="宋体" w:hAnsi="宋体" w:eastAsia="宋体" w:cs="宋体"/>
                <w:kern w:val="0"/>
                <w:sz w:val="18"/>
                <w:szCs w:val="18"/>
              </w:rPr>
              <w:t>10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100</w:t>
            </w:r>
          </w:p>
        </w:tc>
        <w:tc>
          <w:tcPr>
            <w:tcW w:w="1134" w:type="dxa"/>
            <w:tcBorders>
              <w:top w:val="nil"/>
              <w:left w:val="nil"/>
              <w:bottom w:val="single" w:color="auto" w:sz="4" w:space="0"/>
              <w:right w:val="single" w:color="auto" w:sz="4" w:space="0"/>
            </w:tcBorders>
            <w:vAlign w:val="center"/>
          </w:tcPr>
          <w:p w14:paraId="3CE830A3">
            <w:pPr>
              <w:widowControl/>
              <w:jc w:val="left"/>
              <w:rPr>
                <w:rFonts w:ascii="宋体" w:hAnsi="宋体" w:eastAsia="宋体" w:cs="宋体"/>
                <w:kern w:val="0"/>
                <w:sz w:val="18"/>
                <w:szCs w:val="18"/>
              </w:rPr>
            </w:pP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w:t>
            </w:r>
          </w:p>
        </w:tc>
      </w:tr>
      <w:tr w14:paraId="49DDE2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F02620D">
            <w:pPr>
              <w:widowControl/>
              <w:jc w:val="left"/>
              <w:rPr>
                <w:rFonts w:ascii="宋体" w:hAnsi="宋体" w:eastAsia="宋体" w:cs="Times New Roman"/>
                <w:b/>
                <w:bCs/>
                <w:kern w:val="0"/>
                <w:sz w:val="18"/>
                <w:szCs w:val="18"/>
              </w:rPr>
            </w:pPr>
          </w:p>
        </w:tc>
        <w:tc>
          <w:tcPr>
            <w:tcW w:w="1984" w:type="dxa"/>
            <w:tcBorders>
              <w:top w:val="nil"/>
              <w:left w:val="nil"/>
              <w:bottom w:val="single" w:color="auto" w:sz="4" w:space="0"/>
              <w:right w:val="single" w:color="auto" w:sz="4" w:space="0"/>
            </w:tcBorders>
            <w:vAlign w:val="center"/>
          </w:tcPr>
          <w:p w14:paraId="16F9EE16">
            <w:pPr>
              <w:widowControl/>
              <w:jc w:val="left"/>
              <w:rPr>
                <w:rFonts w:ascii="宋体" w:hAnsi="宋体" w:eastAsia="宋体" w:cs="Times New Roman"/>
                <w:kern w:val="0"/>
                <w:sz w:val="18"/>
                <w:szCs w:val="18"/>
              </w:rPr>
            </w:pPr>
            <w:r>
              <w:rPr>
                <w:rFonts w:hint="eastAsia" w:ascii="宋体" w:hAnsi="宋体" w:eastAsia="宋体" w:cs="宋体"/>
                <w:kern w:val="0"/>
                <w:sz w:val="18"/>
                <w:szCs w:val="18"/>
              </w:rPr>
              <w:t>资产总额（</w:t>
            </w:r>
            <w:r>
              <w:rPr>
                <w:rFonts w:ascii="宋体" w:hAnsi="宋体" w:eastAsia="宋体" w:cs="宋体"/>
                <w:kern w:val="0"/>
                <w:sz w:val="18"/>
                <w:szCs w:val="18"/>
              </w:rPr>
              <w:t>Z</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7E72B00C">
            <w:pPr>
              <w:widowControl/>
              <w:jc w:val="left"/>
              <w:rPr>
                <w:rFonts w:ascii="宋体" w:hAnsi="宋体" w:eastAsia="宋体" w:cs="Times New Roman"/>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6C3C9B19">
            <w:pPr>
              <w:widowControl/>
              <w:jc w:val="left"/>
              <w:rPr>
                <w:rFonts w:ascii="宋体" w:hAnsi="宋体" w:eastAsia="宋体" w:cs="宋体"/>
                <w:kern w:val="0"/>
                <w:sz w:val="18"/>
                <w:szCs w:val="18"/>
              </w:rPr>
            </w:pPr>
            <w:r>
              <w:rPr>
                <w:rFonts w:ascii="宋体" w:hAnsi="宋体" w:eastAsia="宋体" w:cs="宋体"/>
                <w:kern w:val="0"/>
                <w:sz w:val="18"/>
                <w:szCs w:val="18"/>
              </w:rPr>
              <w:t>8000</w:t>
            </w:r>
            <w:r>
              <w:rPr>
                <w:rFonts w:hint="eastAsia" w:ascii="宋体" w:hAnsi="宋体" w:eastAsia="宋体" w:cs="宋体"/>
                <w:kern w:val="0"/>
                <w:sz w:val="18"/>
                <w:szCs w:val="18"/>
              </w:rPr>
              <w:t>≤</w:t>
            </w:r>
            <w:r>
              <w:rPr>
                <w:rFonts w:ascii="宋体" w:hAnsi="宋体" w:eastAsia="宋体" w:cs="宋体"/>
                <w:kern w:val="0"/>
                <w:sz w:val="18"/>
                <w:szCs w:val="18"/>
              </w:rPr>
              <w:t>Z</w:t>
            </w:r>
            <w:r>
              <w:rPr>
                <w:rFonts w:hint="eastAsia" w:ascii="宋体" w:hAnsi="宋体" w:eastAsia="宋体" w:cs="宋体"/>
                <w:kern w:val="0"/>
                <w:sz w:val="18"/>
                <w:szCs w:val="18"/>
              </w:rPr>
              <w:t>＜</w:t>
            </w:r>
            <w:r>
              <w:rPr>
                <w:rFonts w:ascii="宋体" w:hAnsi="宋体" w:eastAsia="宋体" w:cs="宋体"/>
                <w:kern w:val="0"/>
                <w:sz w:val="18"/>
                <w:szCs w:val="18"/>
              </w:rPr>
              <w:t>120000</w:t>
            </w:r>
          </w:p>
        </w:tc>
        <w:tc>
          <w:tcPr>
            <w:tcW w:w="1701" w:type="dxa"/>
            <w:tcBorders>
              <w:top w:val="nil"/>
              <w:left w:val="nil"/>
              <w:bottom w:val="single" w:color="auto" w:sz="4" w:space="0"/>
              <w:right w:val="single" w:color="auto" w:sz="4" w:space="0"/>
            </w:tcBorders>
            <w:vAlign w:val="center"/>
          </w:tcPr>
          <w:p w14:paraId="3C7F22DB">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Z</w:t>
            </w:r>
            <w:r>
              <w:rPr>
                <w:rFonts w:hint="eastAsia" w:ascii="宋体" w:hAnsi="宋体" w:eastAsia="宋体" w:cs="宋体"/>
                <w:kern w:val="0"/>
                <w:sz w:val="18"/>
                <w:szCs w:val="18"/>
              </w:rPr>
              <w:t>＜</w:t>
            </w:r>
            <w:r>
              <w:rPr>
                <w:rFonts w:ascii="宋体" w:hAnsi="宋体" w:eastAsia="宋体" w:cs="宋体"/>
                <w:kern w:val="0"/>
                <w:sz w:val="18"/>
                <w:szCs w:val="18"/>
              </w:rPr>
              <w:t>8000</w:t>
            </w:r>
          </w:p>
        </w:tc>
        <w:tc>
          <w:tcPr>
            <w:tcW w:w="1134" w:type="dxa"/>
            <w:tcBorders>
              <w:top w:val="nil"/>
              <w:left w:val="nil"/>
              <w:bottom w:val="single" w:color="auto" w:sz="4" w:space="0"/>
              <w:right w:val="single" w:color="auto" w:sz="4" w:space="0"/>
            </w:tcBorders>
            <w:vAlign w:val="center"/>
          </w:tcPr>
          <w:p w14:paraId="3157AEB1">
            <w:pPr>
              <w:widowControl/>
              <w:jc w:val="left"/>
              <w:rPr>
                <w:rFonts w:ascii="宋体" w:hAnsi="宋体" w:eastAsia="宋体" w:cs="宋体"/>
                <w:kern w:val="0"/>
                <w:sz w:val="18"/>
                <w:szCs w:val="18"/>
              </w:rPr>
            </w:pPr>
            <w:r>
              <w:rPr>
                <w:rFonts w:ascii="宋体" w:hAnsi="宋体" w:eastAsia="宋体" w:cs="宋体"/>
                <w:kern w:val="0"/>
                <w:sz w:val="18"/>
                <w:szCs w:val="18"/>
              </w:rPr>
              <w:t>Y</w:t>
            </w:r>
            <w:r>
              <w:rPr>
                <w:rFonts w:hint="eastAsia" w:ascii="宋体" w:hAnsi="宋体" w:eastAsia="宋体" w:cs="宋体"/>
                <w:kern w:val="0"/>
                <w:sz w:val="18"/>
                <w:szCs w:val="18"/>
              </w:rPr>
              <w:t>＜</w:t>
            </w:r>
            <w:r>
              <w:rPr>
                <w:rFonts w:ascii="宋体" w:hAnsi="宋体" w:eastAsia="宋体" w:cs="宋体"/>
                <w:kern w:val="0"/>
                <w:sz w:val="18"/>
                <w:szCs w:val="18"/>
              </w:rPr>
              <w:t>100</w:t>
            </w:r>
          </w:p>
        </w:tc>
      </w:tr>
      <w:tr w14:paraId="3982CCC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B3DDEF4">
            <w:pPr>
              <w:widowControl/>
              <w:jc w:val="center"/>
              <w:rPr>
                <w:rFonts w:ascii="宋体" w:hAnsi="宋体" w:eastAsia="宋体" w:cs="Times New Roman"/>
                <w:b/>
                <w:bCs/>
                <w:kern w:val="0"/>
                <w:sz w:val="18"/>
                <w:szCs w:val="18"/>
              </w:rPr>
            </w:pPr>
            <w:r>
              <w:rPr>
                <w:rFonts w:hint="eastAsia" w:ascii="宋体" w:hAnsi="宋体" w:eastAsia="宋体" w:cs="宋体"/>
                <w:b/>
                <w:bCs/>
                <w:kern w:val="0"/>
                <w:sz w:val="18"/>
                <w:szCs w:val="18"/>
              </w:rPr>
              <w:t>其他未列明行业</w:t>
            </w:r>
          </w:p>
        </w:tc>
        <w:tc>
          <w:tcPr>
            <w:tcW w:w="1984" w:type="dxa"/>
            <w:tcBorders>
              <w:top w:val="nil"/>
              <w:left w:val="nil"/>
              <w:bottom w:val="single" w:color="auto" w:sz="4" w:space="0"/>
              <w:right w:val="single" w:color="auto" w:sz="4" w:space="0"/>
            </w:tcBorders>
            <w:vAlign w:val="center"/>
          </w:tcPr>
          <w:p w14:paraId="753FCBF9">
            <w:pPr>
              <w:widowControl/>
              <w:jc w:val="left"/>
              <w:rPr>
                <w:rFonts w:ascii="宋体" w:hAnsi="宋体" w:eastAsia="宋体" w:cs="Times New Roman"/>
                <w:kern w:val="0"/>
                <w:sz w:val="18"/>
                <w:szCs w:val="18"/>
              </w:rPr>
            </w:pPr>
            <w:r>
              <w:rPr>
                <w:rFonts w:hint="eastAsia" w:ascii="宋体" w:hAnsi="宋体" w:eastAsia="宋体" w:cs="宋体"/>
                <w:kern w:val="0"/>
                <w:sz w:val="18"/>
                <w:szCs w:val="18"/>
              </w:rPr>
              <w:t>从业人员（</w:t>
            </w:r>
            <w:r>
              <w:rPr>
                <w:rFonts w:ascii="宋体" w:hAnsi="宋体" w:eastAsia="宋体" w:cs="宋体"/>
                <w:kern w:val="0"/>
                <w:sz w:val="18"/>
                <w:szCs w:val="18"/>
              </w:rPr>
              <w:t>X</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777DC52F">
            <w:pPr>
              <w:widowControl/>
              <w:jc w:val="left"/>
              <w:rPr>
                <w:rFonts w:ascii="宋体" w:hAnsi="宋体" w:eastAsia="宋体" w:cs="Times New Roman"/>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78992AB4">
            <w:pPr>
              <w:widowControl/>
              <w:jc w:val="left"/>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300</w:t>
            </w:r>
          </w:p>
        </w:tc>
        <w:tc>
          <w:tcPr>
            <w:tcW w:w="1701" w:type="dxa"/>
            <w:tcBorders>
              <w:top w:val="nil"/>
              <w:left w:val="nil"/>
              <w:bottom w:val="single" w:color="auto" w:sz="4" w:space="0"/>
              <w:right w:val="single" w:color="auto" w:sz="4" w:space="0"/>
            </w:tcBorders>
            <w:vAlign w:val="center"/>
          </w:tcPr>
          <w:p w14:paraId="04517792">
            <w:pPr>
              <w:widowControl/>
              <w:jc w:val="left"/>
              <w:rPr>
                <w:rFonts w:ascii="宋体" w:hAnsi="宋体" w:eastAsia="宋体" w:cs="宋体"/>
                <w:kern w:val="0"/>
                <w:sz w:val="18"/>
                <w:szCs w:val="18"/>
              </w:rPr>
            </w:pPr>
            <w:r>
              <w:rPr>
                <w:rFonts w:ascii="宋体" w:hAnsi="宋体" w:eastAsia="宋体" w:cs="宋体"/>
                <w:kern w:val="0"/>
                <w:sz w:val="18"/>
                <w:szCs w:val="18"/>
              </w:rPr>
              <w:t>10</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100</w:t>
            </w:r>
          </w:p>
        </w:tc>
        <w:tc>
          <w:tcPr>
            <w:tcW w:w="1134" w:type="dxa"/>
            <w:tcBorders>
              <w:top w:val="nil"/>
              <w:left w:val="nil"/>
              <w:bottom w:val="single" w:color="auto" w:sz="4" w:space="0"/>
              <w:right w:val="single" w:color="auto" w:sz="4" w:space="0"/>
            </w:tcBorders>
            <w:vAlign w:val="center"/>
          </w:tcPr>
          <w:p w14:paraId="66A8B322">
            <w:pPr>
              <w:widowControl/>
              <w:jc w:val="left"/>
              <w:rPr>
                <w:rFonts w:ascii="宋体" w:hAnsi="宋体" w:eastAsia="宋体" w:cs="宋体"/>
                <w:kern w:val="0"/>
                <w:sz w:val="18"/>
                <w:szCs w:val="18"/>
              </w:rPr>
            </w:pP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10</w:t>
            </w:r>
          </w:p>
        </w:tc>
      </w:tr>
    </w:tbl>
    <w:p w14:paraId="4B6F0364">
      <w:pPr>
        <w:spacing w:line="560" w:lineRule="exact"/>
        <w:rPr>
          <w:rFonts w:ascii="宋体" w:hAnsi="宋体" w:eastAsia="宋体" w:cs="Times New Roman"/>
        </w:rPr>
      </w:pPr>
      <w:r>
        <w:rPr>
          <w:rFonts w:hint="eastAsia" w:ascii="宋体" w:hAnsi="宋体" w:eastAsia="宋体" w:cs="宋体"/>
        </w:rPr>
        <w:t>说明：上述标准参照《关于印发中小企业划型标准规定的通知》（工信部联企业〔</w:t>
      </w:r>
      <w:r>
        <w:rPr>
          <w:rFonts w:ascii="宋体" w:hAnsi="宋体" w:eastAsia="宋体" w:cs="宋体"/>
        </w:rPr>
        <w:t>2011</w:t>
      </w:r>
      <w:r>
        <w:rPr>
          <w:rFonts w:hint="eastAsia" w:ascii="宋体" w:hAnsi="宋体" w:eastAsia="宋体" w:cs="宋体"/>
        </w:rPr>
        <w:t>〕</w:t>
      </w:r>
      <w:r>
        <w:rPr>
          <w:rFonts w:ascii="宋体" w:hAnsi="宋体" w:eastAsia="宋体" w:cs="宋体"/>
        </w:rPr>
        <w:t>300</w:t>
      </w:r>
      <w:r>
        <w:rPr>
          <w:rFonts w:hint="eastAsia" w:ascii="宋体" w:hAnsi="宋体" w:eastAsia="宋体" w:cs="宋体"/>
        </w:rPr>
        <w:t>号），大型、中型和小型企业须同时满足所列指标的下限，否则下划一档；微型企业只须满足所列指标中的一项即可。</w:t>
      </w:r>
    </w:p>
    <w:p w14:paraId="4F52F4CC">
      <w:pPr>
        <w:widowControl/>
        <w:jc w:val="left"/>
        <w:rPr>
          <w:rFonts w:ascii="宋体" w:hAnsi="宋体" w:eastAsia="宋体" w:cs="Times New Roman"/>
          <w:kern w:val="0"/>
          <w:sz w:val="20"/>
          <w:szCs w:val="20"/>
        </w:rPr>
        <w:sectPr>
          <w:pgSz w:w="11906" w:h="16838"/>
          <w:pgMar w:top="1247" w:right="1361" w:bottom="1247" w:left="1361" w:header="720" w:footer="720" w:gutter="0"/>
          <w:cols w:space="720" w:num="1"/>
          <w:docGrid w:type="lines" w:linePitch="331" w:charSpace="0"/>
        </w:sectPr>
      </w:pPr>
    </w:p>
    <w:p w14:paraId="27601EA3">
      <w:pPr>
        <w:pStyle w:val="2"/>
      </w:pPr>
      <w:bookmarkStart w:id="32" w:name="_Toc18374"/>
      <w:r>
        <w:rPr>
          <w:rFonts w:hint="eastAsia" w:cs="宋体"/>
        </w:rPr>
        <w:t>第三章</w:t>
      </w:r>
      <w:r>
        <w:t xml:space="preserve"> </w:t>
      </w:r>
      <w:r>
        <w:rPr>
          <w:rFonts w:hint="eastAsia" w:cs="宋体"/>
        </w:rPr>
        <w:t>供应商须知</w:t>
      </w:r>
      <w:bookmarkEnd w:id="32"/>
    </w:p>
    <w:p w14:paraId="0E16DB6F">
      <w:pPr>
        <w:spacing w:line="700" w:lineRule="exact"/>
        <w:jc w:val="center"/>
        <w:outlineLvl w:val="1"/>
        <w:rPr>
          <w:rFonts w:ascii="宋体" w:hAnsi="宋体" w:eastAsia="宋体" w:cs="Times New Roman"/>
          <w:b/>
          <w:bCs/>
          <w:sz w:val="30"/>
          <w:szCs w:val="30"/>
        </w:rPr>
      </w:pPr>
      <w:bookmarkStart w:id="33" w:name="_Toc137571885"/>
      <w:bookmarkStart w:id="34" w:name="_Toc12961"/>
      <w:bookmarkStart w:id="35" w:name="_Toc144977161"/>
      <w:r>
        <w:rPr>
          <w:rFonts w:hint="eastAsia" w:ascii="宋体" w:hAnsi="宋体" w:eastAsia="宋体" w:cs="宋体"/>
          <w:b/>
          <w:bCs/>
          <w:sz w:val="30"/>
          <w:szCs w:val="30"/>
        </w:rPr>
        <w:t>第一节</w:t>
      </w:r>
      <w:r>
        <w:rPr>
          <w:rFonts w:ascii="宋体" w:hAnsi="宋体" w:eastAsia="宋体" w:cs="宋体"/>
          <w:b/>
          <w:bCs/>
          <w:sz w:val="30"/>
          <w:szCs w:val="30"/>
        </w:rPr>
        <w:t xml:space="preserve"> </w:t>
      </w:r>
      <w:r>
        <w:rPr>
          <w:rFonts w:hint="eastAsia" w:ascii="宋体" w:hAnsi="宋体" w:eastAsia="宋体" w:cs="宋体"/>
          <w:b/>
          <w:bCs/>
          <w:sz w:val="30"/>
          <w:szCs w:val="30"/>
        </w:rPr>
        <w:t>供应商须知前附表</w:t>
      </w:r>
      <w:bookmarkEnd w:id="33"/>
      <w:bookmarkEnd w:id="34"/>
      <w:bookmarkEnd w:id="35"/>
    </w:p>
    <w:tbl>
      <w:tblPr>
        <w:tblStyle w:val="44"/>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
        <w:gridCol w:w="2553"/>
        <w:gridCol w:w="6850"/>
      </w:tblGrid>
      <w:tr w14:paraId="74923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57" w:type="dxa"/>
            <w:vAlign w:val="center"/>
          </w:tcPr>
          <w:p w14:paraId="150662A7">
            <w:pPr>
              <w:spacing w:line="500" w:lineRule="exact"/>
              <w:jc w:val="center"/>
              <w:rPr>
                <w:rFonts w:ascii="宋体" w:hAnsi="宋体" w:eastAsia="宋体" w:cs="Times New Roman"/>
                <w:b/>
                <w:bCs/>
              </w:rPr>
            </w:pPr>
            <w:r>
              <w:rPr>
                <w:rFonts w:hint="eastAsia" w:ascii="宋体" w:hAnsi="宋体" w:eastAsia="宋体" w:cs="宋体"/>
                <w:b/>
                <w:bCs/>
              </w:rPr>
              <w:t>条款号</w:t>
            </w:r>
          </w:p>
        </w:tc>
        <w:tc>
          <w:tcPr>
            <w:tcW w:w="2553" w:type="dxa"/>
            <w:vAlign w:val="center"/>
          </w:tcPr>
          <w:p w14:paraId="788D5F99">
            <w:pPr>
              <w:spacing w:line="500" w:lineRule="exact"/>
              <w:jc w:val="center"/>
              <w:rPr>
                <w:rFonts w:ascii="宋体" w:hAnsi="宋体" w:eastAsia="宋体" w:cs="Times New Roman"/>
                <w:b/>
                <w:bCs/>
              </w:rPr>
            </w:pPr>
            <w:r>
              <w:rPr>
                <w:rFonts w:hint="eastAsia" w:ascii="宋体" w:hAnsi="宋体" w:eastAsia="宋体" w:cs="宋体"/>
                <w:b/>
                <w:bCs/>
              </w:rPr>
              <w:t>条款内容</w:t>
            </w:r>
          </w:p>
        </w:tc>
        <w:tc>
          <w:tcPr>
            <w:tcW w:w="6850" w:type="dxa"/>
            <w:vAlign w:val="center"/>
          </w:tcPr>
          <w:p w14:paraId="384B77E7">
            <w:pPr>
              <w:spacing w:line="500" w:lineRule="exact"/>
              <w:jc w:val="center"/>
              <w:rPr>
                <w:rFonts w:ascii="宋体" w:hAnsi="宋体" w:eastAsia="宋体" w:cs="Times New Roman"/>
                <w:b/>
                <w:bCs/>
              </w:rPr>
            </w:pPr>
            <w:r>
              <w:rPr>
                <w:rFonts w:hint="eastAsia" w:ascii="宋体" w:hAnsi="宋体" w:eastAsia="宋体" w:cs="宋体"/>
                <w:b/>
                <w:bCs/>
              </w:rPr>
              <w:t>具体要求</w:t>
            </w:r>
          </w:p>
        </w:tc>
      </w:tr>
      <w:tr w14:paraId="4A5F2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00ADE012">
            <w:pPr>
              <w:spacing w:line="500" w:lineRule="exact"/>
              <w:jc w:val="center"/>
              <w:rPr>
                <w:rFonts w:ascii="宋体" w:hAnsi="宋体" w:eastAsia="宋体" w:cs="宋体"/>
              </w:rPr>
            </w:pPr>
            <w:r>
              <w:rPr>
                <w:rFonts w:ascii="宋体" w:hAnsi="宋体" w:eastAsia="宋体" w:cs="宋体"/>
              </w:rPr>
              <w:t>3</w:t>
            </w:r>
          </w:p>
        </w:tc>
        <w:tc>
          <w:tcPr>
            <w:tcW w:w="2553" w:type="dxa"/>
            <w:vAlign w:val="center"/>
          </w:tcPr>
          <w:p w14:paraId="6F9DB5B7">
            <w:pPr>
              <w:spacing w:line="500" w:lineRule="exact"/>
              <w:jc w:val="center"/>
              <w:rPr>
                <w:rFonts w:ascii="宋体" w:hAnsi="宋体" w:eastAsia="宋体" w:cs="Times New Roman"/>
              </w:rPr>
            </w:pPr>
            <w:r>
              <w:rPr>
                <w:rFonts w:hint="eastAsia" w:ascii="宋体" w:hAnsi="宋体" w:eastAsia="宋体" w:cs="宋体"/>
              </w:rPr>
              <w:t>供应商资格条件</w:t>
            </w:r>
          </w:p>
        </w:tc>
        <w:tc>
          <w:tcPr>
            <w:tcW w:w="6850" w:type="dxa"/>
            <w:vAlign w:val="center"/>
          </w:tcPr>
          <w:p w14:paraId="4DCE227C">
            <w:pPr>
              <w:spacing w:line="500" w:lineRule="exact"/>
              <w:rPr>
                <w:rFonts w:ascii="宋体" w:hAnsi="宋体" w:eastAsia="宋体" w:cs="Times New Roman"/>
              </w:rPr>
            </w:pPr>
            <w:r>
              <w:rPr>
                <w:rFonts w:hint="eastAsia" w:ascii="宋体" w:hAnsi="宋体" w:eastAsia="宋体" w:cs="宋体"/>
              </w:rPr>
              <w:t>供应商资格条件要求详见公告。</w:t>
            </w:r>
          </w:p>
        </w:tc>
      </w:tr>
      <w:tr w14:paraId="17274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0CA21FD9">
            <w:pPr>
              <w:spacing w:line="500" w:lineRule="exact"/>
              <w:jc w:val="center"/>
              <w:rPr>
                <w:rFonts w:ascii="宋体" w:hAnsi="宋体" w:eastAsia="宋体" w:cs="宋体"/>
              </w:rPr>
            </w:pPr>
            <w:r>
              <w:rPr>
                <w:rFonts w:ascii="宋体" w:hAnsi="宋体" w:eastAsia="宋体" w:cs="宋体"/>
              </w:rPr>
              <w:t>5.1</w:t>
            </w:r>
          </w:p>
        </w:tc>
        <w:tc>
          <w:tcPr>
            <w:tcW w:w="2553" w:type="dxa"/>
            <w:vAlign w:val="center"/>
          </w:tcPr>
          <w:p w14:paraId="0B79AD7F">
            <w:pPr>
              <w:spacing w:line="500" w:lineRule="exact"/>
              <w:jc w:val="center"/>
              <w:rPr>
                <w:rFonts w:ascii="宋体" w:hAnsi="宋体" w:eastAsia="宋体" w:cs="Times New Roman"/>
              </w:rPr>
            </w:pPr>
            <w:r>
              <w:rPr>
                <w:rFonts w:hint="eastAsia" w:ascii="宋体" w:hAnsi="宋体" w:eastAsia="宋体" w:cs="宋体"/>
              </w:rPr>
              <w:t>是否接受联合体竞标</w:t>
            </w:r>
          </w:p>
        </w:tc>
        <w:tc>
          <w:tcPr>
            <w:tcW w:w="6850" w:type="dxa"/>
            <w:vAlign w:val="center"/>
          </w:tcPr>
          <w:p w14:paraId="62A2461E">
            <w:pPr>
              <w:spacing w:line="500" w:lineRule="exact"/>
              <w:rPr>
                <w:rFonts w:ascii="宋体" w:hAnsi="宋体" w:eastAsia="宋体" w:cs="Times New Roman"/>
              </w:rPr>
            </w:pPr>
            <w:r>
              <w:rPr>
                <w:rFonts w:hint="eastAsia" w:ascii="宋体" w:hAnsi="宋体" w:eastAsia="宋体" w:cs="宋体"/>
              </w:rPr>
              <w:t>详见竞争性磋商公告</w:t>
            </w:r>
          </w:p>
        </w:tc>
      </w:tr>
      <w:tr w14:paraId="3FE30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33028E2A">
            <w:pPr>
              <w:spacing w:line="500" w:lineRule="exact"/>
              <w:jc w:val="center"/>
              <w:rPr>
                <w:rFonts w:ascii="宋体" w:hAnsi="宋体" w:eastAsia="宋体" w:cs="宋体"/>
              </w:rPr>
            </w:pPr>
            <w:r>
              <w:rPr>
                <w:rFonts w:ascii="宋体" w:hAnsi="宋体" w:eastAsia="宋体" w:cs="宋体"/>
              </w:rPr>
              <w:t>5.2</w:t>
            </w:r>
          </w:p>
        </w:tc>
        <w:tc>
          <w:tcPr>
            <w:tcW w:w="2553" w:type="dxa"/>
            <w:vAlign w:val="center"/>
          </w:tcPr>
          <w:p w14:paraId="75C25667">
            <w:pPr>
              <w:spacing w:line="500" w:lineRule="exact"/>
              <w:jc w:val="center"/>
              <w:rPr>
                <w:rFonts w:ascii="宋体" w:hAnsi="宋体" w:eastAsia="宋体" w:cs="Times New Roman"/>
              </w:rPr>
            </w:pPr>
            <w:r>
              <w:rPr>
                <w:rFonts w:hint="eastAsia" w:ascii="宋体" w:hAnsi="宋体" w:eastAsia="宋体" w:cs="宋体"/>
              </w:rPr>
              <w:t>联合体竞标要求</w:t>
            </w:r>
          </w:p>
        </w:tc>
        <w:tc>
          <w:tcPr>
            <w:tcW w:w="6850" w:type="dxa"/>
            <w:vAlign w:val="center"/>
          </w:tcPr>
          <w:p w14:paraId="4774FB3D">
            <w:pPr>
              <w:spacing w:line="500" w:lineRule="exact"/>
              <w:rPr>
                <w:rFonts w:ascii="宋体" w:hAnsi="宋体" w:eastAsia="宋体" w:cs="Times New Roman"/>
              </w:rPr>
            </w:pPr>
            <w:r>
              <w:rPr>
                <w:rFonts w:hint="eastAsia" w:ascii="宋体" w:hAnsi="宋体" w:eastAsia="宋体" w:cs="宋体"/>
              </w:rPr>
              <w:t>无。</w:t>
            </w:r>
          </w:p>
        </w:tc>
      </w:tr>
      <w:tr w14:paraId="39155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6258A444">
            <w:pPr>
              <w:spacing w:line="500" w:lineRule="exact"/>
              <w:jc w:val="center"/>
              <w:rPr>
                <w:rFonts w:ascii="宋体" w:hAnsi="宋体" w:eastAsia="宋体" w:cs="宋体"/>
              </w:rPr>
            </w:pPr>
            <w:r>
              <w:rPr>
                <w:rFonts w:ascii="宋体" w:hAnsi="宋体" w:eastAsia="宋体" w:cs="宋体"/>
              </w:rPr>
              <w:t>6.1</w:t>
            </w:r>
          </w:p>
        </w:tc>
        <w:tc>
          <w:tcPr>
            <w:tcW w:w="2553" w:type="dxa"/>
            <w:vAlign w:val="center"/>
          </w:tcPr>
          <w:p w14:paraId="6AF31601">
            <w:pPr>
              <w:spacing w:line="500" w:lineRule="exact"/>
              <w:jc w:val="center"/>
              <w:rPr>
                <w:rFonts w:ascii="宋体" w:hAnsi="宋体" w:eastAsia="宋体" w:cs="Times New Roman"/>
              </w:rPr>
            </w:pPr>
            <w:r>
              <w:rPr>
                <w:rFonts w:hint="eastAsia" w:ascii="宋体" w:hAnsi="宋体" w:eastAsia="宋体" w:cs="宋体"/>
              </w:rPr>
              <w:t>是否允许分包</w:t>
            </w:r>
          </w:p>
        </w:tc>
        <w:tc>
          <w:tcPr>
            <w:tcW w:w="6850" w:type="dxa"/>
            <w:vAlign w:val="center"/>
          </w:tcPr>
          <w:p w14:paraId="3FA07084">
            <w:pPr>
              <w:pStyle w:val="15"/>
              <w:spacing w:line="500" w:lineRule="exact"/>
              <w:rPr>
                <w:rFonts w:ascii="宋体" w:cs="宋体"/>
                <w:kern w:val="2"/>
                <w:sz w:val="21"/>
                <w:szCs w:val="21"/>
              </w:rPr>
            </w:pPr>
            <w:r>
              <w:rPr>
                <w:rFonts w:hint="eastAsia" w:ascii="宋体" w:hAnsi="宋体" w:eastAsia="MS Mincho" w:cs="MS Mincho"/>
                <w:kern w:val="2"/>
                <w:sz w:val="21"/>
                <w:szCs w:val="21"/>
              </w:rPr>
              <w:t>☑</w:t>
            </w:r>
            <w:r>
              <w:rPr>
                <w:rFonts w:hint="eastAsia" w:ascii="宋体" w:hAnsi="宋体" w:cs="宋体"/>
                <w:kern w:val="2"/>
                <w:sz w:val="21"/>
                <w:szCs w:val="21"/>
              </w:rPr>
              <w:t>不允许分包</w:t>
            </w:r>
          </w:p>
          <w:p w14:paraId="22E7DD0B">
            <w:pPr>
              <w:pStyle w:val="15"/>
              <w:spacing w:line="500" w:lineRule="exact"/>
              <w:rPr>
                <w:rFonts w:ascii="宋体" w:cs="宋体"/>
                <w:kern w:val="2"/>
                <w:sz w:val="21"/>
                <w:szCs w:val="21"/>
              </w:rPr>
            </w:pPr>
            <w:r>
              <w:rPr>
                <w:rFonts w:hint="eastAsia" w:ascii="宋体" w:hAnsi="宋体" w:cs="宋体"/>
                <w:kern w:val="2"/>
                <w:sz w:val="21"/>
                <w:szCs w:val="21"/>
              </w:rPr>
              <w:t>□允许分包</w:t>
            </w:r>
          </w:p>
          <w:p w14:paraId="403EA28B">
            <w:pPr>
              <w:pStyle w:val="15"/>
              <w:spacing w:line="500" w:lineRule="exact"/>
              <w:rPr>
                <w:rFonts w:ascii="宋体" w:cs="宋体"/>
                <w:kern w:val="2"/>
                <w:sz w:val="21"/>
                <w:szCs w:val="21"/>
                <w:u w:val="single"/>
              </w:rPr>
            </w:pPr>
            <w:r>
              <w:rPr>
                <w:rFonts w:hint="eastAsia" w:ascii="宋体" w:hAnsi="宋体" w:cs="宋体"/>
                <w:kern w:val="2"/>
                <w:sz w:val="21"/>
                <w:szCs w:val="21"/>
              </w:rPr>
              <w:t>分包内容：</w:t>
            </w:r>
            <w:r>
              <w:rPr>
                <w:rFonts w:ascii="宋体" w:hAnsi="宋体" w:cs="宋体"/>
                <w:kern w:val="2"/>
                <w:sz w:val="21"/>
                <w:szCs w:val="21"/>
                <w:u w:val="single"/>
              </w:rPr>
              <w:t xml:space="preserve">   /  </w:t>
            </w:r>
            <w:r>
              <w:rPr>
                <w:rFonts w:hint="eastAsia" w:ascii="宋体" w:hAnsi="宋体" w:cs="宋体"/>
                <w:kern w:val="2"/>
                <w:sz w:val="21"/>
                <w:szCs w:val="21"/>
                <w:u w:val="single"/>
              </w:rPr>
              <w:t>。</w:t>
            </w:r>
          </w:p>
          <w:p w14:paraId="1C1B54A3">
            <w:pPr>
              <w:pStyle w:val="15"/>
              <w:spacing w:line="500" w:lineRule="exact"/>
              <w:rPr>
                <w:rFonts w:ascii="宋体" w:cs="宋体"/>
                <w:kern w:val="2"/>
                <w:sz w:val="21"/>
                <w:szCs w:val="21"/>
              </w:rPr>
            </w:pPr>
            <w:r>
              <w:rPr>
                <w:rFonts w:hint="eastAsia" w:ascii="宋体" w:hAnsi="宋体" w:cs="宋体"/>
                <w:kern w:val="2"/>
                <w:sz w:val="21"/>
                <w:szCs w:val="21"/>
              </w:rPr>
              <w:t>分包金额或者比例：</w:t>
            </w:r>
            <w:r>
              <w:rPr>
                <w:rFonts w:ascii="宋体" w:hAnsi="宋体" w:cs="宋体"/>
                <w:kern w:val="2"/>
                <w:sz w:val="21"/>
                <w:szCs w:val="21"/>
                <w:u w:val="single"/>
              </w:rPr>
              <w:t xml:space="preserve">    /   </w:t>
            </w:r>
            <w:r>
              <w:rPr>
                <w:rFonts w:hint="eastAsia" w:ascii="宋体" w:hAnsi="宋体" w:cs="宋体"/>
                <w:kern w:val="2"/>
                <w:sz w:val="21"/>
                <w:szCs w:val="21"/>
                <w:u w:val="single"/>
              </w:rPr>
              <w:t>。</w:t>
            </w:r>
          </w:p>
        </w:tc>
      </w:tr>
      <w:tr w14:paraId="09374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16D7ECB2">
            <w:pPr>
              <w:spacing w:line="500" w:lineRule="exact"/>
              <w:jc w:val="center"/>
              <w:rPr>
                <w:rFonts w:ascii="宋体" w:hAnsi="宋体" w:eastAsia="宋体" w:cs="宋体"/>
              </w:rPr>
            </w:pPr>
            <w:r>
              <w:rPr>
                <w:rFonts w:ascii="宋体" w:hAnsi="宋体" w:eastAsia="宋体" w:cs="宋体"/>
              </w:rPr>
              <w:t>12.1.1</w:t>
            </w:r>
          </w:p>
        </w:tc>
        <w:tc>
          <w:tcPr>
            <w:tcW w:w="2553" w:type="dxa"/>
            <w:vAlign w:val="center"/>
          </w:tcPr>
          <w:p w14:paraId="3ED6B705">
            <w:pPr>
              <w:snapToGrid w:val="0"/>
              <w:spacing w:line="500" w:lineRule="exact"/>
              <w:jc w:val="center"/>
              <w:rPr>
                <w:rFonts w:ascii="宋体" w:hAnsi="宋体" w:eastAsia="宋体" w:cs="Times New Roman"/>
                <w:b/>
                <w:bCs/>
              </w:rPr>
            </w:pPr>
            <w:r>
              <w:rPr>
                <w:rFonts w:hint="eastAsia" w:ascii="宋体" w:hAnsi="宋体" w:eastAsia="宋体" w:cs="宋体"/>
                <w:b/>
                <w:bCs/>
              </w:rPr>
              <w:t>资格证明文件组成</w:t>
            </w:r>
          </w:p>
        </w:tc>
        <w:tc>
          <w:tcPr>
            <w:tcW w:w="6850" w:type="dxa"/>
            <w:vAlign w:val="center"/>
          </w:tcPr>
          <w:p w14:paraId="52D7CF84">
            <w:pPr>
              <w:pStyle w:val="15"/>
              <w:spacing w:line="500" w:lineRule="exact"/>
              <w:rPr>
                <w:rFonts w:ascii="宋体" w:cs="宋体"/>
                <w:kern w:val="2"/>
                <w:sz w:val="21"/>
                <w:szCs w:val="21"/>
              </w:rPr>
            </w:pPr>
            <w:r>
              <w:rPr>
                <w:rFonts w:ascii="宋体" w:hAnsi="宋体" w:cs="宋体"/>
                <w:kern w:val="2"/>
                <w:sz w:val="21"/>
                <w:szCs w:val="21"/>
              </w:rPr>
              <w:t>1.</w:t>
            </w:r>
            <w:r>
              <w:rPr>
                <w:rFonts w:hint="eastAsia" w:ascii="宋体" w:hAnsi="宋体" w:cs="宋体"/>
                <w:kern w:val="2"/>
                <w:sz w:val="21"/>
                <w:szCs w:val="21"/>
              </w:rPr>
              <w:t>供应商为法人或者其他组织的提供其营业执照等证明文件（如营业执照或者事业单位法人证书或者执业许可证等），供应商为自然人的提供其身份证复印件；（</w:t>
            </w:r>
            <w:r>
              <w:rPr>
                <w:rFonts w:hint="eastAsia" w:ascii="宋体" w:hAnsi="宋体" w:cs="宋体"/>
                <w:b/>
                <w:bCs/>
                <w:kern w:val="2"/>
                <w:sz w:val="21"/>
                <w:szCs w:val="21"/>
              </w:rPr>
              <w:t>必须提供，否则响应文件按无效响应处理</w:t>
            </w:r>
            <w:r>
              <w:rPr>
                <w:rFonts w:hint="eastAsia" w:ascii="宋体" w:hAnsi="宋体" w:cs="宋体"/>
                <w:kern w:val="2"/>
                <w:sz w:val="21"/>
                <w:szCs w:val="21"/>
              </w:rPr>
              <w:t>）</w:t>
            </w:r>
          </w:p>
          <w:p w14:paraId="46FEE731">
            <w:pPr>
              <w:snapToGrid w:val="0"/>
              <w:spacing w:line="500" w:lineRule="exact"/>
              <w:jc w:val="left"/>
              <w:rPr>
                <w:rFonts w:ascii="宋体" w:hAnsi="宋体" w:eastAsia="宋体" w:cs="Times New Roman"/>
              </w:rPr>
            </w:pPr>
            <w:r>
              <w:rPr>
                <w:rFonts w:ascii="宋体" w:hAnsi="宋体" w:eastAsia="宋体" w:cs="宋体"/>
              </w:rPr>
              <w:t>2.</w:t>
            </w:r>
            <w:r>
              <w:rPr>
                <w:rFonts w:hint="eastAsia" w:ascii="宋体" w:hAnsi="宋体" w:eastAsia="宋体" w:cs="宋体"/>
              </w:rPr>
              <w:t>供应商依法缴纳税收的相关材料：</w:t>
            </w:r>
            <w:r>
              <w:rPr>
                <w:rFonts w:ascii="宋体" w:hAnsi="宋体" w:eastAsia="宋体" w:cs="宋体"/>
                <w:u w:val="single"/>
              </w:rPr>
              <w:t>2025</w:t>
            </w:r>
            <w:r>
              <w:rPr>
                <w:rFonts w:hint="eastAsia" w:ascii="宋体" w:hAnsi="宋体" w:eastAsia="宋体" w:cs="宋体"/>
                <w:u w:val="single"/>
              </w:rPr>
              <w:t>年</w:t>
            </w:r>
            <w:r>
              <w:rPr>
                <w:rFonts w:ascii="宋体" w:hAnsi="宋体" w:eastAsia="宋体" w:cs="宋体"/>
                <w:u w:val="single"/>
              </w:rPr>
              <w:t>10</w:t>
            </w:r>
            <w:r>
              <w:rPr>
                <w:rFonts w:hint="eastAsia" w:ascii="宋体" w:hAnsi="宋体" w:eastAsia="宋体" w:cs="宋体"/>
              </w:rPr>
              <w:t>月至</w:t>
            </w:r>
            <w:r>
              <w:rPr>
                <w:rFonts w:ascii="宋体" w:hAnsi="宋体" w:eastAsia="宋体" w:cs="宋体"/>
                <w:u w:val="single"/>
              </w:rPr>
              <w:t>2026</w:t>
            </w:r>
            <w:r>
              <w:rPr>
                <w:rFonts w:hint="eastAsia" w:ascii="宋体" w:hAnsi="宋体" w:eastAsia="宋体" w:cs="宋体"/>
              </w:rPr>
              <w:t>年</w:t>
            </w:r>
            <w:r>
              <w:rPr>
                <w:rFonts w:ascii="宋体" w:hAnsi="宋体" w:eastAsia="宋体" w:cs="宋体"/>
                <w:u w:val="single"/>
              </w:rPr>
              <w:t>3</w:t>
            </w:r>
            <w:r>
              <w:rPr>
                <w:rFonts w:hint="eastAsia" w:ascii="宋体" w:hAnsi="宋体" w:eastAsia="宋体" w:cs="宋体"/>
              </w:rPr>
              <w:t>月任意</w:t>
            </w:r>
            <w:r>
              <w:rPr>
                <w:rFonts w:ascii="宋体" w:hAnsi="宋体" w:eastAsia="宋体" w:cs="宋体"/>
              </w:rPr>
              <w:t>1</w:t>
            </w:r>
            <w:r>
              <w:rPr>
                <w:rFonts w:hint="eastAsia" w:ascii="宋体" w:hAnsi="宋体" w:eastAsia="宋体" w:cs="宋体"/>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bCs/>
              </w:rPr>
              <w:t>必须提供，否则作无效响应处理</w:t>
            </w:r>
            <w:r>
              <w:rPr>
                <w:rFonts w:hint="eastAsia" w:ascii="宋体" w:hAnsi="宋体" w:eastAsia="宋体" w:cs="宋体"/>
              </w:rPr>
              <w:t>）</w:t>
            </w:r>
          </w:p>
          <w:p w14:paraId="21461B6A">
            <w:pPr>
              <w:snapToGrid w:val="0"/>
              <w:spacing w:line="500" w:lineRule="exact"/>
              <w:jc w:val="left"/>
              <w:rPr>
                <w:rFonts w:ascii="宋体" w:hAnsi="宋体" w:eastAsia="宋体" w:cs="Times New Roman"/>
              </w:rPr>
            </w:pPr>
            <w:r>
              <w:rPr>
                <w:rFonts w:ascii="宋体" w:hAnsi="宋体" w:eastAsia="宋体" w:cs="宋体"/>
              </w:rPr>
              <w:t>3.</w:t>
            </w:r>
            <w:r>
              <w:rPr>
                <w:rFonts w:hint="eastAsia" w:ascii="宋体" w:hAnsi="宋体" w:eastAsia="宋体" w:cs="宋体"/>
              </w:rPr>
              <w:t>供应商依法缴纳社会保障资金的相关材料：</w:t>
            </w:r>
            <w:r>
              <w:rPr>
                <w:rFonts w:ascii="宋体" w:hAnsi="宋体" w:eastAsia="宋体" w:cs="宋体"/>
                <w:u w:val="single"/>
              </w:rPr>
              <w:t>2025</w:t>
            </w:r>
            <w:r>
              <w:rPr>
                <w:rFonts w:hint="eastAsia" w:ascii="宋体" w:hAnsi="宋体" w:eastAsia="宋体" w:cs="宋体"/>
                <w:u w:val="single"/>
              </w:rPr>
              <w:t>年</w:t>
            </w:r>
            <w:r>
              <w:rPr>
                <w:rFonts w:ascii="宋体" w:hAnsi="宋体" w:eastAsia="宋体" w:cs="宋体"/>
                <w:u w:val="single"/>
              </w:rPr>
              <w:t>10</w:t>
            </w:r>
            <w:r>
              <w:rPr>
                <w:rFonts w:hint="eastAsia" w:ascii="宋体" w:hAnsi="宋体" w:eastAsia="宋体" w:cs="宋体"/>
              </w:rPr>
              <w:t>月至</w:t>
            </w:r>
            <w:r>
              <w:rPr>
                <w:rFonts w:ascii="宋体" w:hAnsi="宋体" w:eastAsia="宋体" w:cs="宋体"/>
                <w:u w:val="single"/>
              </w:rPr>
              <w:t>2026</w:t>
            </w:r>
            <w:r>
              <w:rPr>
                <w:rFonts w:hint="eastAsia" w:ascii="宋体" w:hAnsi="宋体" w:eastAsia="宋体" w:cs="宋体"/>
              </w:rPr>
              <w:t>年</w:t>
            </w:r>
            <w:r>
              <w:rPr>
                <w:rFonts w:ascii="宋体" w:hAnsi="宋体" w:eastAsia="宋体" w:cs="宋体"/>
                <w:u w:val="single"/>
              </w:rPr>
              <w:t>3</w:t>
            </w:r>
            <w:r>
              <w:rPr>
                <w:rFonts w:hint="eastAsia" w:ascii="宋体" w:hAnsi="宋体" w:eastAsia="宋体" w:cs="宋体"/>
              </w:rPr>
              <w:t>月任意</w:t>
            </w:r>
            <w:r>
              <w:rPr>
                <w:rFonts w:ascii="宋体" w:hAnsi="宋体" w:eastAsia="宋体" w:cs="宋体"/>
              </w:rPr>
              <w:t>1</w:t>
            </w:r>
            <w:r>
              <w:rPr>
                <w:rFonts w:hint="eastAsia" w:ascii="宋体" w:hAnsi="宋体" w:eastAsia="宋体" w:cs="宋体"/>
              </w:rPr>
              <w:t>个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ascii="宋体" w:hAnsi="宋体" w:eastAsia="宋体" w:cs="宋体"/>
              </w:rPr>
              <w:t>]</w:t>
            </w:r>
            <w:r>
              <w:rPr>
                <w:rFonts w:hint="eastAsia" w:ascii="宋体" w:hAnsi="宋体" w:eastAsia="宋体" w:cs="宋体"/>
              </w:rPr>
              <w:t>；（</w:t>
            </w:r>
            <w:r>
              <w:rPr>
                <w:rFonts w:hint="eastAsia" w:ascii="宋体" w:hAnsi="宋体" w:eastAsia="宋体" w:cs="宋体"/>
                <w:b/>
                <w:bCs/>
              </w:rPr>
              <w:t>必须提供，否则响应文件按无效响应处理</w:t>
            </w:r>
            <w:r>
              <w:rPr>
                <w:rFonts w:hint="eastAsia" w:ascii="宋体" w:hAnsi="宋体" w:eastAsia="宋体" w:cs="宋体"/>
              </w:rPr>
              <w:t>）</w:t>
            </w:r>
          </w:p>
          <w:p w14:paraId="41204F0F">
            <w:pPr>
              <w:autoSpaceDE w:val="0"/>
              <w:autoSpaceDN w:val="0"/>
              <w:adjustRightInd w:val="0"/>
              <w:spacing w:line="500" w:lineRule="exact"/>
              <w:jc w:val="left"/>
              <w:rPr>
                <w:rFonts w:ascii="宋体" w:hAnsi="宋体" w:eastAsia="宋体" w:cs="Times New Roman"/>
                <w:b/>
                <w:bCs/>
              </w:rPr>
            </w:pPr>
            <w:r>
              <w:rPr>
                <w:rFonts w:ascii="宋体" w:hAnsi="宋体" w:eastAsia="宋体" w:cs="宋体"/>
              </w:rPr>
              <w:t>4.</w:t>
            </w:r>
            <w:r>
              <w:rPr>
                <w:rFonts w:hint="eastAsia" w:ascii="宋体" w:hAnsi="宋体" w:eastAsia="宋体" w:cs="宋体"/>
              </w:rPr>
              <w:t>供应商财务状况报告：供应商</w:t>
            </w:r>
            <w:r>
              <w:rPr>
                <w:rFonts w:ascii="宋体" w:hAnsi="宋体" w:eastAsia="宋体" w:cs="宋体"/>
              </w:rPr>
              <w:t>2024</w:t>
            </w:r>
            <w:r>
              <w:rPr>
                <w:rFonts w:hint="eastAsia" w:ascii="宋体" w:hAnsi="宋体" w:eastAsia="宋体" w:cs="宋体"/>
              </w:rPr>
              <w:t>或</w:t>
            </w:r>
            <w:r>
              <w:rPr>
                <w:rFonts w:ascii="宋体" w:hAnsi="宋体" w:eastAsia="宋体" w:cs="宋体"/>
              </w:rPr>
              <w:t>2025</w:t>
            </w:r>
            <w:r>
              <w:rPr>
                <w:rFonts w:hint="eastAsia" w:ascii="宋体" w:hAnsi="宋体" w:eastAsia="宋体" w:cs="宋体"/>
              </w:rPr>
              <w:t>年度财务状况报告复印件，如供应商为投标当年新成立公司的，应提供于公司成立之日后的财务状况报告（报表）。其中，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bCs/>
                <w:kern w:val="0"/>
              </w:rPr>
              <w:t>（除自然人外必须提供，</w:t>
            </w:r>
            <w:r>
              <w:rPr>
                <w:rFonts w:hint="eastAsia" w:ascii="宋体" w:hAnsi="宋体" w:eastAsia="宋体" w:cs="宋体"/>
                <w:b/>
                <w:bCs/>
              </w:rPr>
              <w:t>否则响应文件按无效响应处理）</w:t>
            </w:r>
          </w:p>
          <w:p w14:paraId="609E2BAF">
            <w:pPr>
              <w:snapToGrid w:val="0"/>
              <w:spacing w:line="500" w:lineRule="exact"/>
              <w:jc w:val="left"/>
              <w:rPr>
                <w:rFonts w:ascii="宋体" w:hAnsi="宋体" w:eastAsia="宋体" w:cs="Times New Roman"/>
              </w:rPr>
            </w:pPr>
            <w:r>
              <w:rPr>
                <w:rFonts w:ascii="宋体" w:hAnsi="宋体" w:eastAsia="宋体" w:cs="宋体"/>
              </w:rPr>
              <w:t>5.</w:t>
            </w:r>
            <w:r>
              <w:rPr>
                <w:rFonts w:hint="eastAsia" w:ascii="宋体" w:hAnsi="宋体" w:eastAsia="宋体" w:cs="宋体"/>
              </w:rPr>
              <w:t>供应商直接控股、管理关系信息表；（格式后附</w:t>
            </w:r>
            <w:r>
              <w:rPr>
                <w:rFonts w:ascii="宋体" w:hAnsi="宋体" w:eastAsia="宋体" w:cs="宋体"/>
              </w:rPr>
              <w:t xml:space="preserve"> </w:t>
            </w:r>
            <w:r>
              <w:rPr>
                <w:rFonts w:hint="eastAsia" w:ascii="宋体" w:hAnsi="宋体" w:eastAsia="宋体" w:cs="宋体"/>
              </w:rPr>
              <w:t>）（</w:t>
            </w:r>
            <w:r>
              <w:rPr>
                <w:rFonts w:hint="eastAsia" w:ascii="宋体" w:hAnsi="宋体" w:eastAsia="宋体" w:cs="宋体"/>
                <w:b/>
                <w:bCs/>
              </w:rPr>
              <w:t>必须提供，否则响应文件按无效响应处理</w:t>
            </w:r>
            <w:r>
              <w:rPr>
                <w:rFonts w:hint="eastAsia" w:ascii="宋体" w:hAnsi="宋体" w:eastAsia="宋体" w:cs="宋体"/>
              </w:rPr>
              <w:t>）</w:t>
            </w:r>
          </w:p>
          <w:p w14:paraId="6D082C03">
            <w:pPr>
              <w:snapToGrid w:val="0"/>
              <w:spacing w:line="500" w:lineRule="exact"/>
              <w:jc w:val="left"/>
              <w:rPr>
                <w:rFonts w:ascii="宋体" w:hAnsi="宋体" w:eastAsia="宋体" w:cs="Times New Roman"/>
              </w:rPr>
            </w:pPr>
            <w:r>
              <w:rPr>
                <w:rFonts w:ascii="宋体" w:hAnsi="宋体" w:eastAsia="宋体" w:cs="宋体"/>
              </w:rPr>
              <w:t>6.</w:t>
            </w:r>
            <w:r>
              <w:rPr>
                <w:rFonts w:hint="eastAsia" w:ascii="宋体" w:hAnsi="宋体" w:eastAsia="宋体" w:cs="宋体"/>
              </w:rPr>
              <w:t>资格声明函；（格式后附）（</w:t>
            </w:r>
            <w:r>
              <w:rPr>
                <w:rFonts w:hint="eastAsia" w:ascii="宋体" w:hAnsi="宋体" w:eastAsia="宋体" w:cs="宋体"/>
                <w:b/>
                <w:bCs/>
              </w:rPr>
              <w:t>必须提供，否则响应文件按无效响应处理</w:t>
            </w:r>
            <w:r>
              <w:rPr>
                <w:rFonts w:hint="eastAsia" w:ascii="宋体" w:hAnsi="宋体" w:eastAsia="宋体" w:cs="宋体"/>
              </w:rPr>
              <w:t>）</w:t>
            </w:r>
          </w:p>
          <w:p w14:paraId="51711660">
            <w:pPr>
              <w:pStyle w:val="15"/>
              <w:spacing w:line="500" w:lineRule="exact"/>
              <w:rPr>
                <w:rFonts w:ascii="宋体" w:cs="宋体"/>
                <w:kern w:val="2"/>
                <w:sz w:val="21"/>
                <w:szCs w:val="21"/>
              </w:rPr>
            </w:pPr>
            <w:r>
              <w:rPr>
                <w:rFonts w:ascii="宋体" w:hAnsi="宋体" w:cs="宋体"/>
                <w:sz w:val="21"/>
                <w:szCs w:val="21"/>
              </w:rPr>
              <w:t>7.</w:t>
            </w:r>
            <w:r>
              <w:rPr>
                <w:rFonts w:hint="eastAsia" w:ascii="宋体" w:hAnsi="宋体" w:cs="宋体"/>
                <w:kern w:val="2"/>
                <w:sz w:val="21"/>
                <w:szCs w:val="21"/>
              </w:rPr>
              <w:t>资质证明复印件、安全生产许可证复印件及拟派本项目项目经理具备水利水电工程类专业注册建造师贰级以上（含贰级）注册证书扫描件及有效的安全生产考核合格证书（</w:t>
            </w:r>
            <w:r>
              <w:rPr>
                <w:rFonts w:ascii="宋体" w:hAnsi="宋体" w:cs="宋体"/>
                <w:kern w:val="2"/>
                <w:sz w:val="21"/>
                <w:szCs w:val="21"/>
              </w:rPr>
              <w:t>B</w:t>
            </w:r>
            <w:r>
              <w:rPr>
                <w:rFonts w:hint="eastAsia" w:ascii="宋体" w:hAnsi="宋体" w:cs="宋体"/>
                <w:kern w:val="2"/>
                <w:sz w:val="21"/>
                <w:szCs w:val="21"/>
              </w:rPr>
              <w:t>类）证书扫描件；拟派本项目技术负责人持有中级或中级以上技术职称，专业是水利水电工程类专业；拟派本项目质量管理员持有初级或初级以上技术职称，专业是水利水电工程类专业；拟派本项目安全管理员：持有省级或省级以上水行政主管部门或其授权部门（机构）颁发的</w:t>
            </w:r>
            <w:r>
              <w:rPr>
                <w:rFonts w:ascii="宋体" w:hAnsi="宋体" w:cs="宋体"/>
                <w:kern w:val="2"/>
                <w:sz w:val="21"/>
                <w:szCs w:val="21"/>
              </w:rPr>
              <w:t>c</w:t>
            </w:r>
            <w:r>
              <w:rPr>
                <w:rFonts w:hint="eastAsia" w:ascii="宋体" w:hAnsi="宋体" w:cs="宋体"/>
                <w:kern w:val="2"/>
                <w:sz w:val="21"/>
                <w:szCs w:val="21"/>
              </w:rPr>
              <w:t>类安全生产考核合格证书。</w:t>
            </w:r>
          </w:p>
          <w:p w14:paraId="39B30444">
            <w:pPr>
              <w:pStyle w:val="15"/>
              <w:spacing w:line="500" w:lineRule="exact"/>
              <w:rPr>
                <w:rFonts w:ascii="宋体" w:cs="宋体"/>
                <w:kern w:val="2"/>
                <w:sz w:val="21"/>
                <w:szCs w:val="21"/>
              </w:rPr>
            </w:pPr>
            <w:r>
              <w:rPr>
                <w:rFonts w:hint="eastAsia" w:ascii="宋体" w:hAnsi="宋体" w:cs="宋体"/>
                <w:kern w:val="2"/>
                <w:sz w:val="21"/>
                <w:szCs w:val="21"/>
              </w:rPr>
              <w:t>（</w:t>
            </w:r>
            <w:r>
              <w:rPr>
                <w:rFonts w:hint="eastAsia" w:ascii="宋体" w:hAnsi="宋体" w:cs="宋体"/>
                <w:b/>
                <w:bCs/>
                <w:kern w:val="2"/>
                <w:sz w:val="21"/>
                <w:szCs w:val="21"/>
              </w:rPr>
              <w:t>必须提供，否则响应文件按无效响应处理</w:t>
            </w:r>
            <w:r>
              <w:rPr>
                <w:rFonts w:hint="eastAsia" w:ascii="宋体" w:hAnsi="宋体" w:cs="宋体"/>
                <w:kern w:val="2"/>
                <w:sz w:val="21"/>
                <w:szCs w:val="21"/>
              </w:rPr>
              <w:t>）</w:t>
            </w:r>
          </w:p>
          <w:p w14:paraId="2444BF78">
            <w:pPr>
              <w:pStyle w:val="15"/>
              <w:spacing w:line="500" w:lineRule="exact"/>
              <w:rPr>
                <w:rFonts w:ascii="宋体" w:cs="宋体"/>
                <w:kern w:val="2"/>
                <w:sz w:val="21"/>
                <w:szCs w:val="21"/>
              </w:rPr>
            </w:pPr>
            <w:r>
              <w:rPr>
                <w:rFonts w:ascii="宋体" w:hAnsi="宋体" w:cs="宋体"/>
                <w:kern w:val="2"/>
                <w:sz w:val="21"/>
                <w:szCs w:val="21"/>
              </w:rPr>
              <w:t>8.</w:t>
            </w:r>
            <w:r>
              <w:rPr>
                <w:rFonts w:hint="eastAsia" w:ascii="宋体" w:hAnsi="宋体" w:cs="宋体"/>
                <w:kern w:val="2"/>
                <w:sz w:val="21"/>
                <w:szCs w:val="21"/>
              </w:rPr>
              <w:t>中小企业声明函或者残疾人福利性单位声明函或者供应商属于监狱企业的证明材料（格式后附）；（</w:t>
            </w:r>
            <w:r>
              <w:rPr>
                <w:rFonts w:hint="eastAsia" w:ascii="宋体" w:hAnsi="宋体" w:cs="宋体"/>
                <w:b/>
                <w:bCs/>
                <w:kern w:val="2"/>
                <w:sz w:val="21"/>
                <w:szCs w:val="21"/>
              </w:rPr>
              <w:t>必须提供，否则响应文件按无效响应处理</w:t>
            </w:r>
            <w:r>
              <w:rPr>
                <w:rFonts w:hint="eastAsia" w:ascii="宋体" w:hAnsi="宋体" w:cs="宋体"/>
                <w:kern w:val="2"/>
                <w:sz w:val="21"/>
                <w:szCs w:val="21"/>
              </w:rPr>
              <w:t>）</w:t>
            </w:r>
          </w:p>
          <w:p w14:paraId="52A11D08">
            <w:pPr>
              <w:snapToGrid w:val="0"/>
              <w:spacing w:line="500" w:lineRule="exact"/>
              <w:jc w:val="left"/>
              <w:rPr>
                <w:rFonts w:ascii="宋体" w:hAnsi="宋体" w:eastAsia="宋体" w:cs="Times New Roman"/>
              </w:rPr>
            </w:pPr>
            <w:r>
              <w:rPr>
                <w:rFonts w:ascii="宋体" w:hAnsi="宋体" w:eastAsia="宋体" w:cs="宋体"/>
              </w:rPr>
              <w:t>9.</w:t>
            </w:r>
            <w:r>
              <w:rPr>
                <w:rFonts w:hint="eastAsia" w:ascii="宋体" w:hAnsi="宋体" w:eastAsia="宋体" w:cs="宋体"/>
              </w:rPr>
              <w:t>除磋商文件规定必须提供以外，供应商认为需要提供的其他证明材料。</w:t>
            </w:r>
          </w:p>
          <w:p w14:paraId="3B62E5E0">
            <w:pPr>
              <w:snapToGrid w:val="0"/>
              <w:spacing w:line="500" w:lineRule="exact"/>
              <w:jc w:val="left"/>
              <w:rPr>
                <w:rFonts w:ascii="宋体" w:hAnsi="宋体" w:eastAsia="宋体" w:cs="Times New Roman"/>
                <w:b/>
                <w:bCs/>
              </w:rPr>
            </w:pPr>
            <w:r>
              <w:rPr>
                <w:rFonts w:hint="eastAsia" w:ascii="宋体" w:hAnsi="宋体" w:eastAsia="宋体" w:cs="宋体"/>
                <w:b/>
                <w:bCs/>
              </w:rPr>
              <w:t>注：</w:t>
            </w:r>
          </w:p>
          <w:p w14:paraId="208FD928">
            <w:pPr>
              <w:snapToGrid w:val="0"/>
              <w:spacing w:line="500" w:lineRule="exact"/>
              <w:ind w:firstLine="413" w:firstLineChars="196"/>
              <w:jc w:val="left"/>
              <w:rPr>
                <w:rFonts w:ascii="宋体" w:hAnsi="宋体" w:eastAsia="宋体" w:cs="Times New Roman"/>
                <w:b/>
                <w:bCs/>
              </w:rPr>
            </w:pPr>
            <w:r>
              <w:rPr>
                <w:rFonts w:ascii="宋体" w:hAnsi="宋体" w:eastAsia="宋体" w:cs="宋体"/>
                <w:b/>
                <w:bCs/>
              </w:rPr>
              <w:t>1.</w:t>
            </w:r>
            <w:r>
              <w:rPr>
                <w:rFonts w:hint="eastAsia" w:ascii="宋体" w:hAnsi="宋体" w:eastAsia="宋体" w:cs="宋体"/>
                <w:b/>
                <w:bCs/>
              </w:rPr>
              <w:t>以上标明“必须提供”的材料属于复印件的，必须加盖供应商电子公章，否则响应文件按无效响应处理。</w:t>
            </w:r>
          </w:p>
        </w:tc>
      </w:tr>
      <w:tr w14:paraId="6F204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Merge w:val="restart"/>
            <w:vAlign w:val="center"/>
          </w:tcPr>
          <w:p w14:paraId="6A4FEA19">
            <w:pPr>
              <w:spacing w:line="500" w:lineRule="exact"/>
              <w:jc w:val="center"/>
              <w:rPr>
                <w:rFonts w:ascii="宋体" w:hAnsi="宋体" w:eastAsia="宋体" w:cs="宋体"/>
              </w:rPr>
            </w:pPr>
            <w:r>
              <w:rPr>
                <w:rFonts w:ascii="宋体" w:hAnsi="宋体" w:eastAsia="宋体" w:cs="宋体"/>
              </w:rPr>
              <w:t>12.1.2</w:t>
            </w:r>
          </w:p>
        </w:tc>
        <w:tc>
          <w:tcPr>
            <w:tcW w:w="2553" w:type="dxa"/>
            <w:vAlign w:val="center"/>
          </w:tcPr>
          <w:p w14:paraId="0D918AA5">
            <w:pPr>
              <w:spacing w:line="500" w:lineRule="exact"/>
              <w:jc w:val="center"/>
              <w:rPr>
                <w:rFonts w:ascii="宋体" w:hAnsi="宋体" w:eastAsia="宋体" w:cs="Times New Roman"/>
                <w:b/>
                <w:bCs/>
              </w:rPr>
            </w:pPr>
            <w:r>
              <w:rPr>
                <w:rFonts w:hint="eastAsia" w:ascii="宋体" w:hAnsi="宋体" w:eastAsia="宋体" w:cs="宋体"/>
                <w:b/>
                <w:bCs/>
              </w:rPr>
              <w:t>商务文件组成</w:t>
            </w:r>
          </w:p>
        </w:tc>
        <w:tc>
          <w:tcPr>
            <w:tcW w:w="6850" w:type="dxa"/>
            <w:vAlign w:val="center"/>
          </w:tcPr>
          <w:p w14:paraId="3B5D72AE">
            <w:pPr>
              <w:spacing w:line="500" w:lineRule="exact"/>
              <w:rPr>
                <w:rFonts w:ascii="宋体" w:hAnsi="宋体" w:eastAsia="宋体" w:cs="Times New Roman"/>
              </w:rPr>
            </w:pPr>
            <w:r>
              <w:rPr>
                <w:rFonts w:ascii="宋体" w:hAnsi="宋体" w:eastAsia="宋体" w:cs="宋体"/>
              </w:rPr>
              <w:t>1.</w:t>
            </w:r>
            <w:r>
              <w:rPr>
                <w:rFonts w:hint="eastAsia" w:ascii="宋体" w:hAnsi="宋体" w:eastAsia="宋体" w:cs="宋体"/>
              </w:rPr>
              <w:t>无串通竞标行为的承诺函（格式后附）；（</w:t>
            </w:r>
            <w:r>
              <w:rPr>
                <w:rFonts w:hint="eastAsia" w:ascii="宋体" w:hAnsi="宋体" w:eastAsia="宋体" w:cs="宋体"/>
                <w:b/>
                <w:bCs/>
              </w:rPr>
              <w:t>必须提供，否则响应文件按无效响应处理</w:t>
            </w:r>
            <w:r>
              <w:rPr>
                <w:rFonts w:hint="eastAsia" w:ascii="宋体" w:hAnsi="宋体" w:eastAsia="宋体" w:cs="宋体"/>
              </w:rPr>
              <w:t>）</w:t>
            </w:r>
          </w:p>
          <w:p w14:paraId="2278E791">
            <w:pPr>
              <w:snapToGrid w:val="0"/>
              <w:spacing w:line="500" w:lineRule="exact"/>
              <w:jc w:val="left"/>
              <w:rPr>
                <w:rFonts w:ascii="宋体" w:hAnsi="宋体" w:eastAsia="宋体" w:cs="Times New Roman"/>
              </w:rPr>
            </w:pPr>
            <w:r>
              <w:rPr>
                <w:rFonts w:ascii="宋体" w:hAnsi="宋体" w:eastAsia="宋体" w:cs="宋体"/>
              </w:rPr>
              <w:t>2.</w:t>
            </w:r>
            <w:r>
              <w:rPr>
                <w:rFonts w:hint="eastAsia" w:ascii="宋体" w:hAnsi="宋体" w:eastAsia="宋体" w:cs="宋体"/>
              </w:rPr>
              <w:t>法定代表人身份证明书及法定代表人有效身份证正反面复印件（格式后附）；（</w:t>
            </w:r>
            <w:r>
              <w:rPr>
                <w:rFonts w:hint="eastAsia" w:ascii="宋体" w:hAnsi="宋体" w:eastAsia="宋体" w:cs="宋体"/>
                <w:b/>
                <w:bCs/>
              </w:rPr>
              <w:t>除自然人竞标外必须提供，否则响应文件按无效响应处理</w:t>
            </w:r>
            <w:r>
              <w:rPr>
                <w:rFonts w:hint="eastAsia" w:ascii="宋体" w:hAnsi="宋体" w:eastAsia="宋体" w:cs="宋体"/>
              </w:rPr>
              <w:t>）</w:t>
            </w:r>
          </w:p>
          <w:p w14:paraId="49539C6F">
            <w:pPr>
              <w:spacing w:line="500" w:lineRule="exact"/>
              <w:rPr>
                <w:rFonts w:ascii="宋体" w:hAnsi="宋体" w:eastAsia="宋体" w:cs="Times New Roman"/>
                <w:b/>
                <w:bCs/>
              </w:rPr>
            </w:pPr>
            <w:r>
              <w:rPr>
                <w:rFonts w:ascii="宋体" w:hAnsi="宋体" w:eastAsia="宋体" w:cs="宋体"/>
              </w:rPr>
              <w:t>3.</w:t>
            </w:r>
            <w:r>
              <w:rPr>
                <w:rFonts w:hint="eastAsia" w:ascii="宋体" w:hAnsi="宋体" w:eastAsia="宋体" w:cs="宋体"/>
              </w:rPr>
              <w:t>法定代表人授权委托书及委托代理人有效身份证正反面复印件（格式后附）；（</w:t>
            </w:r>
            <w:r>
              <w:rPr>
                <w:rFonts w:hint="eastAsia" w:ascii="宋体" w:hAnsi="宋体" w:eastAsia="宋体" w:cs="宋体"/>
                <w:b/>
                <w:bCs/>
              </w:rPr>
              <w:t>委托时必须提供，否则响应文件按无效响应处理</w:t>
            </w:r>
            <w:r>
              <w:rPr>
                <w:rFonts w:hint="eastAsia" w:ascii="宋体" w:hAnsi="宋体" w:eastAsia="宋体" w:cs="宋体"/>
              </w:rPr>
              <w:t>）</w:t>
            </w:r>
          </w:p>
          <w:p w14:paraId="146301E0">
            <w:pPr>
              <w:spacing w:line="500" w:lineRule="exact"/>
              <w:rPr>
                <w:rFonts w:ascii="宋体" w:hAnsi="宋体" w:eastAsia="宋体" w:cs="Times New Roman"/>
              </w:rPr>
            </w:pPr>
            <w:r>
              <w:rPr>
                <w:rFonts w:ascii="宋体" w:hAnsi="宋体" w:eastAsia="宋体" w:cs="宋体"/>
              </w:rPr>
              <w:t xml:space="preserve">4. </w:t>
            </w:r>
            <w:r>
              <w:rPr>
                <w:rFonts w:hint="eastAsia" w:ascii="宋体" w:hAnsi="宋体" w:eastAsia="宋体" w:cs="宋体"/>
              </w:rPr>
              <w:t>商务条款偏离表（格式后附）；（</w:t>
            </w:r>
            <w:r>
              <w:rPr>
                <w:rFonts w:hint="eastAsia" w:ascii="宋体" w:hAnsi="宋体" w:eastAsia="宋体" w:cs="宋体"/>
                <w:b/>
                <w:bCs/>
              </w:rPr>
              <w:t>必须提供，否则响应文件按无效响应处理</w:t>
            </w:r>
            <w:r>
              <w:rPr>
                <w:rFonts w:hint="eastAsia" w:ascii="宋体" w:hAnsi="宋体" w:eastAsia="宋体" w:cs="宋体"/>
              </w:rPr>
              <w:t>）</w:t>
            </w:r>
          </w:p>
          <w:p w14:paraId="003B8F84">
            <w:pPr>
              <w:spacing w:line="500" w:lineRule="exact"/>
              <w:rPr>
                <w:rFonts w:ascii="宋体" w:hAnsi="宋体" w:eastAsia="宋体" w:cs="宋体"/>
              </w:rPr>
            </w:pPr>
            <w:r>
              <w:rPr>
                <w:rFonts w:ascii="宋体" w:hAnsi="宋体" w:eastAsia="宋体" w:cs="宋体"/>
              </w:rPr>
              <w:t>5.</w:t>
            </w:r>
            <w:r>
              <w:rPr>
                <w:rFonts w:hint="eastAsia" w:ascii="宋体" w:hAnsi="宋体" w:eastAsia="宋体" w:cs="宋体"/>
              </w:rPr>
              <w:t>供应商认为需要提供的其他有关资料。</w:t>
            </w:r>
            <w:r>
              <w:rPr>
                <w:rFonts w:ascii="宋体" w:hAnsi="宋体" w:eastAsia="宋体" w:cs="宋体"/>
              </w:rPr>
              <w:t xml:space="preserve"> </w:t>
            </w:r>
          </w:p>
          <w:p w14:paraId="1BAA692E">
            <w:pPr>
              <w:snapToGrid w:val="0"/>
              <w:spacing w:line="500" w:lineRule="exact"/>
              <w:jc w:val="left"/>
              <w:rPr>
                <w:rFonts w:ascii="宋体" w:hAnsi="宋体" w:eastAsia="宋体" w:cs="Times New Roman"/>
                <w:b/>
                <w:bCs/>
              </w:rPr>
            </w:pPr>
            <w:r>
              <w:rPr>
                <w:rFonts w:hint="eastAsia" w:ascii="宋体" w:hAnsi="宋体" w:eastAsia="宋体" w:cs="宋体"/>
                <w:b/>
                <w:bCs/>
              </w:rPr>
              <w:t>注：</w:t>
            </w:r>
          </w:p>
          <w:p w14:paraId="6B39D077">
            <w:pPr>
              <w:snapToGrid w:val="0"/>
              <w:spacing w:line="500" w:lineRule="exact"/>
              <w:ind w:firstLine="413" w:firstLineChars="196"/>
              <w:jc w:val="left"/>
              <w:rPr>
                <w:rFonts w:ascii="宋体" w:hAnsi="宋体" w:eastAsia="宋体" w:cs="Times New Roman"/>
                <w:b/>
                <w:bCs/>
              </w:rPr>
            </w:pPr>
            <w:r>
              <w:rPr>
                <w:rFonts w:ascii="宋体" w:hAnsi="宋体" w:eastAsia="宋体" w:cs="宋体"/>
                <w:b/>
                <w:bCs/>
              </w:rPr>
              <w:t>1.</w:t>
            </w:r>
            <w:r>
              <w:rPr>
                <w:rFonts w:hint="eastAsia" w:ascii="宋体" w:hAnsi="宋体" w:eastAsia="宋体" w:cs="宋体"/>
                <w:b/>
                <w:bCs/>
              </w:rPr>
              <w:t>法定代表人授权委托书必须由法定代表人及委托代理人签字，并加盖供应商公章，否则响应文件按无效响应处理。</w:t>
            </w:r>
          </w:p>
          <w:p w14:paraId="599AD8BF">
            <w:pPr>
              <w:snapToGrid w:val="0"/>
              <w:spacing w:line="500" w:lineRule="exact"/>
              <w:ind w:firstLine="413" w:firstLineChars="196"/>
              <w:jc w:val="left"/>
              <w:rPr>
                <w:rFonts w:ascii="宋体" w:hAnsi="宋体" w:eastAsia="宋体" w:cs="Times New Roman"/>
              </w:rPr>
            </w:pPr>
            <w:r>
              <w:rPr>
                <w:rFonts w:ascii="宋体" w:hAnsi="宋体" w:eastAsia="宋体" w:cs="宋体"/>
                <w:b/>
                <w:bCs/>
              </w:rPr>
              <w:t>2.</w:t>
            </w:r>
            <w:r>
              <w:rPr>
                <w:rFonts w:hint="eastAsia" w:ascii="宋体" w:hAnsi="宋体" w:eastAsia="宋体" w:cs="宋体"/>
                <w:b/>
                <w:bCs/>
              </w:rPr>
              <w:t>以上标明“必须提供”的材料属于复印件的，必须加盖供应商电子公章，否则响应文件按无效响应处理。</w:t>
            </w:r>
          </w:p>
        </w:tc>
      </w:tr>
      <w:tr w14:paraId="33445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Merge w:val="continue"/>
            <w:vAlign w:val="center"/>
          </w:tcPr>
          <w:p w14:paraId="286B55D5">
            <w:pPr>
              <w:spacing w:line="500" w:lineRule="exact"/>
              <w:jc w:val="center"/>
              <w:rPr>
                <w:rFonts w:ascii="宋体" w:hAnsi="宋体" w:eastAsia="宋体" w:cs="Times New Roman"/>
              </w:rPr>
            </w:pPr>
          </w:p>
        </w:tc>
        <w:tc>
          <w:tcPr>
            <w:tcW w:w="2553" w:type="dxa"/>
            <w:vAlign w:val="center"/>
          </w:tcPr>
          <w:p w14:paraId="0A4A61CF">
            <w:pPr>
              <w:spacing w:line="500" w:lineRule="exact"/>
              <w:jc w:val="center"/>
              <w:rPr>
                <w:rFonts w:ascii="宋体" w:hAnsi="宋体" w:eastAsia="宋体" w:cs="Times New Roman"/>
                <w:b/>
                <w:bCs/>
              </w:rPr>
            </w:pPr>
            <w:r>
              <w:rPr>
                <w:rFonts w:hint="eastAsia" w:ascii="宋体" w:hAnsi="宋体" w:eastAsia="宋体" w:cs="宋体"/>
                <w:b/>
                <w:bCs/>
              </w:rPr>
              <w:t>技术文件组成</w:t>
            </w:r>
          </w:p>
        </w:tc>
        <w:tc>
          <w:tcPr>
            <w:tcW w:w="6850" w:type="dxa"/>
            <w:vAlign w:val="center"/>
          </w:tcPr>
          <w:p w14:paraId="6293A231">
            <w:pPr>
              <w:spacing w:line="500" w:lineRule="exact"/>
              <w:rPr>
                <w:rFonts w:ascii="宋体" w:hAnsi="宋体" w:eastAsia="宋体" w:cs="Times New Roman"/>
              </w:rPr>
            </w:pPr>
            <w:r>
              <w:rPr>
                <w:rFonts w:ascii="宋体" w:hAnsi="宋体" w:eastAsia="宋体" w:cs="宋体"/>
              </w:rPr>
              <w:t>1.</w:t>
            </w:r>
            <w:r>
              <w:rPr>
                <w:rFonts w:hint="eastAsia" w:ascii="宋体" w:hAnsi="宋体" w:eastAsia="宋体" w:cs="宋体"/>
              </w:rPr>
              <w:t>技术偏离表（格式后附）（</w:t>
            </w:r>
            <w:r>
              <w:rPr>
                <w:rFonts w:hint="eastAsia" w:ascii="宋体" w:hAnsi="宋体" w:eastAsia="宋体" w:cs="宋体"/>
                <w:b/>
                <w:bCs/>
              </w:rPr>
              <w:t>必须提供，否则响应文件按无效响应处理</w:t>
            </w:r>
            <w:r>
              <w:rPr>
                <w:rFonts w:hint="eastAsia" w:ascii="宋体" w:hAnsi="宋体" w:eastAsia="宋体" w:cs="宋体"/>
              </w:rPr>
              <w:t>）；</w:t>
            </w:r>
          </w:p>
          <w:p w14:paraId="7D455949">
            <w:pPr>
              <w:spacing w:line="500" w:lineRule="exact"/>
              <w:rPr>
                <w:rFonts w:ascii="宋体" w:hAnsi="宋体" w:eastAsia="宋体" w:cs="Times New Roman"/>
                <w:b/>
                <w:bCs/>
              </w:rPr>
            </w:pPr>
            <w:bookmarkStart w:id="36" w:name="_Hlk106537541"/>
            <w:r>
              <w:rPr>
                <w:rFonts w:ascii="宋体" w:hAnsi="宋体" w:eastAsia="宋体" w:cs="宋体"/>
              </w:rPr>
              <w:t>2.</w:t>
            </w:r>
            <w:r>
              <w:rPr>
                <w:rFonts w:hint="eastAsia" w:ascii="宋体" w:hAnsi="宋体" w:eastAsia="宋体" w:cs="宋体"/>
                <w:kern w:val="0"/>
              </w:rPr>
              <w:t>项目实施方案；（格式自拟）</w:t>
            </w:r>
            <w:r>
              <w:rPr>
                <w:rFonts w:hint="eastAsia" w:ascii="宋体" w:hAnsi="宋体" w:eastAsia="宋体" w:cs="宋体"/>
                <w:b/>
                <w:bCs/>
                <w:kern w:val="0"/>
              </w:rPr>
              <w:t>（必须提供，否则响应文件按无效响应处理）</w:t>
            </w:r>
          </w:p>
          <w:p w14:paraId="3761D681">
            <w:pPr>
              <w:spacing w:line="500" w:lineRule="exact"/>
              <w:rPr>
                <w:rFonts w:ascii="宋体" w:hAnsi="宋体" w:eastAsia="宋体" w:cs="Times New Roman"/>
                <w:b/>
                <w:bCs/>
              </w:rPr>
            </w:pPr>
            <w:r>
              <w:rPr>
                <w:rFonts w:ascii="宋体" w:hAnsi="宋体" w:eastAsia="宋体" w:cs="宋体"/>
              </w:rPr>
              <w:t>3.</w:t>
            </w:r>
            <w:r>
              <w:rPr>
                <w:rFonts w:hint="eastAsia" w:ascii="宋体" w:hAnsi="宋体" w:eastAsia="宋体" w:cs="宋体"/>
              </w:rPr>
              <w:t>项目经理简历表</w:t>
            </w:r>
            <w:bookmarkEnd w:id="36"/>
            <w:r>
              <w:rPr>
                <w:rFonts w:hint="eastAsia" w:ascii="宋体" w:hAnsi="宋体" w:eastAsia="宋体" w:cs="宋体"/>
              </w:rPr>
              <w:t>；</w:t>
            </w:r>
            <w:r>
              <w:rPr>
                <w:rFonts w:hint="eastAsia" w:ascii="宋体" w:hAnsi="宋体" w:eastAsia="宋体" w:cs="宋体"/>
                <w:kern w:val="0"/>
              </w:rPr>
              <w:t>（格式后附）</w:t>
            </w:r>
            <w:r>
              <w:rPr>
                <w:rFonts w:hint="eastAsia" w:ascii="宋体" w:hAnsi="宋体" w:eastAsia="宋体" w:cs="宋体"/>
                <w:b/>
                <w:bCs/>
              </w:rPr>
              <w:t>（必须提供，否则响应文件按无效响应处理）</w:t>
            </w:r>
          </w:p>
          <w:p w14:paraId="2D07CFA6">
            <w:pPr>
              <w:spacing w:line="500" w:lineRule="exact"/>
              <w:rPr>
                <w:rFonts w:ascii="宋体" w:hAnsi="宋体" w:eastAsia="宋体" w:cs="Times New Roman"/>
              </w:rPr>
            </w:pPr>
            <w:r>
              <w:rPr>
                <w:rFonts w:ascii="宋体" w:hAnsi="宋体" w:eastAsia="宋体" w:cs="宋体"/>
              </w:rPr>
              <w:t>4.</w:t>
            </w:r>
            <w:bookmarkStart w:id="37" w:name="_Hlk106537557"/>
            <w:r>
              <w:rPr>
                <w:rFonts w:hint="eastAsia" w:ascii="宋体" w:hAnsi="宋体" w:eastAsia="宋体" w:cs="宋体"/>
              </w:rPr>
              <w:t>项目管理机构配备情况表</w:t>
            </w:r>
            <w:bookmarkEnd w:id="37"/>
            <w:r>
              <w:rPr>
                <w:rFonts w:hint="eastAsia" w:ascii="宋体" w:hAnsi="宋体" w:eastAsia="宋体" w:cs="宋体"/>
              </w:rPr>
              <w:t>；</w:t>
            </w:r>
            <w:r>
              <w:rPr>
                <w:rFonts w:hint="eastAsia" w:ascii="宋体" w:hAnsi="宋体" w:eastAsia="宋体" w:cs="宋体"/>
                <w:kern w:val="0"/>
              </w:rPr>
              <w:t>（格式后附）</w:t>
            </w:r>
            <w:r>
              <w:rPr>
                <w:rFonts w:hint="eastAsia" w:ascii="宋体" w:hAnsi="宋体" w:eastAsia="宋体" w:cs="宋体"/>
              </w:rPr>
              <w:t>（</w:t>
            </w:r>
            <w:r>
              <w:rPr>
                <w:rFonts w:hint="eastAsia" w:ascii="宋体" w:hAnsi="宋体" w:eastAsia="宋体" w:cs="宋体"/>
                <w:b/>
                <w:bCs/>
              </w:rPr>
              <w:t>必须提供，否则响应文件按无效响应处理</w:t>
            </w:r>
            <w:r>
              <w:rPr>
                <w:rFonts w:hint="eastAsia" w:ascii="宋体" w:hAnsi="宋体" w:eastAsia="宋体" w:cs="宋体"/>
              </w:rPr>
              <w:t>）</w:t>
            </w:r>
          </w:p>
          <w:p w14:paraId="22EA7DC6">
            <w:pPr>
              <w:spacing w:line="500" w:lineRule="exact"/>
              <w:rPr>
                <w:rFonts w:ascii="宋体" w:hAnsi="宋体" w:eastAsia="宋体" w:cs="宋体"/>
              </w:rPr>
            </w:pPr>
            <w:r>
              <w:rPr>
                <w:rFonts w:ascii="宋体" w:hAnsi="宋体" w:eastAsia="宋体" w:cs="宋体"/>
              </w:rPr>
              <w:t>5.</w:t>
            </w:r>
            <w:r>
              <w:rPr>
                <w:rFonts w:hint="eastAsia" w:ascii="宋体" w:hAnsi="宋体" w:eastAsia="宋体" w:cs="宋体"/>
              </w:rPr>
              <w:t>供应商认为需要提供的其他有关资料。</w:t>
            </w:r>
            <w:r>
              <w:rPr>
                <w:rFonts w:ascii="宋体" w:hAnsi="宋体" w:eastAsia="宋体" w:cs="宋体"/>
              </w:rPr>
              <w:t xml:space="preserve"> </w:t>
            </w:r>
          </w:p>
          <w:p w14:paraId="55B14733">
            <w:pPr>
              <w:snapToGrid w:val="0"/>
              <w:spacing w:line="500" w:lineRule="exact"/>
              <w:jc w:val="left"/>
              <w:rPr>
                <w:rFonts w:ascii="宋体" w:hAnsi="宋体" w:eastAsia="宋体" w:cs="宋体"/>
                <w:b/>
                <w:bCs/>
              </w:rPr>
            </w:pPr>
            <w:r>
              <w:rPr>
                <w:rFonts w:hint="eastAsia" w:ascii="宋体" w:hAnsi="宋体" w:eastAsia="宋体" w:cs="宋体"/>
                <w:b/>
                <w:bCs/>
              </w:rPr>
              <w:t>注：</w:t>
            </w:r>
            <w:r>
              <w:rPr>
                <w:rFonts w:ascii="宋体" w:hAnsi="宋体" w:eastAsia="宋体" w:cs="宋体"/>
                <w:b/>
                <w:bCs/>
              </w:rPr>
              <w:t xml:space="preserve"> </w:t>
            </w:r>
          </w:p>
          <w:p w14:paraId="305757A0">
            <w:pPr>
              <w:spacing w:line="500" w:lineRule="exact"/>
              <w:rPr>
                <w:rFonts w:ascii="宋体" w:hAnsi="宋体" w:eastAsia="宋体" w:cs="Times New Roman"/>
              </w:rPr>
            </w:pPr>
            <w:r>
              <w:rPr>
                <w:rFonts w:ascii="宋体" w:hAnsi="宋体" w:eastAsia="宋体" w:cs="宋体"/>
                <w:b/>
                <w:bCs/>
              </w:rPr>
              <w:t>1.</w:t>
            </w:r>
            <w:r>
              <w:rPr>
                <w:rFonts w:hint="eastAsia" w:ascii="宋体" w:hAnsi="宋体" w:eastAsia="宋体" w:cs="宋体"/>
                <w:b/>
                <w:bCs/>
              </w:rPr>
              <w:t>以上标明“必须提供”的材料属于复印件，必须加盖供应商电子公章，否则响应文件按无效响应处理。</w:t>
            </w:r>
          </w:p>
        </w:tc>
      </w:tr>
      <w:tr w14:paraId="295B4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4252CC8B">
            <w:pPr>
              <w:spacing w:line="500" w:lineRule="exact"/>
              <w:jc w:val="center"/>
              <w:rPr>
                <w:rFonts w:ascii="宋体" w:hAnsi="宋体" w:eastAsia="宋体" w:cs="宋体"/>
              </w:rPr>
            </w:pPr>
            <w:r>
              <w:rPr>
                <w:rFonts w:ascii="宋体" w:hAnsi="宋体" w:eastAsia="宋体" w:cs="宋体"/>
              </w:rPr>
              <w:t>12.1.3</w:t>
            </w:r>
          </w:p>
        </w:tc>
        <w:tc>
          <w:tcPr>
            <w:tcW w:w="2553" w:type="dxa"/>
            <w:vAlign w:val="center"/>
          </w:tcPr>
          <w:p w14:paraId="008495CB">
            <w:pPr>
              <w:spacing w:line="500" w:lineRule="exact"/>
              <w:jc w:val="center"/>
              <w:rPr>
                <w:rFonts w:ascii="宋体" w:hAnsi="宋体" w:eastAsia="宋体" w:cs="Times New Roman"/>
                <w:b/>
                <w:bCs/>
              </w:rPr>
            </w:pPr>
            <w:r>
              <w:rPr>
                <w:rFonts w:hint="eastAsia" w:ascii="宋体" w:hAnsi="宋体" w:eastAsia="宋体" w:cs="宋体"/>
                <w:b/>
                <w:bCs/>
              </w:rPr>
              <w:t>报价文件组成</w:t>
            </w:r>
          </w:p>
        </w:tc>
        <w:tc>
          <w:tcPr>
            <w:tcW w:w="6850" w:type="dxa"/>
            <w:vAlign w:val="center"/>
          </w:tcPr>
          <w:p w14:paraId="33B0701E">
            <w:pPr>
              <w:tabs>
                <w:tab w:val="left" w:pos="459"/>
              </w:tabs>
              <w:snapToGrid w:val="0"/>
              <w:spacing w:line="500" w:lineRule="exact"/>
              <w:jc w:val="left"/>
              <w:rPr>
                <w:rFonts w:ascii="宋体" w:hAnsi="宋体" w:eastAsia="宋体" w:cs="Times New Roman"/>
              </w:rPr>
            </w:pPr>
            <w:r>
              <w:rPr>
                <w:rFonts w:ascii="宋体" w:hAnsi="宋体" w:eastAsia="宋体" w:cs="宋体"/>
              </w:rPr>
              <w:t>1.</w:t>
            </w:r>
            <w:r>
              <w:rPr>
                <w:rFonts w:hint="eastAsia" w:ascii="宋体" w:hAnsi="宋体" w:eastAsia="宋体" w:cs="宋体"/>
              </w:rPr>
              <w:t>响应函；（格式后附）</w:t>
            </w:r>
            <w:r>
              <w:rPr>
                <w:rFonts w:hint="eastAsia" w:ascii="宋体" w:hAnsi="宋体" w:eastAsia="宋体" w:cs="宋体"/>
                <w:b/>
                <w:bCs/>
              </w:rPr>
              <w:t>（必须提供，否则作无效响应处理）</w:t>
            </w:r>
          </w:p>
          <w:p w14:paraId="2B51C922">
            <w:pPr>
              <w:spacing w:line="500" w:lineRule="exact"/>
              <w:rPr>
                <w:rFonts w:ascii="宋体" w:hAnsi="宋体" w:eastAsia="宋体" w:cs="Times New Roman"/>
              </w:rPr>
            </w:pPr>
            <w:r>
              <w:rPr>
                <w:rFonts w:ascii="宋体" w:hAnsi="宋体" w:eastAsia="宋体" w:cs="宋体"/>
              </w:rPr>
              <w:t>2.</w:t>
            </w:r>
            <w:r>
              <w:rPr>
                <w:rFonts w:hint="eastAsia" w:ascii="宋体" w:hAnsi="宋体" w:eastAsia="宋体" w:cs="宋体"/>
              </w:rPr>
              <w:t>响应报价表；（格式后附）（</w:t>
            </w:r>
            <w:r>
              <w:rPr>
                <w:rFonts w:hint="eastAsia" w:ascii="宋体" w:hAnsi="宋体" w:eastAsia="宋体" w:cs="宋体"/>
                <w:b/>
                <w:bCs/>
              </w:rPr>
              <w:t>必须提供，否则响应文件按无效响应处理</w:t>
            </w:r>
            <w:r>
              <w:rPr>
                <w:rFonts w:hint="eastAsia" w:ascii="宋体" w:hAnsi="宋体" w:eastAsia="宋体" w:cs="宋体"/>
              </w:rPr>
              <w:t>）</w:t>
            </w:r>
          </w:p>
          <w:p w14:paraId="353ACA70">
            <w:pPr>
              <w:spacing w:line="500" w:lineRule="exact"/>
              <w:rPr>
                <w:rFonts w:ascii="宋体" w:hAnsi="宋体" w:eastAsia="宋体" w:cs="Times New Roman"/>
              </w:rPr>
            </w:pPr>
            <w:r>
              <w:rPr>
                <w:rFonts w:ascii="宋体" w:hAnsi="宋体" w:eastAsia="宋体" w:cs="宋体"/>
              </w:rPr>
              <w:t>3.</w:t>
            </w:r>
            <w:r>
              <w:rPr>
                <w:rFonts w:hint="eastAsia" w:ascii="宋体" w:hAnsi="宋体" w:eastAsia="宋体" w:cs="宋体"/>
              </w:rPr>
              <w:t>已标价工程量清单；</w:t>
            </w:r>
            <w:r>
              <w:rPr>
                <w:rFonts w:ascii="宋体" w:hAnsi="宋体" w:eastAsia="宋体" w:cs="宋体"/>
              </w:rPr>
              <w:t>(</w:t>
            </w:r>
            <w:r>
              <w:rPr>
                <w:rFonts w:hint="eastAsia" w:ascii="宋体" w:hAnsi="宋体" w:eastAsia="宋体" w:cs="宋体"/>
                <w:b/>
                <w:bCs/>
              </w:rPr>
              <w:t>必须提供，否则响应文件按无效响应处理</w:t>
            </w:r>
            <w:r>
              <w:rPr>
                <w:rFonts w:hint="eastAsia" w:ascii="宋体" w:hAnsi="宋体" w:eastAsia="宋体" w:cs="宋体"/>
              </w:rPr>
              <w:t>）</w:t>
            </w:r>
          </w:p>
          <w:p w14:paraId="6E453BBB">
            <w:pPr>
              <w:snapToGrid w:val="0"/>
              <w:spacing w:line="500" w:lineRule="exact"/>
              <w:jc w:val="left"/>
              <w:rPr>
                <w:rFonts w:ascii="宋体" w:hAnsi="宋体" w:eastAsia="宋体" w:cs="宋体"/>
                <w:b/>
                <w:bCs/>
              </w:rPr>
            </w:pPr>
            <w:r>
              <w:rPr>
                <w:rFonts w:hint="eastAsia" w:ascii="宋体" w:hAnsi="宋体" w:eastAsia="宋体" w:cs="宋体"/>
                <w:b/>
                <w:bCs/>
              </w:rPr>
              <w:t>注：</w:t>
            </w:r>
            <w:r>
              <w:rPr>
                <w:rFonts w:ascii="宋体" w:hAnsi="宋体" w:eastAsia="宋体" w:cs="宋体"/>
                <w:b/>
                <w:bCs/>
              </w:rPr>
              <w:t xml:space="preserve"> </w:t>
            </w:r>
          </w:p>
          <w:p w14:paraId="1E94A43B">
            <w:pPr>
              <w:snapToGrid w:val="0"/>
              <w:spacing w:line="500" w:lineRule="exact"/>
              <w:jc w:val="left"/>
              <w:rPr>
                <w:rFonts w:ascii="宋体" w:hAnsi="宋体" w:eastAsia="宋体" w:cs="Times New Roman"/>
                <w:b/>
                <w:bCs/>
              </w:rPr>
            </w:pPr>
            <w:r>
              <w:rPr>
                <w:rFonts w:ascii="宋体" w:hAnsi="宋体" w:eastAsia="宋体" w:cs="宋体"/>
                <w:b/>
                <w:bCs/>
              </w:rPr>
              <w:t>1.</w:t>
            </w:r>
            <w:r>
              <w:rPr>
                <w:rFonts w:hint="eastAsia" w:ascii="宋体" w:hAnsi="宋体" w:eastAsia="宋体" w:cs="宋体"/>
                <w:b/>
                <w:bCs/>
              </w:rPr>
              <w:t>以上标明“必须提供”的材料属于复印件，必须加盖供应商电子公章，否则响应文件按无效响应处理。</w:t>
            </w:r>
          </w:p>
        </w:tc>
      </w:tr>
      <w:tr w14:paraId="14CD2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2D740F5E">
            <w:pPr>
              <w:spacing w:line="500" w:lineRule="exact"/>
              <w:jc w:val="center"/>
              <w:rPr>
                <w:rFonts w:ascii="宋体" w:hAnsi="宋体" w:eastAsia="宋体" w:cs="宋体"/>
              </w:rPr>
            </w:pPr>
            <w:r>
              <w:rPr>
                <w:rFonts w:ascii="宋体" w:hAnsi="宋体" w:eastAsia="宋体" w:cs="宋体"/>
              </w:rPr>
              <w:t>12.2</w:t>
            </w:r>
          </w:p>
        </w:tc>
        <w:tc>
          <w:tcPr>
            <w:tcW w:w="2553" w:type="dxa"/>
            <w:vAlign w:val="center"/>
          </w:tcPr>
          <w:p w14:paraId="338619D8">
            <w:pPr>
              <w:spacing w:line="500" w:lineRule="exact"/>
              <w:jc w:val="center"/>
              <w:rPr>
                <w:rFonts w:ascii="宋体" w:hAnsi="宋体" w:eastAsia="宋体" w:cs="Times New Roman"/>
              </w:rPr>
            </w:pPr>
            <w:r>
              <w:rPr>
                <w:rFonts w:hint="eastAsia" w:ascii="宋体" w:hAnsi="宋体" w:eastAsia="宋体" w:cs="宋体"/>
              </w:rPr>
              <w:t>响应文件电子版要求</w:t>
            </w:r>
          </w:p>
        </w:tc>
        <w:tc>
          <w:tcPr>
            <w:tcW w:w="6850" w:type="dxa"/>
            <w:vAlign w:val="center"/>
          </w:tcPr>
          <w:p w14:paraId="197F6781">
            <w:pPr>
              <w:snapToGrid w:val="0"/>
              <w:spacing w:line="500" w:lineRule="exact"/>
              <w:jc w:val="left"/>
              <w:rPr>
                <w:rFonts w:ascii="宋体" w:hAnsi="宋体" w:eastAsia="宋体" w:cs="Times New Roman"/>
              </w:rPr>
            </w:pPr>
            <w:r>
              <w:rPr>
                <w:rFonts w:ascii="宋体" w:hAnsi="宋体" w:eastAsia="宋体" w:cs="宋体"/>
              </w:rPr>
              <w:t>1.</w:t>
            </w:r>
            <w:r>
              <w:rPr>
                <w:rFonts w:hint="eastAsia" w:ascii="宋体" w:hAnsi="宋体" w:eastAsia="宋体" w:cs="宋体"/>
              </w:rPr>
              <w:t>响应文件电子版要求：按照本采购文件“第五章</w:t>
            </w:r>
            <w:r>
              <w:rPr>
                <w:rFonts w:ascii="宋体" w:hAnsi="宋体" w:eastAsia="宋体" w:cs="宋体"/>
              </w:rPr>
              <w:t xml:space="preserve"> </w:t>
            </w:r>
            <w:r>
              <w:rPr>
                <w:rFonts w:hint="eastAsia" w:ascii="宋体" w:hAnsi="宋体" w:eastAsia="宋体" w:cs="宋体"/>
              </w:rPr>
              <w:t>响应文件格式”编写（第五章未附格式的，由供应商自行拟定），</w:t>
            </w:r>
            <w:r>
              <w:rPr>
                <w:rFonts w:hint="eastAsia" w:ascii="宋体" w:hAnsi="宋体" w:eastAsia="宋体" w:cs="宋体"/>
                <w:b/>
                <w:bCs/>
              </w:rPr>
              <w:t>不可涂改并在规定加盖公章处加盖电子公章，否则响应文件按无效响应处理。</w:t>
            </w:r>
          </w:p>
          <w:p w14:paraId="0C8EEE67">
            <w:pPr>
              <w:snapToGrid w:val="0"/>
              <w:spacing w:line="500" w:lineRule="exact"/>
              <w:jc w:val="left"/>
              <w:rPr>
                <w:rFonts w:ascii="宋体" w:hAnsi="宋体" w:eastAsia="宋体" w:cs="Times New Roman"/>
              </w:rPr>
            </w:pPr>
            <w:r>
              <w:rPr>
                <w:rFonts w:ascii="宋体" w:hAnsi="宋体" w:eastAsia="宋体" w:cs="宋体"/>
              </w:rPr>
              <w:t>2.</w:t>
            </w:r>
            <w:r>
              <w:rPr>
                <w:rFonts w:hint="eastAsia" w:ascii="宋体" w:hAnsi="宋体" w:eastAsia="宋体" w:cs="宋体"/>
              </w:rPr>
              <w:t>响应文件电子版密封方式：电子响应文件通过平台有效</w:t>
            </w:r>
            <w:r>
              <w:rPr>
                <w:rFonts w:ascii="宋体" w:hAnsi="宋体" w:eastAsia="宋体" w:cs="宋体"/>
              </w:rPr>
              <w:t>CA</w:t>
            </w:r>
            <w:r>
              <w:rPr>
                <w:rFonts w:hint="eastAsia" w:ascii="宋体" w:hAnsi="宋体" w:eastAsia="宋体" w:cs="宋体"/>
              </w:rPr>
              <w:t>加密后在“广西政府采购云平台”投送。（操作方式见公告附件“电子响应文件制作与投送教程”</w:t>
            </w:r>
            <w:r>
              <w:rPr>
                <w:rFonts w:ascii="宋体" w:hAnsi="宋体" w:eastAsia="宋体" w:cs="宋体"/>
              </w:rPr>
              <w:t xml:space="preserve"> </w:t>
            </w:r>
            <w:r>
              <w:rPr>
                <w:rFonts w:hint="eastAsia" w:ascii="宋体" w:hAnsi="宋体" w:eastAsia="宋体" w:cs="宋体"/>
              </w:rPr>
              <w:t>）</w:t>
            </w:r>
          </w:p>
        </w:tc>
      </w:tr>
      <w:tr w14:paraId="3432E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45BD05D7">
            <w:pPr>
              <w:spacing w:line="500" w:lineRule="exact"/>
              <w:jc w:val="center"/>
              <w:rPr>
                <w:rFonts w:ascii="宋体" w:hAnsi="宋体" w:eastAsia="宋体" w:cs="宋体"/>
              </w:rPr>
            </w:pPr>
            <w:r>
              <w:rPr>
                <w:rFonts w:ascii="宋体" w:hAnsi="宋体" w:eastAsia="宋体" w:cs="宋体"/>
              </w:rPr>
              <w:t>15.2</w:t>
            </w:r>
          </w:p>
        </w:tc>
        <w:tc>
          <w:tcPr>
            <w:tcW w:w="2553" w:type="dxa"/>
            <w:vAlign w:val="center"/>
          </w:tcPr>
          <w:p w14:paraId="1495C167">
            <w:pPr>
              <w:spacing w:line="500" w:lineRule="exact"/>
              <w:jc w:val="center"/>
              <w:rPr>
                <w:rFonts w:ascii="宋体" w:hAnsi="宋体" w:eastAsia="宋体" w:cs="Times New Roman"/>
              </w:rPr>
            </w:pPr>
            <w:r>
              <w:rPr>
                <w:rFonts w:hint="eastAsia" w:ascii="宋体" w:hAnsi="宋体" w:eastAsia="宋体" w:cs="宋体"/>
              </w:rPr>
              <w:t>响应报价要求</w:t>
            </w:r>
          </w:p>
        </w:tc>
        <w:tc>
          <w:tcPr>
            <w:tcW w:w="6850" w:type="dxa"/>
            <w:vAlign w:val="center"/>
          </w:tcPr>
          <w:p w14:paraId="06C0B679">
            <w:pPr>
              <w:autoSpaceDE w:val="0"/>
              <w:autoSpaceDN w:val="0"/>
              <w:adjustRightInd w:val="0"/>
              <w:spacing w:line="500" w:lineRule="exact"/>
              <w:jc w:val="left"/>
              <w:rPr>
                <w:rFonts w:ascii="宋体" w:hAnsi="宋体" w:eastAsia="宋体" w:cs="Times New Roman"/>
                <w:kern w:val="0"/>
              </w:rPr>
            </w:pPr>
            <w:r>
              <w:rPr>
                <w:rFonts w:ascii="宋体" w:hAnsi="宋体" w:eastAsia="宋体" w:cs="宋体"/>
                <w:kern w:val="0"/>
              </w:rPr>
              <w:t>1</w:t>
            </w:r>
            <w:r>
              <w:rPr>
                <w:rFonts w:hint="eastAsia" w:ascii="宋体" w:hAnsi="宋体" w:eastAsia="宋体" w:cs="宋体"/>
                <w:kern w:val="0"/>
              </w:rPr>
              <w:t>、本工程响应报价采用工程量清单报价，响应报价必须满足本次竞标全部采购需求以及完成施工图、工程量清单或预算书范围内所有工作内容所需的全部费用，包含但不限于竞标本项目的成本、运输（含保险）、安装（如有）、调试、检验、技术服务、培训、税费等所有费用。</w:t>
            </w:r>
          </w:p>
          <w:p w14:paraId="7765236B">
            <w:pPr>
              <w:autoSpaceDE w:val="0"/>
              <w:autoSpaceDN w:val="0"/>
              <w:adjustRightInd w:val="0"/>
              <w:spacing w:line="500" w:lineRule="exact"/>
              <w:jc w:val="left"/>
              <w:rPr>
                <w:rFonts w:ascii="宋体" w:hAnsi="宋体" w:eastAsia="宋体" w:cs="Times New Roman"/>
                <w:b/>
                <w:bCs/>
              </w:rPr>
            </w:pPr>
            <w:r>
              <w:rPr>
                <w:rFonts w:ascii="宋体" w:hAnsi="宋体" w:eastAsia="宋体" w:cs="宋体"/>
                <w:b/>
                <w:bCs/>
                <w:kern w:val="0"/>
              </w:rPr>
              <w:t>2</w:t>
            </w:r>
            <w:r>
              <w:rPr>
                <w:rFonts w:hint="eastAsia" w:ascii="宋体" w:hAnsi="宋体" w:eastAsia="宋体" w:cs="宋体"/>
                <w:b/>
                <w:bCs/>
                <w:kern w:val="0"/>
              </w:rPr>
              <w:t>、本项目采用二次报价方式（即二次报价为最终报价），供应商的最终报价如有变动，则必须以完整的工程量清单报价表的格式（按磋商文件中的相关规定签字盖章）编制提交，供应商须提前做好相关准备并按时递交最终报价文件，不得以总价下浮的方式做报价，否则作无效磋商处理。</w:t>
            </w:r>
          </w:p>
        </w:tc>
      </w:tr>
      <w:tr w14:paraId="74A2F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2433FE2D">
            <w:pPr>
              <w:spacing w:line="500" w:lineRule="exact"/>
              <w:jc w:val="center"/>
              <w:rPr>
                <w:rFonts w:ascii="宋体" w:hAnsi="宋体" w:eastAsia="宋体" w:cs="宋体"/>
              </w:rPr>
            </w:pPr>
            <w:r>
              <w:rPr>
                <w:rFonts w:ascii="宋体" w:hAnsi="宋体" w:eastAsia="宋体" w:cs="宋体"/>
              </w:rPr>
              <w:t>16.2</w:t>
            </w:r>
          </w:p>
        </w:tc>
        <w:tc>
          <w:tcPr>
            <w:tcW w:w="2553" w:type="dxa"/>
            <w:vAlign w:val="center"/>
          </w:tcPr>
          <w:p w14:paraId="1793E919">
            <w:pPr>
              <w:spacing w:line="500" w:lineRule="exact"/>
              <w:jc w:val="center"/>
              <w:rPr>
                <w:rFonts w:ascii="宋体" w:hAnsi="宋体" w:eastAsia="宋体" w:cs="Times New Roman"/>
              </w:rPr>
            </w:pPr>
            <w:r>
              <w:rPr>
                <w:rFonts w:hint="eastAsia" w:ascii="宋体" w:hAnsi="宋体" w:eastAsia="宋体" w:cs="宋体"/>
              </w:rPr>
              <w:t>竞标有效期</w:t>
            </w:r>
          </w:p>
        </w:tc>
        <w:tc>
          <w:tcPr>
            <w:tcW w:w="6850" w:type="dxa"/>
            <w:vAlign w:val="center"/>
          </w:tcPr>
          <w:p w14:paraId="213C89AF">
            <w:pPr>
              <w:pStyle w:val="13"/>
              <w:widowControl w:val="0"/>
              <w:tabs>
                <w:tab w:val="clear" w:pos="454"/>
              </w:tabs>
              <w:snapToGrid w:val="0"/>
              <w:spacing w:afterLines="0" w:line="500" w:lineRule="exact"/>
              <w:ind w:left="0" w:firstLine="0"/>
              <w:jc w:val="both"/>
              <w:rPr>
                <w:rFonts w:ascii="宋体" w:cs="宋体"/>
                <w:kern w:val="2"/>
                <w:sz w:val="21"/>
                <w:szCs w:val="21"/>
              </w:rPr>
            </w:pPr>
            <w:r>
              <w:rPr>
                <w:rFonts w:hint="eastAsia" w:ascii="宋体" w:hAnsi="宋体" w:cs="宋体"/>
                <w:kern w:val="2"/>
                <w:sz w:val="21"/>
                <w:szCs w:val="21"/>
              </w:rPr>
              <w:t>自首次响应文件提交截止之日起</w:t>
            </w:r>
            <w:bookmarkStart w:id="38" w:name="PO_3000001868_PM046"/>
            <w:r>
              <w:rPr>
                <w:rFonts w:ascii="宋体" w:hAnsi="宋体" w:cs="宋体"/>
                <w:kern w:val="2"/>
                <w:sz w:val="21"/>
                <w:szCs w:val="21"/>
                <w:u w:val="single"/>
              </w:rPr>
              <w:t>60</w:t>
            </w:r>
            <w:r>
              <w:rPr>
                <w:rFonts w:hint="eastAsia" w:ascii="宋体" w:hAnsi="宋体" w:cs="宋体"/>
                <w:kern w:val="2"/>
                <w:sz w:val="21"/>
                <w:szCs w:val="21"/>
                <w:u w:val="single"/>
              </w:rPr>
              <w:t>日历天</w:t>
            </w:r>
            <w:bookmarkEnd w:id="38"/>
            <w:r>
              <w:rPr>
                <w:rFonts w:hint="eastAsia" w:ascii="宋体" w:hAnsi="宋体" w:cs="宋体"/>
                <w:kern w:val="2"/>
                <w:sz w:val="21"/>
                <w:szCs w:val="21"/>
              </w:rPr>
              <w:t>。</w:t>
            </w:r>
          </w:p>
        </w:tc>
      </w:tr>
      <w:tr w14:paraId="74121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2DC031FF">
            <w:pPr>
              <w:spacing w:line="500" w:lineRule="exact"/>
              <w:jc w:val="center"/>
              <w:rPr>
                <w:rFonts w:ascii="宋体" w:hAnsi="宋体" w:eastAsia="宋体" w:cs="宋体"/>
              </w:rPr>
            </w:pPr>
            <w:r>
              <w:rPr>
                <w:rFonts w:ascii="宋体" w:hAnsi="宋体" w:eastAsia="宋体" w:cs="宋体"/>
              </w:rPr>
              <w:t>17</w:t>
            </w:r>
          </w:p>
        </w:tc>
        <w:tc>
          <w:tcPr>
            <w:tcW w:w="2553" w:type="dxa"/>
            <w:vAlign w:val="center"/>
          </w:tcPr>
          <w:p w14:paraId="7B6F79D1">
            <w:pPr>
              <w:spacing w:line="500" w:lineRule="exact"/>
              <w:jc w:val="center"/>
              <w:rPr>
                <w:rFonts w:ascii="宋体" w:hAnsi="宋体" w:eastAsia="宋体" w:cs="Times New Roman"/>
              </w:rPr>
            </w:pPr>
            <w:r>
              <w:rPr>
                <w:rFonts w:hint="eastAsia" w:ascii="宋体" w:hAnsi="宋体" w:eastAsia="宋体" w:cs="宋体"/>
              </w:rPr>
              <w:t>磋商保证金</w:t>
            </w:r>
          </w:p>
        </w:tc>
        <w:tc>
          <w:tcPr>
            <w:tcW w:w="6850" w:type="dxa"/>
            <w:vAlign w:val="center"/>
          </w:tcPr>
          <w:p w14:paraId="528B14E7">
            <w:pPr>
              <w:autoSpaceDE w:val="0"/>
              <w:autoSpaceDN w:val="0"/>
              <w:snapToGrid w:val="0"/>
              <w:spacing w:line="500" w:lineRule="exact"/>
              <w:textAlignment w:val="bottom"/>
              <w:rPr>
                <w:rFonts w:ascii="宋体" w:hAnsi="宋体" w:eastAsia="宋体" w:cs="Times New Roman"/>
              </w:rPr>
            </w:pPr>
            <w:r>
              <w:rPr>
                <w:rFonts w:hint="eastAsia" w:ascii="宋体" w:hAnsi="宋体" w:eastAsia="宋体" w:cs="宋体"/>
              </w:rPr>
              <w:t>本项目不收取磋商保证金。</w:t>
            </w:r>
          </w:p>
        </w:tc>
      </w:tr>
      <w:tr w14:paraId="311B7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57" w:type="dxa"/>
            <w:vMerge w:val="restart"/>
            <w:vAlign w:val="center"/>
          </w:tcPr>
          <w:p w14:paraId="6EF9674D">
            <w:pPr>
              <w:spacing w:line="500" w:lineRule="exact"/>
              <w:jc w:val="center"/>
              <w:rPr>
                <w:rFonts w:ascii="宋体" w:hAnsi="宋体" w:eastAsia="宋体" w:cs="宋体"/>
              </w:rPr>
            </w:pPr>
            <w:r>
              <w:rPr>
                <w:rFonts w:ascii="宋体" w:hAnsi="宋体" w:eastAsia="宋体" w:cs="宋体"/>
              </w:rPr>
              <w:t>20.1</w:t>
            </w:r>
          </w:p>
        </w:tc>
        <w:tc>
          <w:tcPr>
            <w:tcW w:w="2553" w:type="dxa"/>
            <w:vAlign w:val="center"/>
          </w:tcPr>
          <w:p w14:paraId="77093B79">
            <w:pPr>
              <w:spacing w:line="500" w:lineRule="exact"/>
              <w:jc w:val="center"/>
              <w:rPr>
                <w:rFonts w:ascii="宋体" w:hAnsi="宋体" w:eastAsia="宋体" w:cs="Times New Roman"/>
              </w:rPr>
            </w:pPr>
            <w:r>
              <w:rPr>
                <w:rFonts w:hint="eastAsia" w:ascii="宋体" w:hAnsi="宋体" w:eastAsia="宋体" w:cs="宋体"/>
              </w:rPr>
              <w:t>首次响应文件提交起止时间</w:t>
            </w:r>
          </w:p>
        </w:tc>
        <w:tc>
          <w:tcPr>
            <w:tcW w:w="6850" w:type="dxa"/>
            <w:vAlign w:val="center"/>
          </w:tcPr>
          <w:p w14:paraId="531500A0">
            <w:pPr>
              <w:snapToGrid w:val="0"/>
              <w:spacing w:line="500" w:lineRule="exact"/>
              <w:jc w:val="left"/>
              <w:rPr>
                <w:rFonts w:ascii="宋体" w:hAnsi="宋体" w:eastAsia="宋体" w:cs="Times New Roman"/>
                <w:u w:val="single"/>
              </w:rPr>
            </w:pPr>
            <w:r>
              <w:rPr>
                <w:rFonts w:hint="eastAsia" w:ascii="宋体" w:hAnsi="宋体" w:eastAsia="宋体" w:cs="宋体"/>
              </w:rPr>
              <w:t>详见竞争性磋商公告。</w:t>
            </w:r>
          </w:p>
        </w:tc>
      </w:tr>
      <w:tr w14:paraId="40DA6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7" w:type="dxa"/>
            <w:vMerge w:val="continue"/>
            <w:vAlign w:val="center"/>
          </w:tcPr>
          <w:p w14:paraId="5C95A6F4">
            <w:pPr>
              <w:widowControl/>
              <w:spacing w:line="500" w:lineRule="exact"/>
              <w:jc w:val="left"/>
              <w:rPr>
                <w:rFonts w:ascii="宋体" w:hAnsi="宋体" w:eastAsia="宋体" w:cs="Times New Roman"/>
              </w:rPr>
            </w:pPr>
          </w:p>
        </w:tc>
        <w:tc>
          <w:tcPr>
            <w:tcW w:w="2553" w:type="dxa"/>
            <w:vAlign w:val="center"/>
          </w:tcPr>
          <w:p w14:paraId="630726F7">
            <w:pPr>
              <w:spacing w:line="500" w:lineRule="exact"/>
              <w:jc w:val="center"/>
              <w:rPr>
                <w:rFonts w:ascii="宋体" w:hAnsi="宋体" w:eastAsia="宋体" w:cs="Times New Roman"/>
              </w:rPr>
            </w:pPr>
            <w:r>
              <w:rPr>
                <w:rFonts w:hint="eastAsia" w:ascii="宋体" w:hAnsi="宋体" w:eastAsia="宋体" w:cs="宋体"/>
              </w:rPr>
              <w:t>首次响应文件提交地点</w:t>
            </w:r>
          </w:p>
        </w:tc>
        <w:tc>
          <w:tcPr>
            <w:tcW w:w="6850" w:type="dxa"/>
            <w:vAlign w:val="center"/>
          </w:tcPr>
          <w:p w14:paraId="2C7B2267">
            <w:pPr>
              <w:snapToGrid w:val="0"/>
              <w:spacing w:line="500" w:lineRule="exact"/>
              <w:jc w:val="left"/>
              <w:rPr>
                <w:rFonts w:ascii="宋体" w:hAnsi="宋体" w:eastAsia="宋体" w:cs="Times New Roman"/>
                <w:u w:val="single"/>
              </w:rPr>
            </w:pPr>
            <w:r>
              <w:rPr>
                <w:rFonts w:hint="eastAsia" w:ascii="宋体" w:hAnsi="宋体" w:eastAsia="宋体" w:cs="宋体"/>
              </w:rPr>
              <w:t>详见竞争性磋商公告。</w:t>
            </w:r>
          </w:p>
        </w:tc>
      </w:tr>
      <w:tr w14:paraId="2DB3F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7" w:type="dxa"/>
            <w:vAlign w:val="center"/>
          </w:tcPr>
          <w:p w14:paraId="11BEB542">
            <w:pPr>
              <w:spacing w:line="500" w:lineRule="exact"/>
              <w:jc w:val="center"/>
              <w:rPr>
                <w:rFonts w:ascii="宋体" w:hAnsi="宋体" w:eastAsia="宋体" w:cs="宋体"/>
              </w:rPr>
            </w:pPr>
            <w:r>
              <w:rPr>
                <w:rFonts w:ascii="宋体" w:hAnsi="宋体" w:eastAsia="宋体" w:cs="宋体"/>
              </w:rPr>
              <w:t>20.6</w:t>
            </w:r>
          </w:p>
        </w:tc>
        <w:tc>
          <w:tcPr>
            <w:tcW w:w="2553" w:type="dxa"/>
            <w:vAlign w:val="center"/>
          </w:tcPr>
          <w:p w14:paraId="541D7D6F">
            <w:pPr>
              <w:spacing w:line="500" w:lineRule="exact"/>
              <w:jc w:val="center"/>
              <w:rPr>
                <w:rFonts w:ascii="宋体" w:hAnsi="宋体" w:eastAsia="宋体" w:cs="Times New Roman"/>
              </w:rPr>
            </w:pPr>
            <w:r>
              <w:rPr>
                <w:rFonts w:hint="eastAsia" w:ascii="宋体" w:hAnsi="宋体" w:eastAsia="宋体" w:cs="宋体"/>
              </w:rPr>
              <w:t>备份响应文件</w:t>
            </w:r>
          </w:p>
        </w:tc>
        <w:tc>
          <w:tcPr>
            <w:tcW w:w="6850" w:type="dxa"/>
            <w:vAlign w:val="center"/>
          </w:tcPr>
          <w:p w14:paraId="54C00FF4">
            <w:pPr>
              <w:snapToGrid w:val="0"/>
              <w:spacing w:line="500" w:lineRule="exact"/>
              <w:jc w:val="left"/>
              <w:rPr>
                <w:rFonts w:ascii="宋体" w:hAnsi="宋体" w:eastAsia="宋体" w:cs="Times New Roman"/>
              </w:rPr>
            </w:pPr>
            <w:r>
              <w:rPr>
                <w:rFonts w:hint="eastAsia" w:ascii="宋体" w:hAnsi="宋体" w:eastAsia="宋体" w:cs="宋体"/>
              </w:rPr>
              <w:t>本项目不接受备份响应文件。</w:t>
            </w:r>
          </w:p>
        </w:tc>
      </w:tr>
      <w:tr w14:paraId="5312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7" w:type="dxa"/>
            <w:vAlign w:val="center"/>
          </w:tcPr>
          <w:p w14:paraId="478AFE77">
            <w:pPr>
              <w:spacing w:line="500" w:lineRule="exact"/>
              <w:jc w:val="center"/>
              <w:rPr>
                <w:rFonts w:ascii="宋体" w:hAnsi="宋体" w:eastAsia="宋体" w:cs="宋体"/>
              </w:rPr>
            </w:pPr>
            <w:r>
              <w:rPr>
                <w:rFonts w:ascii="宋体" w:hAnsi="宋体" w:eastAsia="宋体" w:cs="宋体"/>
              </w:rPr>
              <w:t>22</w:t>
            </w:r>
          </w:p>
        </w:tc>
        <w:tc>
          <w:tcPr>
            <w:tcW w:w="2553" w:type="dxa"/>
            <w:vAlign w:val="center"/>
          </w:tcPr>
          <w:p w14:paraId="49F7A449">
            <w:pPr>
              <w:spacing w:line="500" w:lineRule="exact"/>
              <w:jc w:val="center"/>
              <w:rPr>
                <w:rFonts w:ascii="宋体" w:hAnsi="宋体" w:eastAsia="宋体" w:cs="Times New Roman"/>
              </w:rPr>
            </w:pPr>
            <w:r>
              <w:rPr>
                <w:rFonts w:hint="eastAsia" w:ascii="宋体" w:hAnsi="宋体" w:eastAsia="宋体" w:cs="宋体"/>
              </w:rPr>
              <w:t>首次响应文件的退回</w:t>
            </w:r>
          </w:p>
        </w:tc>
        <w:tc>
          <w:tcPr>
            <w:tcW w:w="6850" w:type="dxa"/>
            <w:vAlign w:val="center"/>
          </w:tcPr>
          <w:p w14:paraId="36CFE966">
            <w:pPr>
              <w:snapToGrid w:val="0"/>
              <w:spacing w:line="500" w:lineRule="exact"/>
              <w:jc w:val="left"/>
              <w:rPr>
                <w:rFonts w:ascii="宋体" w:hAnsi="宋体" w:eastAsia="宋体" w:cs="Times New Roman"/>
              </w:rPr>
            </w:pPr>
            <w:r>
              <w:rPr>
                <w:rFonts w:hint="eastAsia" w:ascii="宋体" w:hAnsi="宋体" w:eastAsia="宋体" w:cs="宋体"/>
              </w:rPr>
              <w:t>详见竞争性磋商公告。</w:t>
            </w:r>
          </w:p>
        </w:tc>
      </w:tr>
      <w:tr w14:paraId="32182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57" w:type="dxa"/>
            <w:vMerge w:val="restart"/>
            <w:vAlign w:val="center"/>
          </w:tcPr>
          <w:p w14:paraId="5DA3CCC8">
            <w:pPr>
              <w:spacing w:line="500" w:lineRule="exact"/>
              <w:jc w:val="center"/>
              <w:rPr>
                <w:rFonts w:ascii="宋体" w:hAnsi="宋体" w:eastAsia="宋体" w:cs="宋体"/>
              </w:rPr>
            </w:pPr>
            <w:r>
              <w:rPr>
                <w:rFonts w:ascii="宋体" w:hAnsi="宋体" w:eastAsia="宋体" w:cs="宋体"/>
              </w:rPr>
              <w:t>26.3</w:t>
            </w:r>
          </w:p>
        </w:tc>
        <w:tc>
          <w:tcPr>
            <w:tcW w:w="2553" w:type="dxa"/>
            <w:vAlign w:val="center"/>
          </w:tcPr>
          <w:p w14:paraId="0F0FC33D">
            <w:pPr>
              <w:spacing w:line="500" w:lineRule="exact"/>
              <w:jc w:val="center"/>
              <w:rPr>
                <w:rFonts w:ascii="宋体" w:hAnsi="宋体" w:eastAsia="宋体" w:cs="Times New Roman"/>
              </w:rPr>
            </w:pPr>
            <w:r>
              <w:rPr>
                <w:rFonts w:hint="eastAsia" w:ascii="宋体" w:hAnsi="宋体" w:eastAsia="宋体" w:cs="宋体"/>
              </w:rPr>
              <w:t>负偏离要求</w:t>
            </w:r>
          </w:p>
        </w:tc>
        <w:tc>
          <w:tcPr>
            <w:tcW w:w="6850" w:type="dxa"/>
            <w:vAlign w:val="center"/>
          </w:tcPr>
          <w:p w14:paraId="1ACDCADE">
            <w:pPr>
              <w:snapToGrid w:val="0"/>
              <w:spacing w:line="500" w:lineRule="exact"/>
              <w:rPr>
                <w:rFonts w:ascii="宋体" w:hAnsi="宋体" w:eastAsia="宋体" w:cs="Times New Roman"/>
              </w:rPr>
            </w:pPr>
            <w:r>
              <w:rPr>
                <w:rFonts w:hint="eastAsia" w:ascii="宋体" w:hAnsi="宋体" w:eastAsia="宋体" w:cs="宋体"/>
              </w:rPr>
              <w:t>商务要求评审中允许负偏离的条款数为</w:t>
            </w:r>
            <w:r>
              <w:rPr>
                <w:rFonts w:ascii="宋体" w:hAnsi="宋体" w:eastAsia="宋体" w:cs="宋体"/>
                <w:u w:val="single"/>
              </w:rPr>
              <w:t>0</w:t>
            </w:r>
            <w:r>
              <w:rPr>
                <w:rFonts w:hint="eastAsia" w:ascii="宋体" w:hAnsi="宋体" w:eastAsia="宋体" w:cs="宋体"/>
              </w:rPr>
              <w:t>项。</w:t>
            </w:r>
          </w:p>
          <w:p w14:paraId="2164B43A">
            <w:pPr>
              <w:snapToGrid w:val="0"/>
              <w:spacing w:line="500" w:lineRule="exact"/>
              <w:rPr>
                <w:rFonts w:ascii="宋体" w:hAnsi="宋体" w:eastAsia="宋体" w:cs="Times New Roman"/>
              </w:rPr>
            </w:pPr>
            <w:r>
              <w:rPr>
                <w:rFonts w:hint="eastAsia" w:ascii="宋体" w:hAnsi="宋体" w:eastAsia="宋体" w:cs="宋体"/>
              </w:rPr>
              <w:t>技术要求评审中允许负偏离的条款数为</w:t>
            </w:r>
            <w:r>
              <w:rPr>
                <w:rFonts w:ascii="宋体" w:hAnsi="宋体" w:eastAsia="宋体" w:cs="宋体"/>
                <w:u w:val="single"/>
              </w:rPr>
              <w:t>0</w:t>
            </w:r>
            <w:r>
              <w:rPr>
                <w:rFonts w:hint="eastAsia" w:ascii="宋体" w:hAnsi="宋体" w:eastAsia="宋体" w:cs="宋体"/>
              </w:rPr>
              <w:t>项。</w:t>
            </w:r>
          </w:p>
        </w:tc>
      </w:tr>
      <w:tr w14:paraId="7427D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Merge w:val="continue"/>
            <w:vAlign w:val="center"/>
          </w:tcPr>
          <w:p w14:paraId="47200D0A">
            <w:pPr>
              <w:widowControl/>
              <w:spacing w:line="500" w:lineRule="exact"/>
              <w:jc w:val="left"/>
              <w:rPr>
                <w:rFonts w:ascii="宋体" w:hAnsi="宋体" w:eastAsia="宋体" w:cs="Times New Roman"/>
              </w:rPr>
            </w:pPr>
          </w:p>
        </w:tc>
        <w:tc>
          <w:tcPr>
            <w:tcW w:w="2553" w:type="dxa"/>
            <w:vAlign w:val="center"/>
          </w:tcPr>
          <w:p w14:paraId="32565358">
            <w:pPr>
              <w:snapToGrid w:val="0"/>
              <w:spacing w:line="500" w:lineRule="exact"/>
              <w:jc w:val="center"/>
              <w:rPr>
                <w:rFonts w:ascii="宋体" w:hAnsi="宋体" w:eastAsia="宋体" w:cs="Times New Roman"/>
              </w:rPr>
            </w:pPr>
            <w:r>
              <w:rPr>
                <w:rFonts w:hint="eastAsia" w:ascii="宋体" w:hAnsi="宋体" w:eastAsia="宋体" w:cs="宋体"/>
              </w:rPr>
              <w:t>磋商的顺序</w:t>
            </w:r>
          </w:p>
          <w:p w14:paraId="0E8D2154">
            <w:pPr>
              <w:spacing w:line="500" w:lineRule="exact"/>
              <w:jc w:val="center"/>
              <w:rPr>
                <w:rFonts w:ascii="宋体" w:hAnsi="宋体" w:eastAsia="宋体" w:cs="Times New Roman"/>
              </w:rPr>
            </w:pPr>
          </w:p>
        </w:tc>
        <w:tc>
          <w:tcPr>
            <w:tcW w:w="6850" w:type="dxa"/>
            <w:vAlign w:val="center"/>
          </w:tcPr>
          <w:p w14:paraId="2C2DF844">
            <w:pPr>
              <w:pStyle w:val="15"/>
              <w:spacing w:line="500" w:lineRule="exact"/>
              <w:rPr>
                <w:rFonts w:ascii="宋体" w:cs="宋体"/>
                <w:kern w:val="2"/>
                <w:sz w:val="21"/>
                <w:szCs w:val="21"/>
              </w:rPr>
            </w:pPr>
            <w:r>
              <w:rPr>
                <w:rFonts w:hint="eastAsia" w:ascii="宋体" w:hAnsi="宋体" w:cs="宋体"/>
              </w:rPr>
              <w:t>□</w:t>
            </w:r>
            <w:r>
              <w:rPr>
                <w:rFonts w:hint="eastAsia" w:ascii="宋体" w:hAnsi="宋体" w:cs="宋体"/>
                <w:kern w:val="2"/>
                <w:sz w:val="21"/>
                <w:szCs w:val="21"/>
              </w:rPr>
              <w:t>按照提交首次响应文件的顺序，通知磋商时，若某供应商不在通知现场时，该供应商排序到最后磋商，按照签到的顺序由其下一位供应商先参与磋商。</w:t>
            </w:r>
          </w:p>
          <w:p w14:paraId="06548622">
            <w:pPr>
              <w:snapToGrid w:val="0"/>
              <w:spacing w:line="500" w:lineRule="exact"/>
              <w:rPr>
                <w:rFonts w:ascii="宋体" w:hAnsi="宋体" w:eastAsia="宋体" w:cs="Times New Roman"/>
              </w:rPr>
            </w:pPr>
            <w:r>
              <w:rPr>
                <w:rFonts w:hint="eastAsia" w:ascii="宋体" w:hAnsi="宋体" w:eastAsia="MS Mincho" w:cs="MS Mincho"/>
              </w:rPr>
              <w:t>☑</w:t>
            </w:r>
            <w:r>
              <w:rPr>
                <w:rFonts w:hint="eastAsia" w:ascii="宋体" w:hAnsi="宋体" w:eastAsia="宋体" w:cs="宋体"/>
              </w:rPr>
              <w:t>随机排序。</w:t>
            </w:r>
          </w:p>
        </w:tc>
      </w:tr>
      <w:tr w14:paraId="50AD2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6BEA8362">
            <w:pPr>
              <w:spacing w:line="500" w:lineRule="exact"/>
              <w:jc w:val="center"/>
              <w:rPr>
                <w:rFonts w:ascii="宋体" w:hAnsi="宋体" w:eastAsia="宋体" w:cs="宋体"/>
              </w:rPr>
            </w:pPr>
            <w:r>
              <w:rPr>
                <w:rFonts w:ascii="宋体" w:hAnsi="宋体" w:eastAsia="宋体" w:cs="宋体"/>
              </w:rPr>
              <w:t>28</w:t>
            </w:r>
          </w:p>
        </w:tc>
        <w:tc>
          <w:tcPr>
            <w:tcW w:w="2553" w:type="dxa"/>
            <w:vAlign w:val="center"/>
          </w:tcPr>
          <w:p w14:paraId="2D2B702A">
            <w:pPr>
              <w:spacing w:line="500" w:lineRule="exact"/>
              <w:jc w:val="center"/>
              <w:rPr>
                <w:rFonts w:ascii="宋体" w:hAnsi="宋体" w:eastAsia="宋体" w:cs="Times New Roman"/>
              </w:rPr>
            </w:pPr>
            <w:r>
              <w:rPr>
                <w:rFonts w:hint="eastAsia" w:ascii="宋体" w:hAnsi="宋体" w:eastAsia="宋体" w:cs="宋体"/>
              </w:rPr>
              <w:t>履约保证金</w:t>
            </w:r>
          </w:p>
        </w:tc>
        <w:tc>
          <w:tcPr>
            <w:tcW w:w="6850" w:type="dxa"/>
            <w:vAlign w:val="center"/>
          </w:tcPr>
          <w:p w14:paraId="14762DC3">
            <w:pPr>
              <w:snapToGrid w:val="0"/>
              <w:spacing w:line="500" w:lineRule="exact"/>
              <w:rPr>
                <w:rFonts w:ascii="宋体" w:hAnsi="宋体" w:eastAsia="宋体" w:cs="Times New Roman"/>
              </w:rPr>
            </w:pPr>
            <w:r>
              <w:rPr>
                <w:rFonts w:hint="eastAsia" w:ascii="宋体" w:hAnsi="宋体" w:eastAsia="宋体" w:cs="宋体"/>
              </w:rPr>
              <w:t>本项目不收取履约保证金。</w:t>
            </w:r>
          </w:p>
        </w:tc>
      </w:tr>
      <w:tr w14:paraId="1A3A8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18E38CD4">
            <w:pPr>
              <w:spacing w:line="500" w:lineRule="exact"/>
              <w:jc w:val="center"/>
              <w:rPr>
                <w:rFonts w:ascii="宋体" w:hAnsi="宋体" w:eastAsia="宋体" w:cs="宋体"/>
              </w:rPr>
            </w:pPr>
            <w:r>
              <w:rPr>
                <w:rFonts w:ascii="宋体" w:hAnsi="宋体" w:eastAsia="宋体" w:cs="宋体"/>
              </w:rPr>
              <w:t>29.5</w:t>
            </w:r>
          </w:p>
        </w:tc>
        <w:tc>
          <w:tcPr>
            <w:tcW w:w="2553" w:type="dxa"/>
            <w:vAlign w:val="center"/>
          </w:tcPr>
          <w:p w14:paraId="601DF95D">
            <w:pPr>
              <w:spacing w:line="500" w:lineRule="exact"/>
              <w:jc w:val="center"/>
              <w:rPr>
                <w:rFonts w:ascii="宋体" w:hAnsi="宋体" w:eastAsia="宋体" w:cs="Times New Roman"/>
              </w:rPr>
            </w:pPr>
            <w:r>
              <w:rPr>
                <w:rFonts w:hint="eastAsia" w:ascii="宋体" w:hAnsi="宋体" w:eastAsia="宋体" w:cs="宋体"/>
              </w:rPr>
              <w:t>签订合同携带的材料</w:t>
            </w:r>
          </w:p>
        </w:tc>
        <w:tc>
          <w:tcPr>
            <w:tcW w:w="6850" w:type="dxa"/>
            <w:vAlign w:val="center"/>
          </w:tcPr>
          <w:p w14:paraId="7B884B7B">
            <w:pPr>
              <w:autoSpaceDE w:val="0"/>
              <w:autoSpaceDN w:val="0"/>
              <w:adjustRightInd w:val="0"/>
              <w:spacing w:line="500" w:lineRule="exact"/>
              <w:jc w:val="left"/>
              <w:rPr>
                <w:rFonts w:ascii="宋体" w:hAnsi="宋体" w:eastAsia="宋体" w:cs="Times New Roman"/>
                <w:kern w:val="0"/>
              </w:rPr>
            </w:pPr>
            <w:r>
              <w:rPr>
                <w:rFonts w:ascii="宋体" w:hAnsi="宋体" w:eastAsia="宋体" w:cs="宋体"/>
                <w:kern w:val="0"/>
              </w:rPr>
              <w:t>1</w:t>
            </w:r>
            <w:r>
              <w:rPr>
                <w:rFonts w:hint="eastAsia" w:ascii="宋体" w:hAnsi="宋体" w:eastAsia="宋体" w:cs="宋体"/>
                <w:kern w:val="0"/>
              </w:rPr>
              <w:t>、委托代理人负责签订合同的，须携带授权委托书及委托代理人身份证原件等其他资格证件。</w:t>
            </w:r>
          </w:p>
          <w:p w14:paraId="79A1BB2A">
            <w:pPr>
              <w:autoSpaceDE w:val="0"/>
              <w:autoSpaceDN w:val="0"/>
              <w:adjustRightInd w:val="0"/>
              <w:spacing w:line="500" w:lineRule="exact"/>
              <w:jc w:val="left"/>
              <w:rPr>
                <w:rFonts w:ascii="宋体" w:hAnsi="宋体" w:eastAsia="宋体" w:cs="Times New Roman"/>
              </w:rPr>
            </w:pPr>
            <w:r>
              <w:rPr>
                <w:rFonts w:ascii="宋体" w:hAnsi="宋体" w:eastAsia="宋体" w:cs="宋体"/>
                <w:kern w:val="0"/>
              </w:rPr>
              <w:t>2</w:t>
            </w:r>
            <w:r>
              <w:rPr>
                <w:rFonts w:hint="eastAsia" w:ascii="宋体" w:hAnsi="宋体" w:eastAsia="宋体" w:cs="宋体"/>
                <w:kern w:val="0"/>
              </w:rPr>
              <w:t>、法定代表人负责签订合同的，须携带法定代表人身份证明原件及身份证原件等其他证明材料。</w:t>
            </w:r>
          </w:p>
        </w:tc>
      </w:tr>
      <w:tr w14:paraId="528A8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Merge w:val="restart"/>
            <w:vAlign w:val="center"/>
          </w:tcPr>
          <w:p w14:paraId="1B0CECD9">
            <w:pPr>
              <w:spacing w:line="500" w:lineRule="exact"/>
              <w:jc w:val="center"/>
              <w:rPr>
                <w:rFonts w:ascii="宋体" w:hAnsi="宋体" w:eastAsia="宋体" w:cs="宋体"/>
              </w:rPr>
            </w:pPr>
            <w:r>
              <w:rPr>
                <w:rFonts w:ascii="宋体" w:hAnsi="宋体" w:eastAsia="宋体" w:cs="宋体"/>
              </w:rPr>
              <w:t>31.2</w:t>
            </w:r>
          </w:p>
        </w:tc>
        <w:tc>
          <w:tcPr>
            <w:tcW w:w="2553" w:type="dxa"/>
            <w:vAlign w:val="center"/>
          </w:tcPr>
          <w:p w14:paraId="7C033CAC">
            <w:pPr>
              <w:spacing w:line="500" w:lineRule="exact"/>
              <w:jc w:val="center"/>
              <w:rPr>
                <w:rFonts w:ascii="宋体" w:hAnsi="宋体" w:eastAsia="宋体" w:cs="Times New Roman"/>
              </w:rPr>
            </w:pPr>
            <w:r>
              <w:rPr>
                <w:rFonts w:hint="eastAsia" w:ascii="宋体" w:hAnsi="宋体" w:eastAsia="宋体" w:cs="宋体"/>
              </w:rPr>
              <w:t>接收质疑函方式</w:t>
            </w:r>
          </w:p>
        </w:tc>
        <w:tc>
          <w:tcPr>
            <w:tcW w:w="6850" w:type="dxa"/>
            <w:vAlign w:val="center"/>
          </w:tcPr>
          <w:p w14:paraId="571B4539">
            <w:pPr>
              <w:autoSpaceDE w:val="0"/>
              <w:autoSpaceDN w:val="0"/>
              <w:adjustRightInd w:val="0"/>
              <w:spacing w:line="500" w:lineRule="exact"/>
              <w:jc w:val="left"/>
              <w:rPr>
                <w:rFonts w:ascii="宋体" w:hAnsi="宋体" w:eastAsia="宋体" w:cs="Times New Roman"/>
              </w:rPr>
            </w:pPr>
            <w:r>
              <w:rPr>
                <w:rFonts w:hint="eastAsia" w:ascii="宋体" w:hAnsi="宋体" w:eastAsia="宋体" w:cs="宋体"/>
                <w:kern w:val="0"/>
              </w:rPr>
              <w:t>以纸质书面形式。</w:t>
            </w:r>
          </w:p>
        </w:tc>
      </w:tr>
      <w:tr w14:paraId="798D8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Merge w:val="continue"/>
            <w:vAlign w:val="center"/>
          </w:tcPr>
          <w:p w14:paraId="7FBD56EE">
            <w:pPr>
              <w:widowControl/>
              <w:spacing w:line="500" w:lineRule="exact"/>
              <w:jc w:val="left"/>
              <w:rPr>
                <w:rFonts w:ascii="宋体" w:hAnsi="宋体" w:eastAsia="宋体" w:cs="Times New Roman"/>
              </w:rPr>
            </w:pPr>
          </w:p>
        </w:tc>
        <w:tc>
          <w:tcPr>
            <w:tcW w:w="2553" w:type="dxa"/>
            <w:vAlign w:val="center"/>
          </w:tcPr>
          <w:p w14:paraId="1A89798D">
            <w:pPr>
              <w:spacing w:line="500" w:lineRule="exact"/>
              <w:jc w:val="center"/>
              <w:rPr>
                <w:rFonts w:ascii="宋体" w:hAnsi="宋体" w:eastAsia="宋体" w:cs="Times New Roman"/>
              </w:rPr>
            </w:pPr>
            <w:r>
              <w:rPr>
                <w:rFonts w:hint="eastAsia" w:ascii="宋体" w:hAnsi="宋体" w:eastAsia="宋体" w:cs="宋体"/>
              </w:rPr>
              <w:t>质疑联系部门及联系方式</w:t>
            </w:r>
          </w:p>
        </w:tc>
        <w:tc>
          <w:tcPr>
            <w:tcW w:w="6850" w:type="dxa"/>
            <w:vAlign w:val="center"/>
          </w:tcPr>
          <w:p w14:paraId="08C64CED">
            <w:pPr>
              <w:snapToGrid w:val="0"/>
              <w:spacing w:line="500" w:lineRule="exact"/>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）广西龙瑞工程管理有限公司；</w:t>
            </w:r>
          </w:p>
          <w:p w14:paraId="14B354DF">
            <w:pPr>
              <w:snapToGrid w:val="0"/>
              <w:spacing w:line="500" w:lineRule="exact"/>
              <w:rPr>
                <w:rFonts w:ascii="宋体" w:hAnsi="宋体" w:eastAsia="宋体" w:cs="Times New Roman"/>
              </w:rPr>
            </w:pPr>
            <w:r>
              <w:rPr>
                <w:rFonts w:hint="eastAsia" w:ascii="宋体" w:hAnsi="宋体" w:eastAsia="宋体" w:cs="宋体"/>
              </w:rPr>
              <w:t>联系电话：</w:t>
            </w:r>
            <w:r>
              <w:rPr>
                <w:rFonts w:ascii="宋体" w:hAnsi="宋体" w:eastAsia="宋体" w:cs="宋体"/>
              </w:rPr>
              <w:t>0775-8238198</w:t>
            </w:r>
            <w:r>
              <w:rPr>
                <w:rFonts w:hint="eastAsia" w:ascii="宋体" w:hAnsi="宋体" w:eastAsia="宋体" w:cs="宋体"/>
              </w:rPr>
              <w:t>；</w:t>
            </w:r>
          </w:p>
          <w:p w14:paraId="17F48F16">
            <w:pPr>
              <w:snapToGrid w:val="0"/>
              <w:spacing w:line="500" w:lineRule="exact"/>
              <w:rPr>
                <w:rFonts w:ascii="宋体" w:hAnsi="宋体" w:eastAsia="宋体" w:cs="Times New Roman"/>
              </w:rPr>
            </w:pPr>
            <w:r>
              <w:rPr>
                <w:rFonts w:hint="eastAsia" w:ascii="宋体" w:hAnsi="宋体" w:eastAsia="宋体" w:cs="宋体"/>
              </w:rPr>
              <w:t>通讯地址：博白县博白镇兴民一路</w:t>
            </w:r>
            <w:r>
              <w:rPr>
                <w:rFonts w:ascii="宋体" w:hAnsi="宋体" w:eastAsia="宋体" w:cs="宋体"/>
              </w:rPr>
              <w:t>101</w:t>
            </w:r>
            <w:r>
              <w:rPr>
                <w:rFonts w:hint="eastAsia" w:ascii="宋体" w:hAnsi="宋体" w:eastAsia="宋体" w:cs="宋体"/>
              </w:rPr>
              <w:t>号；</w:t>
            </w:r>
          </w:p>
          <w:p w14:paraId="05853760">
            <w:pPr>
              <w:snapToGrid w:val="0"/>
              <w:spacing w:line="500" w:lineRule="exact"/>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）博白县水利局；</w:t>
            </w:r>
          </w:p>
          <w:p w14:paraId="16B4D071">
            <w:pPr>
              <w:snapToGrid w:val="0"/>
              <w:spacing w:line="500" w:lineRule="exact"/>
              <w:rPr>
                <w:rFonts w:ascii="宋体" w:hAnsi="宋体" w:eastAsia="宋体" w:cs="Times New Roman"/>
              </w:rPr>
            </w:pPr>
            <w:r>
              <w:rPr>
                <w:rFonts w:hint="eastAsia" w:ascii="宋体" w:hAnsi="宋体" w:eastAsia="宋体" w:cs="宋体"/>
              </w:rPr>
              <w:t>联系电话：</w:t>
            </w:r>
            <w:r>
              <w:rPr>
                <w:rFonts w:ascii="宋体" w:hAnsi="宋体" w:eastAsia="宋体" w:cs="宋体"/>
              </w:rPr>
              <w:t>0775-8229618</w:t>
            </w:r>
            <w:r>
              <w:rPr>
                <w:rFonts w:hint="eastAsia" w:ascii="宋体" w:hAnsi="宋体" w:eastAsia="宋体" w:cs="宋体"/>
              </w:rPr>
              <w:t>；</w:t>
            </w:r>
          </w:p>
          <w:p w14:paraId="783001EC">
            <w:pPr>
              <w:snapToGrid w:val="0"/>
              <w:spacing w:line="500" w:lineRule="exact"/>
              <w:rPr>
                <w:rFonts w:ascii="宋体" w:hAnsi="宋体" w:eastAsia="宋体" w:cs="Times New Roman"/>
              </w:rPr>
            </w:pPr>
            <w:r>
              <w:rPr>
                <w:rFonts w:hint="eastAsia" w:ascii="宋体" w:hAnsi="宋体" w:eastAsia="宋体" w:cs="宋体"/>
              </w:rPr>
              <w:t>通讯地址：博白县博白镇朝阳西路</w:t>
            </w:r>
            <w:r>
              <w:rPr>
                <w:rFonts w:ascii="宋体" w:hAnsi="宋体" w:eastAsia="宋体" w:cs="宋体"/>
              </w:rPr>
              <w:t>029</w:t>
            </w:r>
            <w:r>
              <w:rPr>
                <w:rFonts w:hint="eastAsia" w:ascii="宋体" w:hAnsi="宋体" w:eastAsia="宋体" w:cs="宋体"/>
              </w:rPr>
              <w:t>号</w:t>
            </w:r>
            <w:r>
              <w:rPr>
                <w:rFonts w:ascii="宋体" w:hAnsi="宋体" w:eastAsia="宋体" w:cs="宋体"/>
              </w:rPr>
              <w:t xml:space="preserve"> </w:t>
            </w:r>
            <w:r>
              <w:rPr>
                <w:rFonts w:hint="eastAsia" w:ascii="宋体" w:hAnsi="宋体" w:eastAsia="宋体" w:cs="宋体"/>
              </w:rPr>
              <w:t>。</w:t>
            </w:r>
          </w:p>
        </w:tc>
      </w:tr>
      <w:tr w14:paraId="0EF79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Merge w:val="continue"/>
            <w:vAlign w:val="center"/>
          </w:tcPr>
          <w:p w14:paraId="6AF44D8C">
            <w:pPr>
              <w:widowControl/>
              <w:spacing w:line="500" w:lineRule="exact"/>
              <w:jc w:val="left"/>
              <w:rPr>
                <w:rFonts w:ascii="宋体" w:hAnsi="宋体" w:eastAsia="宋体" w:cs="Times New Roman"/>
              </w:rPr>
            </w:pPr>
          </w:p>
        </w:tc>
        <w:tc>
          <w:tcPr>
            <w:tcW w:w="2553" w:type="dxa"/>
            <w:vAlign w:val="center"/>
          </w:tcPr>
          <w:p w14:paraId="211A67E8">
            <w:pPr>
              <w:spacing w:line="500" w:lineRule="exact"/>
              <w:jc w:val="center"/>
              <w:rPr>
                <w:rFonts w:ascii="宋体" w:hAnsi="宋体" w:eastAsia="宋体" w:cs="Times New Roman"/>
              </w:rPr>
            </w:pPr>
            <w:r>
              <w:rPr>
                <w:rFonts w:hint="eastAsia" w:ascii="宋体" w:hAnsi="宋体" w:eastAsia="宋体" w:cs="宋体"/>
              </w:rPr>
              <w:t>现场提交质疑办理业务时间</w:t>
            </w:r>
          </w:p>
        </w:tc>
        <w:tc>
          <w:tcPr>
            <w:tcW w:w="6850" w:type="dxa"/>
            <w:vAlign w:val="center"/>
          </w:tcPr>
          <w:p w14:paraId="2628C176">
            <w:pPr>
              <w:snapToGrid w:val="0"/>
              <w:spacing w:line="500" w:lineRule="exact"/>
              <w:rPr>
                <w:rFonts w:ascii="宋体" w:hAnsi="宋体" w:eastAsia="宋体" w:cs="Times New Roman"/>
              </w:rPr>
            </w:pPr>
            <w:r>
              <w:rPr>
                <w:rFonts w:hint="eastAsia" w:ascii="宋体" w:hAnsi="宋体" w:eastAsia="宋体" w:cs="宋体"/>
              </w:rPr>
              <w:t>质疑期内每个工作日</w:t>
            </w:r>
            <w:r>
              <w:rPr>
                <w:rFonts w:ascii="宋体" w:hAnsi="宋体" w:eastAsia="宋体" w:cs="宋体"/>
                <w:u w:val="single"/>
              </w:rPr>
              <w:t>8</w:t>
            </w:r>
            <w:r>
              <w:rPr>
                <w:rFonts w:hint="eastAsia" w:ascii="宋体" w:hAnsi="宋体" w:eastAsia="宋体" w:cs="宋体"/>
              </w:rPr>
              <w:t>时</w:t>
            </w:r>
            <w:r>
              <w:rPr>
                <w:rFonts w:ascii="宋体" w:hAnsi="宋体" w:eastAsia="宋体" w:cs="宋体"/>
                <w:u w:val="single"/>
              </w:rPr>
              <w:t>00</w:t>
            </w:r>
            <w:r>
              <w:rPr>
                <w:rFonts w:hint="eastAsia" w:ascii="宋体" w:hAnsi="宋体" w:eastAsia="宋体" w:cs="宋体"/>
              </w:rPr>
              <w:t>分到</w:t>
            </w:r>
            <w:r>
              <w:rPr>
                <w:rFonts w:ascii="宋体" w:hAnsi="宋体" w:eastAsia="宋体" w:cs="宋体"/>
                <w:u w:val="single"/>
              </w:rPr>
              <w:t>12</w:t>
            </w:r>
            <w:r>
              <w:rPr>
                <w:rFonts w:hint="eastAsia" w:ascii="宋体" w:hAnsi="宋体" w:eastAsia="宋体" w:cs="宋体"/>
              </w:rPr>
              <w:t>时</w:t>
            </w:r>
            <w:r>
              <w:rPr>
                <w:rFonts w:ascii="宋体" w:hAnsi="宋体" w:eastAsia="宋体" w:cs="宋体"/>
                <w:u w:val="single"/>
              </w:rPr>
              <w:t>00</w:t>
            </w:r>
            <w:r>
              <w:rPr>
                <w:rFonts w:hint="eastAsia" w:ascii="宋体" w:hAnsi="宋体" w:eastAsia="宋体" w:cs="宋体"/>
              </w:rPr>
              <w:t>分，</w:t>
            </w:r>
            <w:r>
              <w:rPr>
                <w:rFonts w:ascii="宋体" w:hAnsi="宋体" w:eastAsia="宋体" w:cs="宋体"/>
                <w:u w:val="single"/>
              </w:rPr>
              <w:t xml:space="preserve"> 15</w:t>
            </w:r>
            <w:r>
              <w:rPr>
                <w:rFonts w:hint="eastAsia" w:ascii="宋体" w:hAnsi="宋体" w:eastAsia="宋体" w:cs="宋体"/>
              </w:rPr>
              <w:t>时</w:t>
            </w:r>
            <w:r>
              <w:rPr>
                <w:rFonts w:ascii="宋体" w:hAnsi="宋体" w:eastAsia="宋体" w:cs="宋体"/>
                <w:u w:val="single"/>
              </w:rPr>
              <w:t>00</w:t>
            </w:r>
            <w:r>
              <w:rPr>
                <w:rFonts w:hint="eastAsia" w:ascii="宋体" w:hAnsi="宋体" w:eastAsia="宋体" w:cs="宋体"/>
              </w:rPr>
              <w:t>分到</w:t>
            </w:r>
            <w:r>
              <w:rPr>
                <w:rFonts w:ascii="宋体" w:hAnsi="宋体" w:eastAsia="宋体" w:cs="宋体"/>
                <w:u w:val="single"/>
              </w:rPr>
              <w:t>18</w:t>
            </w:r>
            <w:r>
              <w:rPr>
                <w:rFonts w:hint="eastAsia" w:ascii="宋体" w:hAnsi="宋体" w:eastAsia="宋体" w:cs="宋体"/>
              </w:rPr>
              <w:t>时</w:t>
            </w:r>
            <w:r>
              <w:rPr>
                <w:rFonts w:ascii="宋体" w:hAnsi="宋体" w:eastAsia="宋体" w:cs="宋体"/>
                <w:u w:val="single"/>
              </w:rPr>
              <w:t>00</w:t>
            </w:r>
            <w:r>
              <w:rPr>
                <w:rFonts w:hint="eastAsia" w:ascii="宋体" w:hAnsi="宋体" w:eastAsia="宋体" w:cs="宋体"/>
              </w:rPr>
              <w:t>分</w:t>
            </w:r>
          </w:p>
        </w:tc>
      </w:tr>
      <w:tr w14:paraId="0E7CE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7B91B654">
            <w:pPr>
              <w:widowControl/>
              <w:spacing w:line="500" w:lineRule="exact"/>
              <w:jc w:val="left"/>
              <w:rPr>
                <w:rFonts w:ascii="宋体" w:hAnsi="宋体" w:eastAsia="宋体" w:cs="宋体"/>
              </w:rPr>
            </w:pPr>
            <w:r>
              <w:rPr>
                <w:rFonts w:ascii="宋体" w:hAnsi="宋体" w:eastAsia="宋体" w:cs="宋体"/>
              </w:rPr>
              <w:t>31.6</w:t>
            </w:r>
          </w:p>
        </w:tc>
        <w:tc>
          <w:tcPr>
            <w:tcW w:w="2553" w:type="dxa"/>
            <w:vAlign w:val="center"/>
          </w:tcPr>
          <w:p w14:paraId="595A783F">
            <w:pPr>
              <w:spacing w:line="500" w:lineRule="exact"/>
              <w:jc w:val="center"/>
              <w:rPr>
                <w:rFonts w:ascii="宋体" w:hAnsi="宋体" w:eastAsia="宋体" w:cs="Times New Roman"/>
              </w:rPr>
            </w:pPr>
            <w:r>
              <w:rPr>
                <w:rFonts w:hint="eastAsia" w:ascii="宋体" w:hAnsi="宋体" w:eastAsia="宋体" w:cs="宋体"/>
              </w:rPr>
              <w:t>受理投诉方式</w:t>
            </w:r>
          </w:p>
        </w:tc>
        <w:tc>
          <w:tcPr>
            <w:tcW w:w="6850" w:type="dxa"/>
            <w:vAlign w:val="center"/>
          </w:tcPr>
          <w:p w14:paraId="00585E83">
            <w:pPr>
              <w:snapToGrid w:val="0"/>
              <w:spacing w:line="500" w:lineRule="exact"/>
              <w:rPr>
                <w:rFonts w:ascii="宋体" w:hAnsi="宋体" w:eastAsia="宋体" w:cs="Times New Roman"/>
              </w:rPr>
            </w:pPr>
            <w:r>
              <w:rPr>
                <w:rFonts w:ascii="宋体" w:hAnsi="宋体" w:eastAsia="宋体" w:cs="宋体"/>
              </w:rPr>
              <w:t>1</w:t>
            </w:r>
            <w:r>
              <w:rPr>
                <w:rFonts w:hint="eastAsia" w:ascii="宋体" w:hAnsi="宋体" w:eastAsia="宋体" w:cs="宋体"/>
              </w:rPr>
              <w:t>、受理方式：纸质方式受理，投诉书正、副本（经过质疑的事项才可投诉）。</w:t>
            </w:r>
          </w:p>
          <w:p w14:paraId="2250AE7A">
            <w:pPr>
              <w:snapToGrid w:val="0"/>
              <w:spacing w:line="500" w:lineRule="exact"/>
              <w:rPr>
                <w:rFonts w:ascii="宋体" w:hAnsi="宋体" w:eastAsia="宋体" w:cs="Times New Roman"/>
              </w:rPr>
            </w:pPr>
            <w:r>
              <w:rPr>
                <w:rFonts w:ascii="宋体" w:hAnsi="宋体" w:eastAsia="宋体" w:cs="宋体"/>
              </w:rPr>
              <w:t>2</w:t>
            </w:r>
            <w:r>
              <w:rPr>
                <w:rFonts w:hint="eastAsia" w:ascii="宋体" w:hAnsi="宋体" w:eastAsia="宋体" w:cs="宋体"/>
              </w:rPr>
              <w:t>、邮寄地址：</w:t>
            </w:r>
          </w:p>
          <w:p w14:paraId="017BBEA7">
            <w:pPr>
              <w:snapToGrid w:val="0"/>
              <w:spacing w:line="500" w:lineRule="exact"/>
              <w:rPr>
                <w:rFonts w:ascii="宋体" w:hAnsi="宋体" w:eastAsia="宋体" w:cs="Times New Roman"/>
              </w:rPr>
            </w:pPr>
            <w:r>
              <w:rPr>
                <w:rFonts w:hint="eastAsia" w:ascii="宋体" w:hAnsi="宋体" w:eastAsia="宋体" w:cs="宋体"/>
              </w:rPr>
              <w:t>名称：博白县政府采购监督管理办公室</w:t>
            </w:r>
          </w:p>
          <w:p w14:paraId="62D132BC">
            <w:pPr>
              <w:snapToGrid w:val="0"/>
              <w:spacing w:line="500" w:lineRule="exact"/>
              <w:rPr>
                <w:rFonts w:ascii="宋体" w:hAnsi="宋体" w:eastAsia="宋体" w:cs="Times New Roman"/>
              </w:rPr>
            </w:pPr>
            <w:r>
              <w:rPr>
                <w:rFonts w:hint="eastAsia" w:ascii="宋体" w:hAnsi="宋体" w:eastAsia="宋体" w:cs="宋体"/>
              </w:rPr>
              <w:t>地址：广西壮族自治区玉林市博白县人民中路</w:t>
            </w:r>
            <w:r>
              <w:rPr>
                <w:rFonts w:ascii="宋体" w:hAnsi="宋体" w:eastAsia="宋体" w:cs="宋体"/>
              </w:rPr>
              <w:t>168</w:t>
            </w:r>
            <w:r>
              <w:rPr>
                <w:rFonts w:hint="eastAsia" w:ascii="宋体" w:hAnsi="宋体" w:eastAsia="宋体" w:cs="宋体"/>
              </w:rPr>
              <w:t>号</w:t>
            </w:r>
          </w:p>
          <w:p w14:paraId="64BC7223">
            <w:pPr>
              <w:snapToGrid w:val="0"/>
              <w:spacing w:line="500" w:lineRule="exact"/>
              <w:rPr>
                <w:rFonts w:ascii="宋体" w:hAnsi="宋体" w:eastAsia="宋体" w:cs="宋体"/>
              </w:rPr>
            </w:pPr>
            <w:r>
              <w:rPr>
                <w:rFonts w:hint="eastAsia" w:ascii="宋体" w:hAnsi="宋体" w:eastAsia="宋体" w:cs="宋体"/>
              </w:rPr>
              <w:t>联系电话：</w:t>
            </w:r>
            <w:r>
              <w:rPr>
                <w:rFonts w:ascii="宋体" w:hAnsi="宋体" w:eastAsia="宋体" w:cs="宋体"/>
              </w:rPr>
              <w:t>0775-8331612</w:t>
            </w:r>
          </w:p>
        </w:tc>
      </w:tr>
      <w:tr w14:paraId="3370E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6E5299E6">
            <w:pPr>
              <w:spacing w:line="500" w:lineRule="exact"/>
              <w:jc w:val="center"/>
              <w:rPr>
                <w:rFonts w:ascii="宋体" w:hAnsi="宋体" w:eastAsia="宋体" w:cs="宋体"/>
              </w:rPr>
            </w:pPr>
            <w:r>
              <w:rPr>
                <w:rFonts w:ascii="宋体" w:hAnsi="宋体" w:eastAsia="宋体" w:cs="宋体"/>
              </w:rPr>
              <w:t>33</w:t>
            </w:r>
          </w:p>
        </w:tc>
        <w:tc>
          <w:tcPr>
            <w:tcW w:w="2553" w:type="dxa"/>
            <w:vAlign w:val="center"/>
          </w:tcPr>
          <w:p w14:paraId="7803033B">
            <w:pPr>
              <w:spacing w:line="500" w:lineRule="exact"/>
              <w:jc w:val="center"/>
              <w:rPr>
                <w:rFonts w:ascii="宋体" w:hAnsi="宋体" w:eastAsia="宋体" w:cs="Times New Roman"/>
              </w:rPr>
            </w:pPr>
            <w:r>
              <w:rPr>
                <w:rFonts w:hint="eastAsia" w:ascii="宋体" w:hAnsi="宋体" w:eastAsia="宋体" w:cs="宋体"/>
              </w:rPr>
              <w:t>采购代理服务费</w:t>
            </w:r>
          </w:p>
        </w:tc>
        <w:tc>
          <w:tcPr>
            <w:tcW w:w="6850" w:type="dxa"/>
            <w:vAlign w:val="center"/>
          </w:tcPr>
          <w:p w14:paraId="18F5B9F9">
            <w:pPr>
              <w:pStyle w:val="23"/>
              <w:snapToGrid w:val="0"/>
              <w:spacing w:line="500" w:lineRule="exact"/>
              <w:rPr>
                <w:rFonts w:hAnsi="宋体" w:cs="Times New Roman"/>
                <w:sz w:val="21"/>
                <w:szCs w:val="21"/>
              </w:rPr>
            </w:pPr>
            <w:r>
              <w:rPr>
                <w:rFonts w:hAnsi="宋体"/>
                <w:sz w:val="21"/>
                <w:szCs w:val="21"/>
              </w:rPr>
              <w:t xml:space="preserve">1. </w:t>
            </w:r>
            <w:r>
              <w:rPr>
                <w:rFonts w:hint="eastAsia" w:hAnsi="宋体"/>
                <w:sz w:val="21"/>
                <w:szCs w:val="21"/>
              </w:rPr>
              <w:t>是否收取采购代理费：</w:t>
            </w:r>
          </w:p>
          <w:p w14:paraId="72534FC7">
            <w:pPr>
              <w:pStyle w:val="23"/>
              <w:snapToGrid w:val="0"/>
              <w:spacing w:line="500" w:lineRule="exact"/>
              <w:rPr>
                <w:rFonts w:hAnsi="宋体" w:cs="Times New Roman"/>
                <w:sz w:val="21"/>
                <w:szCs w:val="21"/>
              </w:rPr>
            </w:pPr>
            <w:r>
              <w:rPr>
                <w:rFonts w:hint="eastAsia" w:hAnsi="宋体" w:eastAsia="MS Mincho" w:cs="MS Mincho"/>
                <w:sz w:val="21"/>
                <w:szCs w:val="21"/>
              </w:rPr>
              <w:t>☑</w:t>
            </w:r>
            <w:r>
              <w:rPr>
                <w:rFonts w:hint="eastAsia" w:hAnsi="宋体"/>
                <w:sz w:val="21"/>
                <w:szCs w:val="21"/>
              </w:rPr>
              <w:t>是</w:t>
            </w:r>
            <w:r>
              <w:rPr>
                <w:rFonts w:hAnsi="宋体"/>
                <w:sz w:val="21"/>
                <w:szCs w:val="21"/>
              </w:rPr>
              <w:t xml:space="preserve">    </w:t>
            </w:r>
            <w:r>
              <w:rPr>
                <w:rFonts w:hint="eastAsia" w:hAnsi="宋体"/>
                <w:sz w:val="21"/>
                <w:szCs w:val="21"/>
              </w:rPr>
              <w:t>□否</w:t>
            </w:r>
          </w:p>
          <w:p w14:paraId="536DA670">
            <w:pPr>
              <w:pStyle w:val="23"/>
              <w:snapToGrid w:val="0"/>
              <w:spacing w:line="500" w:lineRule="exact"/>
              <w:rPr>
                <w:rFonts w:hAnsi="宋体" w:cs="Times New Roman"/>
                <w:sz w:val="21"/>
                <w:szCs w:val="21"/>
              </w:rPr>
            </w:pPr>
            <w:r>
              <w:rPr>
                <w:rFonts w:hAnsi="宋体"/>
                <w:sz w:val="21"/>
                <w:szCs w:val="21"/>
              </w:rPr>
              <w:t>2.</w:t>
            </w:r>
            <w:r>
              <w:rPr>
                <w:rFonts w:hint="eastAsia" w:hAnsi="宋体"/>
                <w:sz w:val="21"/>
                <w:szCs w:val="21"/>
              </w:rPr>
              <w:t>采购代理费支付方式：</w:t>
            </w:r>
          </w:p>
          <w:p w14:paraId="1D91EA17">
            <w:pPr>
              <w:pStyle w:val="23"/>
              <w:snapToGrid w:val="0"/>
              <w:spacing w:line="500" w:lineRule="exact"/>
              <w:rPr>
                <w:rFonts w:hAnsi="宋体" w:cs="Times New Roman"/>
                <w:sz w:val="21"/>
                <w:szCs w:val="21"/>
              </w:rPr>
            </w:pPr>
            <w:r>
              <w:rPr>
                <w:rFonts w:hint="eastAsia" w:hAnsi="宋体" w:eastAsia="MS Mincho" w:cs="MS Mincho"/>
                <w:sz w:val="21"/>
                <w:szCs w:val="21"/>
              </w:rPr>
              <w:t>☑</w:t>
            </w:r>
            <w:r>
              <w:rPr>
                <w:rFonts w:hint="eastAsia" w:hAnsi="宋体"/>
                <w:sz w:val="21"/>
                <w:szCs w:val="21"/>
              </w:rPr>
              <w:t>本项目代理服务费由</w:t>
            </w:r>
            <w:r>
              <w:rPr>
                <w:rFonts w:hint="eastAsia" w:hAnsi="宋体"/>
                <w:sz w:val="21"/>
                <w:szCs w:val="21"/>
                <w:u w:val="single"/>
              </w:rPr>
              <w:t>成交供应商</w:t>
            </w:r>
            <w:r>
              <w:rPr>
                <w:rFonts w:hint="eastAsia" w:hAnsi="宋体"/>
                <w:sz w:val="21"/>
                <w:szCs w:val="21"/>
              </w:rPr>
              <w:t>领取成交通知书前，一次性向采购代理机构支付。</w:t>
            </w:r>
          </w:p>
          <w:p w14:paraId="3E8019F2">
            <w:pPr>
              <w:pStyle w:val="23"/>
              <w:snapToGrid w:val="0"/>
              <w:spacing w:line="500" w:lineRule="exact"/>
              <w:rPr>
                <w:rFonts w:hAnsi="宋体"/>
                <w:sz w:val="21"/>
                <w:szCs w:val="21"/>
              </w:rPr>
            </w:pPr>
            <w:r>
              <w:rPr>
                <w:rFonts w:hint="eastAsia" w:hAnsi="宋体"/>
                <w:sz w:val="21"/>
                <w:szCs w:val="21"/>
              </w:rPr>
              <w:t>□采购人支付。</w:t>
            </w:r>
            <w:r>
              <w:rPr>
                <w:rFonts w:hAnsi="宋体"/>
                <w:sz w:val="21"/>
                <w:szCs w:val="21"/>
              </w:rPr>
              <w:t xml:space="preserve"> </w:t>
            </w:r>
          </w:p>
          <w:p w14:paraId="26CAB10D">
            <w:pPr>
              <w:pStyle w:val="23"/>
              <w:snapToGrid w:val="0"/>
              <w:spacing w:line="500" w:lineRule="exact"/>
              <w:rPr>
                <w:rFonts w:hAnsi="宋体" w:cs="Times New Roman"/>
                <w:sz w:val="21"/>
                <w:szCs w:val="21"/>
              </w:rPr>
            </w:pPr>
            <w:r>
              <w:rPr>
                <w:rFonts w:hAnsi="宋体"/>
                <w:sz w:val="21"/>
                <w:szCs w:val="21"/>
              </w:rPr>
              <w:t>3.</w:t>
            </w:r>
            <w:r>
              <w:rPr>
                <w:rFonts w:hint="eastAsia" w:hAnsi="宋体"/>
                <w:sz w:val="21"/>
                <w:szCs w:val="21"/>
              </w:rPr>
              <w:t>采购代理费收取标准：</w:t>
            </w:r>
          </w:p>
          <w:p w14:paraId="299CC480">
            <w:pPr>
              <w:pStyle w:val="23"/>
              <w:snapToGrid w:val="0"/>
              <w:spacing w:line="500" w:lineRule="exact"/>
              <w:rPr>
                <w:rFonts w:hAnsi="宋体" w:cs="Times New Roman"/>
                <w:sz w:val="21"/>
                <w:szCs w:val="21"/>
              </w:rPr>
            </w:pPr>
            <w:r>
              <w:rPr>
                <w:rFonts w:hint="eastAsia" w:hAnsi="宋体" w:eastAsia="MS Mincho" w:cs="MS Mincho"/>
                <w:sz w:val="21"/>
                <w:szCs w:val="21"/>
              </w:rPr>
              <w:t>☑</w:t>
            </w:r>
            <w:r>
              <w:rPr>
                <w:rFonts w:hint="eastAsia" w:hAnsi="宋体"/>
                <w:sz w:val="21"/>
                <w:szCs w:val="21"/>
              </w:rPr>
              <w:t>以分标（</w:t>
            </w:r>
            <w:r>
              <w:rPr>
                <w:rFonts w:hint="eastAsia" w:hAnsi="宋体" w:eastAsia="MS Mincho" w:cs="MS Mincho"/>
                <w:sz w:val="21"/>
                <w:szCs w:val="21"/>
              </w:rPr>
              <w:t>☑</w:t>
            </w:r>
            <w:r>
              <w:rPr>
                <w:rFonts w:hint="eastAsia" w:hAnsi="宋体"/>
                <w:sz w:val="21"/>
                <w:szCs w:val="21"/>
              </w:rPr>
              <w:t>成交金额</w:t>
            </w:r>
            <w:r>
              <w:rPr>
                <w:rFonts w:hAnsi="宋体"/>
                <w:sz w:val="21"/>
                <w:szCs w:val="21"/>
              </w:rPr>
              <w:t>/</w:t>
            </w:r>
            <w:r>
              <w:rPr>
                <w:rFonts w:hint="eastAsia" w:hAnsi="宋体"/>
                <w:sz w:val="21"/>
                <w:szCs w:val="21"/>
              </w:rPr>
              <w:t>□采购预算</w:t>
            </w:r>
            <w:r>
              <w:rPr>
                <w:rFonts w:hAnsi="宋体"/>
                <w:sz w:val="21"/>
                <w:szCs w:val="21"/>
              </w:rPr>
              <w:t>/</w:t>
            </w:r>
            <w:r>
              <w:rPr>
                <w:rFonts w:hint="eastAsia" w:hAnsi="宋体"/>
                <w:sz w:val="21"/>
                <w:szCs w:val="21"/>
              </w:rPr>
              <w:t>□暂定成交金额</w:t>
            </w:r>
            <w:r>
              <w:rPr>
                <w:rFonts w:hAnsi="宋体"/>
                <w:sz w:val="21"/>
                <w:szCs w:val="21"/>
              </w:rPr>
              <w:t>/</w:t>
            </w:r>
            <w:r>
              <w:rPr>
                <w:rFonts w:hint="eastAsia" w:hAnsi="宋体"/>
                <w:sz w:val="21"/>
                <w:szCs w:val="21"/>
              </w:rPr>
              <w:t>□其他）为计费额，按工程类采用差额定率累进法计算出收费基准价格，采购代理收费以国家发展计划委员会《招标代理服务费管理暂行办法》（计价格</w:t>
            </w:r>
            <w:r>
              <w:rPr>
                <w:rFonts w:hint="eastAsia"/>
              </w:rPr>
              <w:t>〔</w:t>
            </w:r>
            <w:r>
              <w:rPr>
                <w:rFonts w:hAnsi="宋体"/>
                <w:sz w:val="21"/>
                <w:szCs w:val="21"/>
              </w:rPr>
              <w:t>2002</w:t>
            </w:r>
            <w:r>
              <w:rPr>
                <w:rFonts w:hint="eastAsia"/>
              </w:rPr>
              <w:t>〕</w:t>
            </w:r>
            <w:r>
              <w:rPr>
                <w:rFonts w:hAnsi="宋体"/>
                <w:sz w:val="21"/>
                <w:szCs w:val="21"/>
              </w:rPr>
              <w:t xml:space="preserve">1980 </w:t>
            </w:r>
            <w:r>
              <w:rPr>
                <w:rFonts w:hint="eastAsia" w:hAnsi="宋体"/>
                <w:sz w:val="21"/>
                <w:szCs w:val="21"/>
              </w:rPr>
              <w:t>号）收费标准、《国家发展改革委关千降低部分建设项目收费标准规范收费行为等有关问题的通知》（发改价格</w:t>
            </w:r>
            <w:r>
              <w:rPr>
                <w:rFonts w:hint="eastAsia"/>
              </w:rPr>
              <w:t>〔</w:t>
            </w:r>
            <w:r>
              <w:rPr>
                <w:rFonts w:hAnsi="宋体"/>
                <w:sz w:val="21"/>
                <w:szCs w:val="21"/>
              </w:rPr>
              <w:t>2011</w:t>
            </w:r>
            <w:r>
              <w:rPr>
                <w:rFonts w:hint="eastAsia"/>
              </w:rPr>
              <w:t>〕</w:t>
            </w:r>
            <w:r>
              <w:rPr>
                <w:rFonts w:hAnsi="宋体"/>
                <w:sz w:val="21"/>
                <w:szCs w:val="21"/>
              </w:rPr>
              <w:t>534</w:t>
            </w:r>
            <w:r>
              <w:rPr>
                <w:rFonts w:hint="eastAsia" w:hAnsi="宋体"/>
                <w:sz w:val="21"/>
                <w:szCs w:val="21"/>
              </w:rPr>
              <w:t>号）（</w:t>
            </w:r>
            <w:r>
              <w:rPr>
                <w:rFonts w:hint="eastAsia" w:hAnsi="宋体" w:eastAsia="MS Mincho" w:cs="MS Mincho"/>
                <w:sz w:val="21"/>
                <w:szCs w:val="21"/>
              </w:rPr>
              <w:t>☑</w:t>
            </w:r>
            <w:r>
              <w:rPr>
                <w:rFonts w:hint="eastAsia" w:hAnsi="宋体"/>
                <w:sz w:val="21"/>
                <w:szCs w:val="21"/>
              </w:rPr>
              <w:t>收费基准价格</w:t>
            </w:r>
            <w:r>
              <w:rPr>
                <w:rFonts w:hAnsi="宋体"/>
                <w:sz w:val="21"/>
                <w:szCs w:val="21"/>
              </w:rPr>
              <w:t>/</w:t>
            </w:r>
            <w:r>
              <w:rPr>
                <w:rFonts w:hint="eastAsia" w:hAnsi="宋体"/>
                <w:sz w:val="21"/>
                <w:szCs w:val="21"/>
              </w:rPr>
              <w:t>□收费基准价格下浮</w:t>
            </w:r>
            <w:r>
              <w:rPr>
                <w:rFonts w:hAnsi="宋体"/>
                <w:sz w:val="21"/>
                <w:szCs w:val="21"/>
              </w:rPr>
              <w:t>%/</w:t>
            </w:r>
            <w:r>
              <w:rPr>
                <w:rFonts w:hint="eastAsia" w:hAnsi="宋体"/>
                <w:sz w:val="21"/>
                <w:szCs w:val="21"/>
              </w:rPr>
              <w:t>□收费基准价格上浮</w:t>
            </w:r>
            <w:r>
              <w:rPr>
                <w:rFonts w:hAnsi="宋体"/>
                <w:sz w:val="21"/>
                <w:szCs w:val="21"/>
                <w:u w:val="single"/>
              </w:rPr>
              <w:t>%</w:t>
            </w:r>
            <w:r>
              <w:rPr>
                <w:rFonts w:hint="eastAsia" w:hAnsi="宋体"/>
                <w:sz w:val="21"/>
                <w:szCs w:val="21"/>
              </w:rPr>
              <w:t>）收取。</w:t>
            </w:r>
          </w:p>
          <w:p w14:paraId="2E92F2A1">
            <w:pPr>
              <w:pStyle w:val="23"/>
              <w:snapToGrid w:val="0"/>
              <w:spacing w:line="500" w:lineRule="exact"/>
              <w:rPr>
                <w:rFonts w:hAnsi="宋体" w:cs="Times New Roman"/>
                <w:sz w:val="21"/>
                <w:szCs w:val="21"/>
              </w:rPr>
            </w:pPr>
            <w:r>
              <w:rPr>
                <w:rFonts w:hAnsi="宋体"/>
                <w:sz w:val="21"/>
                <w:szCs w:val="21"/>
              </w:rPr>
              <w:t>4.</w:t>
            </w:r>
            <w:r>
              <w:rPr>
                <w:rFonts w:hint="eastAsia" w:hAnsi="宋体"/>
                <w:sz w:val="21"/>
                <w:szCs w:val="21"/>
              </w:rPr>
              <w:t>采购代理费收取银行账户</w:t>
            </w:r>
          </w:p>
          <w:p w14:paraId="25CE6DB2">
            <w:pPr>
              <w:pStyle w:val="23"/>
              <w:snapToGrid w:val="0"/>
              <w:spacing w:line="500" w:lineRule="exact"/>
              <w:rPr>
                <w:rFonts w:hAnsi="宋体" w:cs="Times New Roman"/>
                <w:sz w:val="21"/>
                <w:szCs w:val="21"/>
              </w:rPr>
            </w:pPr>
            <w:r>
              <w:rPr>
                <w:rFonts w:hint="eastAsia" w:hAnsi="宋体"/>
                <w:sz w:val="21"/>
                <w:szCs w:val="21"/>
              </w:rPr>
              <w:t>账户名称：广西龙瑞工程管理有限公司</w:t>
            </w:r>
          </w:p>
          <w:p w14:paraId="10472B0A">
            <w:pPr>
              <w:pStyle w:val="23"/>
              <w:snapToGrid w:val="0"/>
              <w:spacing w:line="500" w:lineRule="exact"/>
              <w:rPr>
                <w:rFonts w:hAnsi="宋体" w:cs="Times New Roman"/>
                <w:sz w:val="21"/>
                <w:szCs w:val="21"/>
              </w:rPr>
            </w:pPr>
            <w:r>
              <w:rPr>
                <w:rFonts w:hint="eastAsia" w:hAnsi="宋体"/>
                <w:sz w:val="21"/>
                <w:szCs w:val="21"/>
              </w:rPr>
              <w:t>开户银行：中国建设银行股份有限公司博白支行</w:t>
            </w:r>
          </w:p>
          <w:p w14:paraId="05107489">
            <w:pPr>
              <w:pStyle w:val="23"/>
              <w:snapToGrid w:val="0"/>
              <w:spacing w:line="500" w:lineRule="exact"/>
              <w:rPr>
                <w:rFonts w:hAnsi="宋体"/>
                <w:sz w:val="21"/>
                <w:szCs w:val="21"/>
              </w:rPr>
            </w:pPr>
            <w:r>
              <w:rPr>
                <w:rFonts w:hint="eastAsia" w:hAnsi="宋体"/>
                <w:sz w:val="21"/>
                <w:szCs w:val="21"/>
              </w:rPr>
              <w:t>银行账号：</w:t>
            </w:r>
            <w:r>
              <w:rPr>
                <w:rFonts w:hAnsi="宋体"/>
                <w:sz w:val="21"/>
                <w:szCs w:val="21"/>
              </w:rPr>
              <w:t>4505 0166 4345 0000 1424</w:t>
            </w:r>
          </w:p>
        </w:tc>
      </w:tr>
      <w:tr w14:paraId="08575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108747B2">
            <w:pPr>
              <w:spacing w:line="500" w:lineRule="exact"/>
              <w:jc w:val="center"/>
              <w:rPr>
                <w:rFonts w:ascii="宋体" w:hAnsi="宋体" w:eastAsia="宋体" w:cs="宋体"/>
              </w:rPr>
            </w:pPr>
            <w:r>
              <w:rPr>
                <w:rFonts w:ascii="宋体" w:hAnsi="宋体" w:eastAsia="宋体" w:cs="宋体"/>
              </w:rPr>
              <w:t>34.1</w:t>
            </w:r>
          </w:p>
        </w:tc>
        <w:tc>
          <w:tcPr>
            <w:tcW w:w="2553" w:type="dxa"/>
            <w:vAlign w:val="center"/>
          </w:tcPr>
          <w:p w14:paraId="7CC4DF9E">
            <w:pPr>
              <w:spacing w:line="500" w:lineRule="exact"/>
              <w:jc w:val="center"/>
              <w:rPr>
                <w:rFonts w:ascii="宋体" w:hAnsi="宋体" w:eastAsia="宋体" w:cs="Times New Roman"/>
              </w:rPr>
            </w:pPr>
            <w:r>
              <w:rPr>
                <w:rFonts w:hint="eastAsia" w:ascii="宋体" w:hAnsi="宋体" w:eastAsia="宋体" w:cs="宋体"/>
              </w:rPr>
              <w:t>解释</w:t>
            </w:r>
          </w:p>
        </w:tc>
        <w:tc>
          <w:tcPr>
            <w:tcW w:w="6850" w:type="dxa"/>
            <w:vAlign w:val="center"/>
          </w:tcPr>
          <w:p w14:paraId="5B1FF108">
            <w:pPr>
              <w:pStyle w:val="23"/>
              <w:snapToGrid w:val="0"/>
              <w:spacing w:line="480" w:lineRule="exact"/>
              <w:rPr>
                <w:rFonts w:hAnsi="宋体" w:cs="Times New Roman"/>
                <w:b/>
                <w:bCs/>
                <w:sz w:val="21"/>
                <w:szCs w:val="21"/>
              </w:rPr>
            </w:pPr>
            <w:r>
              <w:rPr>
                <w:rFonts w:hint="eastAsia" w:hAnsi="宋体"/>
                <w:b/>
                <w:bCs/>
                <w:sz w:val="21"/>
                <w:szCs w:val="21"/>
              </w:rPr>
              <w:t>解释权：</w:t>
            </w:r>
            <w:r>
              <w:rPr>
                <w:rFonts w:hint="eastAsia" w:hAnsi="宋体"/>
                <w:sz w:val="21"/>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b/>
                <w:bCs/>
                <w:sz w:val="21"/>
                <w:szCs w:val="21"/>
              </w:rPr>
              <w:t>由采购人或者采购代理机构负责解释。</w:t>
            </w:r>
          </w:p>
          <w:p w14:paraId="48FB160D">
            <w:pPr>
              <w:pStyle w:val="23"/>
              <w:snapToGrid w:val="0"/>
              <w:spacing w:line="480" w:lineRule="exact"/>
              <w:rPr>
                <w:rFonts w:hAnsi="宋体" w:cs="Times New Roman"/>
                <w:b/>
                <w:bCs/>
                <w:sz w:val="21"/>
                <w:szCs w:val="21"/>
              </w:rPr>
            </w:pPr>
            <w:r>
              <w:rPr>
                <w:rFonts w:hint="eastAsia" w:hAnsi="宋体"/>
                <w:b/>
                <w:bCs/>
                <w:sz w:val="21"/>
                <w:szCs w:val="21"/>
              </w:rPr>
              <w:t>法律责任：</w:t>
            </w:r>
          </w:p>
          <w:p w14:paraId="3D611CC8">
            <w:pPr>
              <w:pStyle w:val="23"/>
              <w:snapToGrid w:val="0"/>
              <w:spacing w:line="480" w:lineRule="exact"/>
              <w:rPr>
                <w:rFonts w:hAnsi="宋体" w:cs="Times New Roman"/>
                <w:sz w:val="21"/>
                <w:szCs w:val="21"/>
              </w:rPr>
            </w:pPr>
            <w:r>
              <w:rPr>
                <w:rFonts w:hAnsi="宋体"/>
                <w:b/>
                <w:bCs/>
                <w:sz w:val="21"/>
                <w:szCs w:val="21"/>
              </w:rPr>
              <w:t>1.</w:t>
            </w:r>
            <w:r>
              <w:rPr>
                <w:rFonts w:hint="eastAsia" w:hAnsi="宋体"/>
                <w:sz w:val="21"/>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10F4AC6">
            <w:pPr>
              <w:spacing w:line="480" w:lineRule="exact"/>
              <w:rPr>
                <w:rFonts w:ascii="宋体" w:hAnsi="宋体" w:eastAsia="宋体" w:cs="Times New Roman"/>
              </w:rPr>
            </w:pPr>
            <w:r>
              <w:rPr>
                <w:rFonts w:ascii="宋体" w:hAnsi="宋体" w:eastAsia="宋体" w:cs="宋体"/>
                <w:b/>
                <w:bCs/>
              </w:rPr>
              <w:t>2.</w:t>
            </w:r>
            <w:r>
              <w:rPr>
                <w:rFonts w:hint="eastAsia" w:ascii="宋体" w:hAnsi="宋体" w:eastAsia="宋体" w:cs="宋体"/>
                <w:b/>
                <w:bCs/>
              </w:rPr>
              <w:t>本项目采购代理机构应严格按照“广西政府采购云”平台项目采购全流程电子化电子开评标规程执行项目采购活动，代理机构在“广西政府采购云”平台的“项目管理”</w:t>
            </w:r>
            <w:r>
              <w:rPr>
                <w:rFonts w:ascii="宋体" w:hAnsi="宋体" w:eastAsia="宋体" w:cs="宋体"/>
                <w:b/>
                <w:bCs/>
              </w:rPr>
              <w:t>—</w:t>
            </w:r>
            <w:r>
              <w:rPr>
                <w:rFonts w:hint="eastAsia" w:ascii="宋体" w:hAnsi="宋体" w:eastAsia="宋体" w:cs="宋体"/>
                <w:b/>
                <w:bCs/>
              </w:rPr>
              <w:t>“采购文件管理”内开评标规则设置作为本采购文件的组成部分，截标之后不可更改，因代理机构开评标规则设置错误导致采购活动无法开展下去的情况，由代理机构负责解释并承担其后果。</w:t>
            </w:r>
          </w:p>
        </w:tc>
      </w:tr>
      <w:tr w14:paraId="17FAA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Align w:val="center"/>
          </w:tcPr>
          <w:p w14:paraId="6C063D64">
            <w:pPr>
              <w:spacing w:line="500" w:lineRule="exact"/>
              <w:jc w:val="center"/>
              <w:rPr>
                <w:rFonts w:ascii="宋体" w:hAnsi="宋体" w:eastAsia="宋体" w:cs="宋体"/>
              </w:rPr>
            </w:pPr>
            <w:r>
              <w:rPr>
                <w:rFonts w:ascii="宋体" w:hAnsi="宋体" w:eastAsia="宋体" w:cs="宋体"/>
              </w:rPr>
              <w:t>34.2</w:t>
            </w:r>
          </w:p>
        </w:tc>
        <w:tc>
          <w:tcPr>
            <w:tcW w:w="2553" w:type="dxa"/>
            <w:vAlign w:val="center"/>
          </w:tcPr>
          <w:p w14:paraId="0FF0E0EF">
            <w:pPr>
              <w:spacing w:line="500" w:lineRule="exact"/>
              <w:jc w:val="center"/>
              <w:rPr>
                <w:rFonts w:ascii="宋体" w:hAnsi="宋体" w:eastAsia="宋体" w:cs="Times New Roman"/>
              </w:rPr>
            </w:pPr>
            <w:r>
              <w:rPr>
                <w:rFonts w:hint="eastAsia" w:ascii="宋体" w:hAnsi="宋体" w:eastAsia="宋体" w:cs="宋体"/>
              </w:rPr>
              <w:t>其他</w:t>
            </w:r>
          </w:p>
        </w:tc>
        <w:tc>
          <w:tcPr>
            <w:tcW w:w="6850" w:type="dxa"/>
            <w:vAlign w:val="center"/>
          </w:tcPr>
          <w:p w14:paraId="2AA1BBB2">
            <w:pPr>
              <w:pStyle w:val="23"/>
              <w:snapToGrid w:val="0"/>
              <w:spacing w:line="480" w:lineRule="exact"/>
              <w:rPr>
                <w:rFonts w:hAnsi="宋体" w:cs="Times New Roman"/>
                <w:sz w:val="21"/>
                <w:szCs w:val="21"/>
              </w:rPr>
            </w:pPr>
            <w:r>
              <w:rPr>
                <w:rFonts w:hAnsi="宋体"/>
                <w:sz w:val="21"/>
                <w:szCs w:val="21"/>
              </w:rPr>
              <w:t>1.</w:t>
            </w:r>
            <w:r>
              <w:rPr>
                <w:rFonts w:hint="eastAsia" w:hAnsi="宋体"/>
                <w:sz w:val="21"/>
                <w:szCs w:val="21"/>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sz w:val="21"/>
                <w:szCs w:val="21"/>
              </w:rPr>
              <w:t>/</w:t>
            </w:r>
            <w:r>
              <w:rPr>
                <w:rFonts w:hint="eastAsia" w:hAnsi="宋体"/>
                <w:sz w:val="21"/>
                <w:szCs w:val="21"/>
              </w:rPr>
              <w:t>投标专用章、业务专用章及银行的转账章、现金收讫章、现金付讫章等其他形式印章均不能代替公章。</w:t>
            </w:r>
          </w:p>
          <w:p w14:paraId="5C45A97C">
            <w:pPr>
              <w:pStyle w:val="23"/>
              <w:snapToGrid w:val="0"/>
              <w:spacing w:line="480" w:lineRule="exact"/>
              <w:rPr>
                <w:rFonts w:hAnsi="宋体" w:cs="Times New Roman"/>
                <w:sz w:val="21"/>
                <w:szCs w:val="21"/>
              </w:rPr>
            </w:pPr>
            <w:r>
              <w:rPr>
                <w:rFonts w:hAnsi="宋体"/>
                <w:sz w:val="21"/>
                <w:szCs w:val="21"/>
              </w:rPr>
              <w:t>2.</w:t>
            </w:r>
            <w:r>
              <w:rPr>
                <w:rFonts w:hint="eastAsia" w:hAnsi="宋体"/>
                <w:sz w:val="21"/>
                <w:szCs w:val="21"/>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47F4CE7">
            <w:pPr>
              <w:pStyle w:val="23"/>
              <w:snapToGrid w:val="0"/>
              <w:spacing w:line="480" w:lineRule="exact"/>
              <w:rPr>
                <w:rFonts w:hAnsi="宋体" w:cs="Times New Roman"/>
                <w:sz w:val="21"/>
                <w:szCs w:val="21"/>
              </w:rPr>
            </w:pPr>
            <w:r>
              <w:rPr>
                <w:rFonts w:hAnsi="宋体"/>
                <w:sz w:val="21"/>
                <w:szCs w:val="21"/>
              </w:rPr>
              <w:t>3.</w:t>
            </w:r>
            <w:r>
              <w:rPr>
                <w:rFonts w:hint="eastAsia" w:hAnsi="宋体"/>
                <w:sz w:val="21"/>
                <w:szCs w:val="21"/>
              </w:rPr>
              <w:t>本磋商文件中描述供应商的“签字”是指供应商的法定代表人或者委托代理人亲自在文件规定签署处亲笔写上个人的名字的行为，私章、签字章、印鉴、影印等其他形式均不能代替亲笔签字。</w:t>
            </w:r>
          </w:p>
          <w:p w14:paraId="636DF045">
            <w:pPr>
              <w:pStyle w:val="23"/>
              <w:snapToGrid w:val="0"/>
              <w:spacing w:line="480" w:lineRule="exact"/>
              <w:rPr>
                <w:rFonts w:hAnsi="宋体" w:cs="Times New Roman"/>
                <w:sz w:val="21"/>
                <w:szCs w:val="21"/>
              </w:rPr>
            </w:pPr>
            <w:r>
              <w:rPr>
                <w:rFonts w:hAnsi="宋体"/>
                <w:sz w:val="21"/>
                <w:szCs w:val="21"/>
              </w:rPr>
              <w:t>4.</w:t>
            </w:r>
            <w:r>
              <w:rPr>
                <w:rFonts w:hint="eastAsia" w:hAnsi="宋体"/>
                <w:sz w:val="21"/>
                <w:szCs w:val="21"/>
              </w:rPr>
              <w:t>自然人竞标的，磋商文件规定盖公章处由自然人摁手指指印。</w:t>
            </w:r>
          </w:p>
          <w:p w14:paraId="29F560F7">
            <w:pPr>
              <w:pStyle w:val="23"/>
              <w:snapToGrid w:val="0"/>
              <w:spacing w:line="480" w:lineRule="exact"/>
              <w:rPr>
                <w:rFonts w:hAnsi="宋体" w:cs="Times New Roman"/>
                <w:sz w:val="21"/>
                <w:szCs w:val="21"/>
              </w:rPr>
            </w:pPr>
            <w:r>
              <w:rPr>
                <w:rFonts w:hAnsi="宋体"/>
                <w:sz w:val="21"/>
                <w:szCs w:val="21"/>
              </w:rPr>
              <w:t>5.</w:t>
            </w:r>
            <w:r>
              <w:rPr>
                <w:rFonts w:hint="eastAsia" w:hAnsi="宋体"/>
                <w:sz w:val="21"/>
                <w:szCs w:val="21"/>
              </w:rPr>
              <w:t>本磋商文件所称的“以上”“以下”“以内”“届满”，包括本数；所称的“不满”“超过”“以外”，不包括本数。</w:t>
            </w:r>
          </w:p>
        </w:tc>
      </w:tr>
    </w:tbl>
    <w:p w14:paraId="1579E1DA">
      <w:pPr>
        <w:pStyle w:val="3"/>
        <w:spacing w:line="420" w:lineRule="exact"/>
        <w:jc w:val="center"/>
        <w:rPr>
          <w:rFonts w:ascii="宋体" w:cs="Times New Roman"/>
          <w:sz w:val="30"/>
          <w:szCs w:val="30"/>
        </w:rPr>
      </w:pPr>
      <w:r>
        <w:rPr>
          <w:rFonts w:ascii="宋体" w:cs="Times New Roman"/>
        </w:rPr>
        <w:br w:type="page"/>
      </w:r>
      <w:bookmarkStart w:id="39" w:name="_Toc18584"/>
      <w:bookmarkStart w:id="40" w:name="_Toc137571886"/>
      <w:bookmarkStart w:id="41" w:name="_Toc144977162"/>
      <w:r>
        <w:rPr>
          <w:rFonts w:hint="eastAsia" w:ascii="宋体" w:hAnsi="宋体" w:cs="宋体"/>
          <w:sz w:val="30"/>
          <w:szCs w:val="30"/>
        </w:rPr>
        <w:t>第二节</w:t>
      </w:r>
      <w:r>
        <w:rPr>
          <w:rFonts w:ascii="宋体" w:hAnsi="宋体" w:cs="宋体"/>
          <w:sz w:val="30"/>
          <w:szCs w:val="30"/>
        </w:rPr>
        <w:t xml:space="preserve"> </w:t>
      </w:r>
      <w:r>
        <w:rPr>
          <w:rFonts w:hint="eastAsia" w:ascii="宋体" w:hAnsi="宋体" w:cs="宋体"/>
          <w:sz w:val="30"/>
          <w:szCs w:val="30"/>
        </w:rPr>
        <w:t>供应商须知正文</w:t>
      </w:r>
      <w:bookmarkEnd w:id="39"/>
      <w:bookmarkEnd w:id="40"/>
      <w:bookmarkEnd w:id="41"/>
    </w:p>
    <w:p w14:paraId="6565A316">
      <w:pPr>
        <w:pStyle w:val="4"/>
        <w:spacing w:before="0" w:after="0" w:line="500" w:lineRule="exact"/>
        <w:ind w:firstLine="310" w:firstLineChars="147"/>
        <w:rPr>
          <w:rFonts w:ascii="宋体" w:cs="宋体"/>
          <w:sz w:val="21"/>
          <w:szCs w:val="21"/>
        </w:rPr>
      </w:pPr>
      <w:bookmarkStart w:id="42" w:name="_Toc12304"/>
      <w:bookmarkStart w:id="43" w:name="_Toc110327552"/>
      <w:bookmarkStart w:id="44" w:name="_Toc106616818"/>
      <w:bookmarkStart w:id="45" w:name="_Toc144977163"/>
      <w:r>
        <w:rPr>
          <w:rFonts w:hint="eastAsia" w:ascii="宋体" w:hAnsi="宋体" w:cs="宋体"/>
          <w:sz w:val="21"/>
          <w:szCs w:val="21"/>
        </w:rPr>
        <w:t>一、总则</w:t>
      </w:r>
      <w:bookmarkEnd w:id="42"/>
      <w:bookmarkEnd w:id="43"/>
      <w:bookmarkEnd w:id="44"/>
      <w:bookmarkEnd w:id="45"/>
    </w:p>
    <w:p w14:paraId="6BD2B5F1">
      <w:pPr>
        <w:spacing w:line="500" w:lineRule="exact"/>
        <w:ind w:firstLine="422" w:firstLineChars="200"/>
        <w:rPr>
          <w:rFonts w:ascii="宋体" w:hAnsi="宋体" w:eastAsia="宋体" w:cs="Times New Roman"/>
          <w:b/>
          <w:bCs/>
        </w:rPr>
      </w:pPr>
      <w:r>
        <w:rPr>
          <w:rFonts w:ascii="宋体" w:hAnsi="宋体" w:eastAsia="宋体" w:cs="宋体"/>
          <w:b/>
          <w:bCs/>
        </w:rPr>
        <w:t>1.</w:t>
      </w:r>
      <w:r>
        <w:rPr>
          <w:rFonts w:hint="eastAsia" w:ascii="宋体" w:hAnsi="宋体" w:eastAsia="宋体" w:cs="宋体"/>
          <w:b/>
          <w:bCs/>
        </w:rPr>
        <w:t>适用范围</w:t>
      </w:r>
    </w:p>
    <w:p w14:paraId="0F14AC1C">
      <w:pPr>
        <w:spacing w:line="500" w:lineRule="exact"/>
        <w:ind w:firstLine="420" w:firstLineChars="200"/>
        <w:rPr>
          <w:rFonts w:ascii="宋体" w:hAnsi="宋体" w:eastAsia="宋体" w:cs="Times New Roman"/>
        </w:rPr>
      </w:pPr>
      <w:r>
        <w:rPr>
          <w:rFonts w:ascii="宋体" w:hAnsi="宋体" w:eastAsia="宋体" w:cs="宋体"/>
        </w:rPr>
        <w:t>1.1</w:t>
      </w:r>
      <w:r>
        <w:rPr>
          <w:rFonts w:hint="eastAsia" w:ascii="宋体" w:hAnsi="宋体" w:eastAsia="宋体" w:cs="宋体"/>
        </w:rPr>
        <w:t>本项目采购人、采购代理机构、供应商、磋商小组的相关行为均受《中华人民共和国政府采购法》</w:t>
      </w:r>
      <w:r>
        <w:rPr>
          <w:rFonts w:ascii="宋体" w:hAnsi="宋体" w:eastAsia="宋体" w:cs="宋体"/>
        </w:rPr>
        <w:t xml:space="preserve"> </w:t>
      </w:r>
      <w:r>
        <w:rPr>
          <w:rFonts w:hint="eastAsia" w:ascii="宋体" w:hAnsi="宋体" w:eastAsia="宋体" w:cs="宋体"/>
        </w:rPr>
        <w:t>《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344049F">
      <w:pPr>
        <w:spacing w:line="500" w:lineRule="exact"/>
        <w:ind w:firstLine="420" w:firstLineChars="200"/>
        <w:rPr>
          <w:rFonts w:ascii="宋体" w:hAnsi="宋体" w:eastAsia="宋体" w:cs="Times New Roman"/>
        </w:rPr>
      </w:pPr>
      <w:r>
        <w:rPr>
          <w:rFonts w:ascii="宋体" w:hAnsi="宋体" w:eastAsia="宋体" w:cs="宋体"/>
        </w:rPr>
        <w:t>1.2</w:t>
      </w:r>
      <w:r>
        <w:rPr>
          <w:rFonts w:hint="eastAsia" w:ascii="宋体" w:hAnsi="宋体" w:eastAsia="宋体" w:cs="宋体"/>
          <w:spacing w:val="-6"/>
        </w:rPr>
        <w:t>本竞争性磋商文件（以下简称磋商文件）适用于本项目的所有采购程序和环节（法律、法规另有规定的，从其规定）。</w:t>
      </w:r>
    </w:p>
    <w:p w14:paraId="1FF56874">
      <w:pPr>
        <w:spacing w:line="500" w:lineRule="exact"/>
        <w:ind w:firstLine="422" w:firstLineChars="200"/>
        <w:rPr>
          <w:rFonts w:ascii="宋体" w:hAnsi="宋体" w:eastAsia="宋体" w:cs="Times New Roman"/>
          <w:b/>
          <w:bCs/>
        </w:rPr>
      </w:pPr>
      <w:r>
        <w:rPr>
          <w:rFonts w:ascii="宋体" w:hAnsi="宋体" w:eastAsia="宋体" w:cs="宋体"/>
          <w:b/>
          <w:bCs/>
        </w:rPr>
        <w:t>2.</w:t>
      </w:r>
      <w:r>
        <w:rPr>
          <w:rFonts w:hint="eastAsia" w:ascii="宋体" w:hAnsi="宋体" w:eastAsia="宋体" w:cs="宋体"/>
          <w:b/>
          <w:bCs/>
        </w:rPr>
        <w:t>定义</w:t>
      </w:r>
    </w:p>
    <w:p w14:paraId="5DEAF2C8">
      <w:pPr>
        <w:spacing w:line="500" w:lineRule="exact"/>
        <w:ind w:firstLine="420" w:firstLineChars="200"/>
        <w:rPr>
          <w:rFonts w:ascii="宋体" w:hAnsi="宋体" w:eastAsia="宋体" w:cs="Times New Roman"/>
        </w:rPr>
      </w:pPr>
      <w:r>
        <w:rPr>
          <w:rFonts w:ascii="宋体" w:hAnsi="宋体" w:eastAsia="宋体" w:cs="宋体"/>
        </w:rPr>
        <w:t>2.1</w:t>
      </w:r>
      <w:r>
        <w:rPr>
          <w:rFonts w:hint="eastAsia" w:ascii="宋体" w:hAnsi="宋体" w:eastAsia="宋体" w:cs="宋体"/>
        </w:rPr>
        <w:t>“采购人”是指依法进行政府采购的国家机关、事业单位、团体组织。</w:t>
      </w:r>
    </w:p>
    <w:p w14:paraId="454B21B5">
      <w:pPr>
        <w:spacing w:line="500" w:lineRule="exact"/>
        <w:ind w:firstLine="420" w:firstLineChars="200"/>
        <w:rPr>
          <w:rFonts w:ascii="宋体" w:hAnsi="宋体" w:eastAsia="宋体" w:cs="Times New Roman"/>
          <w:u w:val="single"/>
        </w:rPr>
      </w:pPr>
      <w:r>
        <w:rPr>
          <w:rFonts w:ascii="宋体" w:hAnsi="宋体" w:eastAsia="宋体" w:cs="宋体"/>
        </w:rPr>
        <w:t>2.2</w:t>
      </w:r>
      <w:r>
        <w:rPr>
          <w:rFonts w:hint="eastAsia" w:ascii="宋体" w:hAnsi="宋体" w:eastAsia="宋体" w:cs="宋体"/>
        </w:rPr>
        <w:t>“采购代理机构”是指政府采购集中采购机构和集中采购机构以外的采购代理机构。</w:t>
      </w:r>
    </w:p>
    <w:p w14:paraId="70B1FA8E">
      <w:pPr>
        <w:spacing w:line="500" w:lineRule="exact"/>
        <w:ind w:firstLine="420" w:firstLineChars="200"/>
        <w:rPr>
          <w:rFonts w:ascii="宋体" w:hAnsi="宋体" w:eastAsia="宋体" w:cs="Times New Roman"/>
        </w:rPr>
      </w:pPr>
      <w:r>
        <w:rPr>
          <w:rFonts w:ascii="宋体" w:hAnsi="宋体" w:eastAsia="宋体" w:cs="宋体"/>
        </w:rPr>
        <w:t>2.3</w:t>
      </w:r>
      <w:r>
        <w:rPr>
          <w:rFonts w:hint="eastAsia" w:ascii="宋体" w:hAnsi="宋体" w:eastAsia="宋体" w:cs="宋体"/>
        </w:rPr>
        <w:t>“供应商”是指向采购人提供货物、工程或者服务的法人、其他组织或者自然人。</w:t>
      </w:r>
    </w:p>
    <w:p w14:paraId="63506619">
      <w:pPr>
        <w:spacing w:line="500" w:lineRule="exact"/>
        <w:ind w:firstLine="420" w:firstLineChars="200"/>
        <w:rPr>
          <w:rFonts w:ascii="宋体" w:hAnsi="宋体" w:eastAsia="宋体" w:cs="Times New Roman"/>
        </w:rPr>
      </w:pPr>
      <w:r>
        <w:rPr>
          <w:rFonts w:ascii="宋体" w:hAnsi="宋体" w:eastAsia="宋体" w:cs="宋体"/>
        </w:rPr>
        <w:t>2.4</w:t>
      </w:r>
      <w:r>
        <w:rPr>
          <w:rFonts w:hint="eastAsia" w:ascii="宋体" w:hAnsi="宋体" w:eastAsia="宋体" w:cs="宋体"/>
        </w:rPr>
        <w:t>“工程”是指除货物和服务以外的其他政府采购对象。</w:t>
      </w:r>
    </w:p>
    <w:p w14:paraId="52BD53D2">
      <w:pPr>
        <w:spacing w:line="500" w:lineRule="exact"/>
        <w:ind w:firstLine="420" w:firstLineChars="200"/>
        <w:rPr>
          <w:rFonts w:ascii="宋体" w:hAnsi="宋体" w:eastAsia="宋体" w:cs="Times New Roman"/>
        </w:rPr>
      </w:pPr>
      <w:r>
        <w:rPr>
          <w:rFonts w:ascii="宋体" w:hAnsi="宋体" w:eastAsia="宋体" w:cs="宋体"/>
        </w:rPr>
        <w:t>2.5</w:t>
      </w:r>
      <w:r>
        <w:rPr>
          <w:rFonts w:hint="eastAsia" w:ascii="宋体" w:hAnsi="宋体" w:eastAsia="宋体" w:cs="宋体"/>
        </w:rPr>
        <w:t>“竞标”是指供应商按照本项目竞争性磋商公告或者邀请函规定的方式获取磋商文件、提交响应文件并希望获得标的的行为。</w:t>
      </w:r>
    </w:p>
    <w:p w14:paraId="406CF269">
      <w:pPr>
        <w:spacing w:line="500" w:lineRule="exact"/>
        <w:ind w:firstLine="420" w:firstLineChars="200"/>
        <w:rPr>
          <w:rFonts w:ascii="宋体" w:hAnsi="宋体" w:eastAsia="宋体" w:cs="Times New Roman"/>
        </w:rPr>
      </w:pPr>
      <w:r>
        <w:rPr>
          <w:rFonts w:ascii="宋体" w:hAnsi="宋体" w:eastAsia="宋体" w:cs="宋体"/>
        </w:rPr>
        <w:t>2.6</w:t>
      </w:r>
      <w:r>
        <w:rPr>
          <w:rFonts w:hint="eastAsia" w:ascii="宋体" w:hAnsi="宋体" w:eastAsia="宋体" w:cs="宋体"/>
        </w:rPr>
        <w:t>“响应文件”</w:t>
      </w:r>
      <w:r>
        <w:rPr>
          <w:rFonts w:hint="eastAsia" w:ascii="宋体" w:hAnsi="宋体" w:eastAsia="宋体" w:cs="宋体"/>
          <w:spacing w:val="-6"/>
        </w:rPr>
        <w:t>是指：供应商根据本磋商文件要求，编制包含资格证明、报价商务技术等所有内容的文件。</w:t>
      </w:r>
    </w:p>
    <w:p w14:paraId="22345276">
      <w:pPr>
        <w:spacing w:line="500" w:lineRule="exact"/>
        <w:ind w:firstLine="420" w:firstLineChars="200"/>
        <w:rPr>
          <w:rFonts w:ascii="宋体" w:hAnsi="宋体" w:eastAsia="宋体" w:cs="Times New Roman"/>
        </w:rPr>
      </w:pPr>
      <w:r>
        <w:rPr>
          <w:rFonts w:ascii="宋体" w:hAnsi="宋体" w:eastAsia="宋体" w:cs="宋体"/>
        </w:rPr>
        <w:t>2.7</w:t>
      </w:r>
      <w:r>
        <w:rPr>
          <w:rFonts w:hint="eastAsia" w:ascii="宋体" w:hAnsi="宋体" w:eastAsia="宋体" w:cs="宋体"/>
        </w:rPr>
        <w:t>“实质性要求”是指磋商文件中已经指明不满足则响应文件按无效响应处理的条款，或者不能负偏离的条款，或者采购需求中带“▲”的条款。</w:t>
      </w:r>
    </w:p>
    <w:p w14:paraId="002EC948">
      <w:pPr>
        <w:spacing w:line="500" w:lineRule="exact"/>
        <w:ind w:firstLine="420" w:firstLineChars="200"/>
        <w:rPr>
          <w:rFonts w:ascii="宋体" w:hAnsi="宋体" w:eastAsia="宋体" w:cs="Times New Roman"/>
        </w:rPr>
      </w:pPr>
      <w:r>
        <w:rPr>
          <w:rFonts w:ascii="宋体" w:hAnsi="宋体" w:eastAsia="宋体" w:cs="宋体"/>
        </w:rPr>
        <w:t>2.8</w:t>
      </w:r>
      <w:r>
        <w:rPr>
          <w:rFonts w:hint="eastAsia" w:ascii="宋体" w:hAnsi="宋体" w:eastAsia="宋体" w:cs="宋体"/>
        </w:rPr>
        <w:t>“正偏离”，是指响应文件对磋商文件“采购需求”中有关条款作出的响应优于条款要求并有利于采购人的情形。</w:t>
      </w:r>
    </w:p>
    <w:p w14:paraId="68B88D50">
      <w:pPr>
        <w:spacing w:line="500" w:lineRule="exact"/>
        <w:ind w:firstLine="420" w:firstLineChars="200"/>
        <w:rPr>
          <w:rFonts w:ascii="宋体" w:hAnsi="宋体" w:eastAsia="宋体" w:cs="Times New Roman"/>
        </w:rPr>
      </w:pPr>
      <w:r>
        <w:rPr>
          <w:rFonts w:ascii="宋体" w:hAnsi="宋体" w:eastAsia="宋体" w:cs="宋体"/>
        </w:rPr>
        <w:t>2.9</w:t>
      </w:r>
      <w:r>
        <w:rPr>
          <w:rFonts w:hint="eastAsia" w:ascii="宋体" w:hAnsi="宋体" w:eastAsia="宋体" w:cs="宋体"/>
        </w:rPr>
        <w:t>“负偏离”，是指响应文件对磋商文件“采购需求”中有关条款作出的响应不满足条款要求，导致采购人要求不能得到满足的情形。</w:t>
      </w:r>
    </w:p>
    <w:p w14:paraId="49293ABB">
      <w:pPr>
        <w:spacing w:line="500" w:lineRule="exact"/>
        <w:ind w:firstLine="420" w:firstLineChars="200"/>
        <w:rPr>
          <w:rFonts w:ascii="宋体" w:hAnsi="宋体" w:eastAsia="宋体" w:cs="Times New Roman"/>
        </w:rPr>
      </w:pPr>
      <w:r>
        <w:rPr>
          <w:rFonts w:ascii="宋体" w:hAnsi="宋体" w:eastAsia="宋体" w:cs="宋体"/>
        </w:rPr>
        <w:t>2.10</w:t>
      </w:r>
      <w:r>
        <w:rPr>
          <w:rFonts w:hint="eastAsia" w:ascii="宋体" w:hAnsi="宋体" w:eastAsia="宋体" w:cs="宋体"/>
        </w:rPr>
        <w:t>“允许负偏离的条款”是指采购需求中的不属于“实质性要求”的条款。</w:t>
      </w:r>
    </w:p>
    <w:p w14:paraId="095D2FB3">
      <w:pPr>
        <w:spacing w:line="500" w:lineRule="exact"/>
        <w:ind w:firstLine="420" w:firstLineChars="200"/>
        <w:rPr>
          <w:rFonts w:ascii="宋体" w:hAnsi="宋体" w:eastAsia="宋体" w:cs="Times New Roman"/>
        </w:rPr>
      </w:pPr>
      <w:r>
        <w:rPr>
          <w:rFonts w:ascii="宋体" w:hAnsi="宋体" w:eastAsia="宋体" w:cs="宋体"/>
        </w:rPr>
        <w:t>2.11</w:t>
      </w:r>
      <w:r>
        <w:rPr>
          <w:rFonts w:hint="eastAsia" w:ascii="宋体" w:hAnsi="宋体" w:eastAsia="宋体" w:cs="宋体"/>
        </w:rPr>
        <w:t>“书面形式”是指合同书、信件和数据电文（包括电报、电传、传真、电子数据交换和电子邮件）等可以有形地表现所载内容的形式。</w:t>
      </w:r>
    </w:p>
    <w:p w14:paraId="7C94A3D9">
      <w:pPr>
        <w:spacing w:line="500" w:lineRule="exact"/>
        <w:ind w:firstLine="420" w:firstLineChars="200"/>
        <w:rPr>
          <w:rFonts w:ascii="宋体" w:hAnsi="宋体" w:eastAsia="宋体" w:cs="Times New Roman"/>
        </w:rPr>
      </w:pPr>
      <w:r>
        <w:rPr>
          <w:rFonts w:ascii="宋体" w:hAnsi="宋体" w:eastAsia="宋体" w:cs="宋体"/>
        </w:rPr>
        <w:t>2.12</w:t>
      </w:r>
      <w:r>
        <w:rPr>
          <w:rFonts w:hint="eastAsia" w:ascii="宋体" w:hAnsi="宋体" w:eastAsia="宋体" w:cs="宋体"/>
        </w:rPr>
        <w:t>“首次报价”是指供应商提交的首次响应文件中的报价。</w:t>
      </w:r>
    </w:p>
    <w:p w14:paraId="143E131C">
      <w:pPr>
        <w:spacing w:line="500" w:lineRule="exact"/>
        <w:ind w:firstLine="420" w:firstLineChars="200"/>
        <w:rPr>
          <w:rFonts w:ascii="宋体" w:hAnsi="宋体" w:eastAsia="宋体" w:cs="Times New Roman"/>
        </w:rPr>
      </w:pPr>
      <w:r>
        <w:rPr>
          <w:rFonts w:ascii="宋体" w:hAnsi="宋体" w:eastAsia="宋体" w:cs="宋体"/>
        </w:rPr>
        <w:t>2.13</w:t>
      </w:r>
      <w:r>
        <w:rPr>
          <w:rFonts w:hint="eastAsia" w:ascii="宋体" w:hAnsi="宋体" w:eastAsia="宋体" w:cs="宋体"/>
        </w:rPr>
        <w:t>“评审报价”是指供应商提交的最后报价并经修正（如有）和政策功能价格扣除（如有）后的价格。</w:t>
      </w:r>
    </w:p>
    <w:p w14:paraId="32145491">
      <w:pPr>
        <w:spacing w:line="500" w:lineRule="exact"/>
        <w:ind w:firstLine="422" w:firstLineChars="200"/>
        <w:rPr>
          <w:rFonts w:ascii="宋体" w:hAnsi="宋体" w:eastAsia="宋体" w:cs="Times New Roman"/>
          <w:b/>
          <w:bCs/>
        </w:rPr>
      </w:pPr>
      <w:r>
        <w:rPr>
          <w:rFonts w:ascii="宋体" w:hAnsi="宋体" w:eastAsia="宋体" w:cs="宋体"/>
          <w:b/>
          <w:bCs/>
        </w:rPr>
        <w:t>3.</w:t>
      </w:r>
      <w:r>
        <w:rPr>
          <w:rFonts w:hint="eastAsia" w:ascii="宋体" w:hAnsi="宋体" w:eastAsia="宋体" w:cs="宋体"/>
          <w:b/>
          <w:bCs/>
        </w:rPr>
        <w:t>供应商的资格条件</w:t>
      </w:r>
    </w:p>
    <w:p w14:paraId="30893504">
      <w:pPr>
        <w:spacing w:line="500" w:lineRule="exact"/>
        <w:ind w:firstLine="420" w:firstLineChars="200"/>
        <w:rPr>
          <w:rFonts w:ascii="宋体" w:hAnsi="宋体" w:eastAsia="宋体" w:cs="Times New Roman"/>
        </w:rPr>
      </w:pPr>
      <w:r>
        <w:rPr>
          <w:rFonts w:hint="eastAsia" w:ascii="宋体" w:hAnsi="宋体" w:eastAsia="宋体" w:cs="宋体"/>
        </w:rPr>
        <w:t>供应商的资格条件详见“供应商须知前附表”。</w:t>
      </w:r>
    </w:p>
    <w:p w14:paraId="128A9439">
      <w:pPr>
        <w:spacing w:line="500" w:lineRule="exact"/>
        <w:ind w:firstLine="422" w:firstLineChars="200"/>
        <w:rPr>
          <w:rFonts w:ascii="宋体" w:hAnsi="宋体" w:eastAsia="宋体" w:cs="Times New Roman"/>
          <w:b/>
          <w:bCs/>
        </w:rPr>
      </w:pPr>
      <w:r>
        <w:rPr>
          <w:rFonts w:ascii="宋体" w:hAnsi="宋体" w:eastAsia="宋体" w:cs="宋体"/>
          <w:b/>
          <w:bCs/>
        </w:rPr>
        <w:t>4.</w:t>
      </w:r>
      <w:r>
        <w:rPr>
          <w:rFonts w:hint="eastAsia" w:ascii="宋体" w:hAnsi="宋体" w:eastAsia="宋体" w:cs="宋体"/>
          <w:b/>
          <w:bCs/>
        </w:rPr>
        <w:t>磋商费用</w:t>
      </w:r>
    </w:p>
    <w:p w14:paraId="4C30AFA3">
      <w:pPr>
        <w:spacing w:line="500" w:lineRule="exact"/>
        <w:ind w:firstLine="420" w:firstLineChars="200"/>
        <w:rPr>
          <w:rFonts w:ascii="宋体" w:hAnsi="宋体" w:eastAsia="宋体" w:cs="Times New Roman"/>
        </w:rPr>
      </w:pPr>
      <w:r>
        <w:rPr>
          <w:rFonts w:hint="eastAsia" w:ascii="宋体" w:hAnsi="宋体" w:eastAsia="宋体" w:cs="宋体"/>
        </w:rPr>
        <w:t>供应商应承担参与本次采购活动有关的所有费用，包括但不限于、勘查现场、编制和提交响应文件、参加磋商与应答、签订合同等，不论竞标结果如何，均应自行承担。</w:t>
      </w:r>
    </w:p>
    <w:p w14:paraId="61B0F718">
      <w:pPr>
        <w:spacing w:line="500" w:lineRule="exact"/>
        <w:ind w:firstLine="422" w:firstLineChars="200"/>
        <w:rPr>
          <w:rFonts w:ascii="宋体" w:hAnsi="宋体" w:eastAsia="宋体" w:cs="Times New Roman"/>
          <w:b/>
          <w:bCs/>
        </w:rPr>
      </w:pPr>
      <w:r>
        <w:rPr>
          <w:rFonts w:ascii="宋体" w:hAnsi="宋体" w:eastAsia="宋体" w:cs="宋体"/>
          <w:b/>
          <w:bCs/>
        </w:rPr>
        <w:t>5.</w:t>
      </w:r>
      <w:r>
        <w:rPr>
          <w:rFonts w:hint="eastAsia" w:ascii="宋体" w:hAnsi="宋体" w:eastAsia="宋体" w:cs="宋体"/>
          <w:b/>
          <w:bCs/>
        </w:rPr>
        <w:t>联合体竞标</w:t>
      </w:r>
    </w:p>
    <w:p w14:paraId="3A220BD3">
      <w:pPr>
        <w:spacing w:line="500" w:lineRule="exact"/>
        <w:ind w:firstLine="420" w:firstLineChars="200"/>
        <w:rPr>
          <w:rFonts w:ascii="宋体" w:hAnsi="宋体" w:eastAsia="宋体" w:cs="Times New Roman"/>
        </w:rPr>
      </w:pPr>
      <w:r>
        <w:rPr>
          <w:rFonts w:ascii="宋体" w:hAnsi="宋体" w:eastAsia="宋体" w:cs="宋体"/>
        </w:rPr>
        <w:t>5.1</w:t>
      </w:r>
      <w:r>
        <w:rPr>
          <w:rFonts w:hint="eastAsia" w:ascii="宋体" w:hAnsi="宋体" w:eastAsia="宋体" w:cs="宋体"/>
        </w:rPr>
        <w:t>本项目是否接受联合体竞标，详见“供应商须知前附表”。</w:t>
      </w:r>
    </w:p>
    <w:p w14:paraId="6E366F25">
      <w:pPr>
        <w:spacing w:line="500" w:lineRule="exact"/>
        <w:ind w:firstLine="420" w:firstLineChars="200"/>
        <w:rPr>
          <w:rFonts w:ascii="宋体" w:hAnsi="宋体" w:eastAsia="宋体" w:cs="Times New Roman"/>
        </w:rPr>
      </w:pPr>
      <w:r>
        <w:rPr>
          <w:rFonts w:ascii="宋体" w:hAnsi="宋体" w:eastAsia="宋体" w:cs="宋体"/>
        </w:rPr>
        <w:t>5.2</w:t>
      </w:r>
      <w:r>
        <w:rPr>
          <w:rFonts w:hint="eastAsia" w:ascii="宋体" w:hAnsi="宋体" w:eastAsia="宋体" w:cs="宋体"/>
        </w:rPr>
        <w:t>如接受联合体竞标，联合体竞标要求详见“供应商须知前附表”。</w:t>
      </w:r>
    </w:p>
    <w:p w14:paraId="0710B6A5">
      <w:pPr>
        <w:spacing w:line="500" w:lineRule="exact"/>
        <w:ind w:firstLine="420" w:firstLineChars="200"/>
        <w:rPr>
          <w:rFonts w:ascii="宋体" w:hAnsi="宋体" w:eastAsia="宋体" w:cs="Times New Roman"/>
        </w:rPr>
      </w:pPr>
      <w:r>
        <w:rPr>
          <w:rFonts w:ascii="宋体" w:hAnsi="宋体" w:eastAsia="宋体" w:cs="宋体"/>
        </w:rPr>
        <w:t>5.3</w:t>
      </w:r>
      <w:r>
        <w:rPr>
          <w:rFonts w:hint="eastAsia" w:ascii="宋体" w:hAnsi="宋体" w:eastAsia="宋体" w:cs="宋体"/>
        </w:rPr>
        <w:t>根据《政府采购促进中小企业发展管理办法》（财库〔</w:t>
      </w:r>
      <w:r>
        <w:rPr>
          <w:rFonts w:ascii="宋体" w:hAnsi="宋体" w:eastAsia="宋体" w:cs="宋体"/>
        </w:rPr>
        <w:t>2020</w:t>
      </w:r>
      <w:r>
        <w:rPr>
          <w:rFonts w:hint="eastAsia" w:ascii="宋体" w:hAnsi="宋体" w:eastAsia="宋体" w:cs="宋体"/>
        </w:rPr>
        <w:t>〕</w:t>
      </w:r>
      <w:r>
        <w:rPr>
          <w:rFonts w:ascii="宋体" w:hAnsi="宋体" w:eastAsia="宋体" w:cs="宋体"/>
        </w:rPr>
        <w:t>46</w:t>
      </w:r>
      <w:r>
        <w:rPr>
          <w:rFonts w:hint="eastAsia" w:ascii="宋体" w:hAnsi="宋体" w:eastAsia="宋体" w:cs="宋体"/>
        </w:rPr>
        <w:t>号）第九条、《广西壮族自治区财政厅关于进一步发挥政府采购政策功能促进企业发展的通知》（桂财采〔</w:t>
      </w:r>
      <w:r>
        <w:rPr>
          <w:rFonts w:ascii="宋体" w:hAnsi="宋体" w:eastAsia="宋体" w:cs="宋体"/>
        </w:rPr>
        <w:t>2022</w:t>
      </w:r>
      <w:r>
        <w:rPr>
          <w:rFonts w:hint="eastAsia" w:ascii="宋体" w:hAnsi="宋体" w:eastAsia="宋体" w:cs="宋体"/>
        </w:rPr>
        <w:t>〕</w:t>
      </w:r>
      <w:r>
        <w:rPr>
          <w:rFonts w:ascii="宋体" w:hAnsi="宋体" w:eastAsia="宋体" w:cs="宋体"/>
        </w:rPr>
        <w:t>30</w:t>
      </w:r>
      <w:r>
        <w:rPr>
          <w:rFonts w:hint="eastAsia" w:ascii="宋体" w:hAnsi="宋体" w:eastAsia="宋体" w:cs="宋体"/>
        </w:rPr>
        <w:t>号）、《广西壮族自治区财政厅关于贯彻落实政府采购支持中小企业发展政策的通知》（桂财采〔</w:t>
      </w:r>
      <w:r>
        <w:rPr>
          <w:rFonts w:ascii="宋体" w:hAnsi="宋体" w:eastAsia="宋体" w:cs="宋体"/>
        </w:rPr>
        <w:t>2022</w:t>
      </w:r>
      <w:r>
        <w:rPr>
          <w:rFonts w:hint="eastAsia" w:ascii="宋体" w:hAnsi="宋体" w:eastAsia="宋体" w:cs="宋体"/>
        </w:rPr>
        <w:t>〕</w:t>
      </w:r>
      <w:r>
        <w:rPr>
          <w:rFonts w:ascii="宋体" w:hAnsi="宋体" w:eastAsia="宋体" w:cs="宋体"/>
        </w:rPr>
        <w:t>31</w:t>
      </w:r>
      <w:r>
        <w:rPr>
          <w:rFonts w:hint="eastAsia" w:ascii="宋体" w:hAnsi="宋体" w:eastAsia="宋体" w:cs="宋体"/>
        </w:rPr>
        <w:t>号）及《广西壮族自治区财政厅</w:t>
      </w:r>
      <w:r>
        <w:rPr>
          <w:rFonts w:ascii="宋体" w:hAnsi="宋体" w:eastAsia="宋体" w:cs="宋体"/>
        </w:rPr>
        <w:t xml:space="preserve"> </w:t>
      </w:r>
      <w:r>
        <w:rPr>
          <w:rFonts w:hint="eastAsia" w:ascii="宋体" w:hAnsi="宋体" w:eastAsia="宋体" w:cs="宋体"/>
        </w:rPr>
        <w:t>广西壮族自治区工业和信息化厅转发财政部</w:t>
      </w:r>
      <w:r>
        <w:rPr>
          <w:rFonts w:ascii="宋体" w:hAnsi="宋体" w:eastAsia="宋体" w:cs="宋体"/>
        </w:rPr>
        <w:t xml:space="preserve"> </w:t>
      </w:r>
      <w:r>
        <w:rPr>
          <w:rFonts w:hint="eastAsia" w:ascii="宋体" w:hAnsi="宋体" w:eastAsia="宋体" w:cs="宋体"/>
        </w:rPr>
        <w:t>工业和信息化部政府采购促进中小企业发展管理办法的通知》（桂财采〔</w:t>
      </w:r>
      <w:r>
        <w:rPr>
          <w:rFonts w:ascii="宋体" w:hAnsi="宋体" w:eastAsia="宋体" w:cs="宋体"/>
        </w:rPr>
        <w:t>2021</w:t>
      </w:r>
      <w:r>
        <w:rPr>
          <w:rFonts w:hint="eastAsia" w:ascii="宋体" w:hAnsi="宋体" w:eastAsia="宋体" w:cs="宋体"/>
        </w:rPr>
        <w:t>〕</w:t>
      </w:r>
      <w:r>
        <w:rPr>
          <w:rFonts w:ascii="宋体" w:hAnsi="宋体" w:eastAsia="宋体" w:cs="宋体"/>
        </w:rPr>
        <w:t>70</w:t>
      </w:r>
      <w:r>
        <w:rPr>
          <w:rFonts w:hint="eastAsia" w:ascii="宋体" w:hAnsi="宋体" w:eastAsia="宋体" w:cs="宋体"/>
        </w:rPr>
        <w:t>号）规定，接受大中型企业与小微企业组成联合体的采购项目，对于联合协议约定小微企业的合同份额占到合同总金额</w:t>
      </w:r>
      <w:r>
        <w:rPr>
          <w:rFonts w:ascii="宋体" w:hAnsi="宋体" w:eastAsia="宋体" w:cs="宋体"/>
        </w:rPr>
        <w:t xml:space="preserve"> 30%</w:t>
      </w:r>
      <w:r>
        <w:rPr>
          <w:rFonts w:hint="eastAsia" w:ascii="宋体" w:hAnsi="宋体" w:eastAsia="宋体" w:cs="宋体"/>
        </w:rPr>
        <w:t>以上的，采购人、采购代理机构应当对联合体的报价给予</w:t>
      </w:r>
      <w:r>
        <w:rPr>
          <w:rFonts w:ascii="宋体" w:hAnsi="宋体" w:eastAsia="宋体" w:cs="宋体"/>
        </w:rPr>
        <w:t xml:space="preserve"> 4%-6%</w:t>
      </w:r>
      <w:r>
        <w:rPr>
          <w:rFonts w:hint="eastAsia" w:ascii="宋体" w:hAnsi="宋体" w:eastAsia="宋体" w:cs="宋体"/>
        </w:rPr>
        <w:t>（工程项目为</w:t>
      </w:r>
      <w:r>
        <w:rPr>
          <w:rFonts w:ascii="宋体" w:hAnsi="宋体" w:eastAsia="宋体" w:cs="宋体"/>
        </w:rPr>
        <w:t xml:space="preserve"> 1%—2%</w:t>
      </w:r>
      <w:r>
        <w:rPr>
          <w:rFonts w:hint="eastAsia" w:ascii="宋体" w:hAnsi="宋体" w:eastAsia="宋体" w:cs="宋体"/>
        </w:rPr>
        <w:t>）的扣除，用扣除后的价格参加评审。组成联合体的小微企业与联合体内其他企业、分包企业之间存在直接控股、管理关系的，不享受价格扣除优惠政策。</w:t>
      </w:r>
    </w:p>
    <w:p w14:paraId="0B35918B">
      <w:pPr>
        <w:spacing w:line="500" w:lineRule="exact"/>
        <w:ind w:firstLine="413" w:firstLineChars="196"/>
        <w:rPr>
          <w:rFonts w:ascii="宋体" w:hAnsi="宋体" w:eastAsia="宋体" w:cs="宋体"/>
          <w:b/>
          <w:bCs/>
        </w:rPr>
      </w:pPr>
      <w:r>
        <w:rPr>
          <w:rFonts w:ascii="宋体" w:hAnsi="宋体" w:eastAsia="宋体" w:cs="宋体"/>
          <w:b/>
          <w:bCs/>
        </w:rPr>
        <w:t>6.</w:t>
      </w:r>
      <w:r>
        <w:rPr>
          <w:rFonts w:hint="eastAsia" w:ascii="宋体" w:hAnsi="宋体" w:eastAsia="宋体" w:cs="宋体"/>
          <w:b/>
          <w:bCs/>
        </w:rPr>
        <w:t>转包与分包</w:t>
      </w:r>
      <w:r>
        <w:rPr>
          <w:rFonts w:ascii="宋体" w:hAnsi="宋体" w:eastAsia="宋体" w:cs="宋体"/>
          <w:b/>
          <w:bCs/>
        </w:rPr>
        <w:t xml:space="preserve">             </w:t>
      </w:r>
    </w:p>
    <w:p w14:paraId="7A7243C9">
      <w:pPr>
        <w:spacing w:line="500" w:lineRule="exact"/>
        <w:ind w:firstLine="420" w:firstLineChars="200"/>
        <w:rPr>
          <w:rFonts w:ascii="宋体" w:hAnsi="宋体" w:eastAsia="宋体" w:cs="Times New Roman"/>
        </w:rPr>
      </w:pPr>
      <w:r>
        <w:rPr>
          <w:rFonts w:ascii="宋体" w:hAnsi="宋体" w:eastAsia="宋体" w:cs="宋体"/>
        </w:rPr>
        <w:t>6.1</w:t>
      </w:r>
      <w:r>
        <w:rPr>
          <w:rFonts w:hint="eastAsia" w:ascii="宋体" w:hAnsi="宋体" w:eastAsia="宋体" w:cs="宋体"/>
        </w:rPr>
        <w:t>本项目是否允许分包详见“供应商须知前附表”，本项目不允许违法分包。</w:t>
      </w:r>
    </w:p>
    <w:p w14:paraId="3A473CA0">
      <w:pPr>
        <w:spacing w:line="500" w:lineRule="exact"/>
        <w:ind w:firstLine="420" w:firstLineChars="200"/>
        <w:rPr>
          <w:rFonts w:ascii="宋体" w:hAnsi="宋体" w:eastAsia="宋体" w:cs="Times New Roman"/>
        </w:rPr>
      </w:pPr>
      <w:r>
        <w:rPr>
          <w:rFonts w:ascii="宋体" w:hAnsi="宋体" w:eastAsia="宋体" w:cs="宋体"/>
        </w:rPr>
        <w:t>6.2</w:t>
      </w:r>
      <w:r>
        <w:rPr>
          <w:rFonts w:hint="eastAsia" w:ascii="宋体" w:hAnsi="宋体" w:eastAsia="宋体" w:cs="宋体"/>
        </w:rPr>
        <w:t>根据《政府采购促进中小企业发展管理办法》（财库〔</w:t>
      </w:r>
      <w:r>
        <w:rPr>
          <w:rFonts w:ascii="宋体" w:hAnsi="宋体" w:eastAsia="宋体" w:cs="宋体"/>
        </w:rPr>
        <w:t>2020</w:t>
      </w:r>
      <w:r>
        <w:rPr>
          <w:rFonts w:hint="eastAsia" w:ascii="宋体" w:hAnsi="宋体" w:eastAsia="宋体" w:cs="宋体"/>
        </w:rPr>
        <w:t>〕</w:t>
      </w:r>
      <w:r>
        <w:rPr>
          <w:rFonts w:ascii="宋体" w:hAnsi="宋体" w:eastAsia="宋体" w:cs="宋体"/>
        </w:rPr>
        <w:t>46</w:t>
      </w:r>
      <w:r>
        <w:rPr>
          <w:rFonts w:hint="eastAsia" w:ascii="宋体" w:hAnsi="宋体" w:eastAsia="宋体" w:cs="宋体"/>
        </w:rPr>
        <w:t>号）第九条及《广西壮族自治区财政厅关于进一步发挥政府采购政策功能促进企业发展的通知》（桂财采〔</w:t>
      </w:r>
      <w:r>
        <w:rPr>
          <w:rFonts w:ascii="宋体" w:hAnsi="宋体" w:eastAsia="宋体" w:cs="宋体"/>
        </w:rPr>
        <w:t>2022</w:t>
      </w:r>
      <w:r>
        <w:rPr>
          <w:rFonts w:hint="eastAsia" w:ascii="宋体" w:hAnsi="宋体" w:eastAsia="宋体" w:cs="宋体"/>
        </w:rPr>
        <w:t>〕</w:t>
      </w:r>
      <w:r>
        <w:rPr>
          <w:rFonts w:ascii="宋体" w:hAnsi="宋体" w:eastAsia="宋体" w:cs="宋体"/>
        </w:rPr>
        <w:t>30</w:t>
      </w:r>
      <w:r>
        <w:rPr>
          <w:rFonts w:hint="eastAsia" w:ascii="宋体" w:hAnsi="宋体" w:eastAsia="宋体" w:cs="宋体"/>
        </w:rPr>
        <w:t>号）、《广西壮族自治区财政厅关于贯彻落实政府采购支持中小企业发展政策的通知》（桂财采〔</w:t>
      </w:r>
      <w:r>
        <w:rPr>
          <w:rFonts w:ascii="宋体" w:hAnsi="宋体" w:eastAsia="宋体" w:cs="宋体"/>
        </w:rPr>
        <w:t>2022</w:t>
      </w:r>
      <w:r>
        <w:rPr>
          <w:rFonts w:hint="eastAsia" w:ascii="宋体" w:hAnsi="宋体" w:eastAsia="宋体" w:cs="宋体"/>
        </w:rPr>
        <w:t>〕</w:t>
      </w:r>
      <w:r>
        <w:rPr>
          <w:rFonts w:ascii="宋体" w:hAnsi="宋体" w:eastAsia="宋体" w:cs="宋体"/>
        </w:rPr>
        <w:t>31</w:t>
      </w:r>
      <w:r>
        <w:rPr>
          <w:rFonts w:hint="eastAsia" w:ascii="宋体" w:hAnsi="宋体" w:eastAsia="宋体" w:cs="宋体"/>
        </w:rPr>
        <w:t>号）规定，允许大中型企业向一家或者多家小微企业分包的采购项目，对于分包意向协议约定小微企业的合同份额占到合同总金额</w:t>
      </w:r>
      <w:r>
        <w:rPr>
          <w:rFonts w:ascii="宋体" w:hAnsi="宋体" w:eastAsia="宋体" w:cs="宋体"/>
        </w:rPr>
        <w:t xml:space="preserve"> 30%</w:t>
      </w:r>
      <w:r>
        <w:rPr>
          <w:rFonts w:hint="eastAsia" w:ascii="宋体" w:hAnsi="宋体" w:eastAsia="宋体" w:cs="宋体"/>
        </w:rPr>
        <w:t>以上的，采购人、采购代理机构应当对大中型企业的报价给予</w:t>
      </w:r>
      <w:r>
        <w:rPr>
          <w:rFonts w:ascii="宋体" w:hAnsi="宋体" w:eastAsia="宋体" w:cs="宋体"/>
        </w:rPr>
        <w:t xml:space="preserve"> 4%-6%</w:t>
      </w:r>
      <w:r>
        <w:rPr>
          <w:rFonts w:hint="eastAsia" w:ascii="宋体" w:hAnsi="宋体" w:eastAsia="宋体" w:cs="宋体"/>
        </w:rPr>
        <w:t>（工程项目为</w:t>
      </w:r>
      <w:r>
        <w:rPr>
          <w:rFonts w:ascii="宋体" w:hAnsi="宋体" w:eastAsia="宋体" w:cs="宋体"/>
        </w:rPr>
        <w:t xml:space="preserve"> 1%—2%</w:t>
      </w:r>
      <w:r>
        <w:rPr>
          <w:rFonts w:hint="eastAsia" w:ascii="宋体" w:hAnsi="宋体" w:eastAsia="宋体" w:cs="宋体"/>
        </w:rPr>
        <w:t>）的扣除，用扣除后的价格参加评审。接受分包的小微企业与分包企业之间存在直接控股、管理关系的，不享受价格扣除优惠政策。</w:t>
      </w:r>
    </w:p>
    <w:p w14:paraId="307B18BE">
      <w:pPr>
        <w:spacing w:line="500" w:lineRule="exact"/>
        <w:ind w:firstLine="413" w:firstLineChars="196"/>
        <w:rPr>
          <w:rFonts w:ascii="宋体" w:hAnsi="宋体" w:eastAsia="宋体" w:cs="Times New Roman"/>
          <w:b/>
          <w:bCs/>
        </w:rPr>
      </w:pPr>
      <w:bookmarkStart w:id="46" w:name="_Toc254970673"/>
      <w:bookmarkStart w:id="47" w:name="_Toc254970532"/>
      <w:r>
        <w:rPr>
          <w:rFonts w:ascii="宋体" w:hAnsi="宋体" w:eastAsia="宋体" w:cs="宋体"/>
          <w:b/>
          <w:bCs/>
        </w:rPr>
        <w:t>7.</w:t>
      </w:r>
      <w:r>
        <w:rPr>
          <w:rFonts w:hint="eastAsia" w:ascii="宋体" w:hAnsi="宋体" w:eastAsia="宋体" w:cs="宋体"/>
          <w:b/>
          <w:bCs/>
        </w:rPr>
        <w:t>特别说明</w:t>
      </w:r>
      <w:bookmarkEnd w:id="46"/>
      <w:bookmarkEnd w:id="47"/>
    </w:p>
    <w:p w14:paraId="0935822C">
      <w:pPr>
        <w:spacing w:line="500" w:lineRule="exact"/>
        <w:ind w:firstLine="420" w:firstLineChars="200"/>
        <w:rPr>
          <w:rFonts w:ascii="宋体" w:hAnsi="宋体" w:eastAsia="宋体" w:cs="Times New Roman"/>
        </w:rPr>
      </w:pPr>
      <w:bookmarkStart w:id="48" w:name="_8_1提供相同品牌产品且通过资格审查、符合性审查的不同投标人参加同一合"/>
      <w:bookmarkEnd w:id="48"/>
      <w:r>
        <w:rPr>
          <w:rFonts w:ascii="宋体" w:hAnsi="宋体" w:eastAsia="宋体" w:cs="宋体"/>
        </w:rPr>
        <w:t>7.1</w:t>
      </w:r>
      <w:bookmarkStart w:id="49" w:name="_Hlk65832145"/>
      <w:r>
        <w:rPr>
          <w:rFonts w:hint="eastAsia" w:ascii="宋体" w:hAnsi="宋体" w:eastAsia="宋体" w:cs="宋体"/>
        </w:rPr>
        <w:t>如果本磋商文件要求提供供应商或制造商的资格、信誉、荣誉、业绩与企业认证等材料的，资格、信誉、荣誉、业绩与企业认证等必须为供应商或者制造商所拥有或自身获得。</w:t>
      </w:r>
    </w:p>
    <w:bookmarkEnd w:id="49"/>
    <w:p w14:paraId="18ADD538">
      <w:pPr>
        <w:spacing w:line="500" w:lineRule="exact"/>
        <w:ind w:firstLine="420" w:firstLineChars="200"/>
        <w:rPr>
          <w:rFonts w:ascii="宋体" w:hAnsi="宋体" w:eastAsia="宋体" w:cs="Times New Roman"/>
        </w:rPr>
      </w:pPr>
      <w:r>
        <w:rPr>
          <w:rFonts w:ascii="宋体" w:hAnsi="宋体" w:eastAsia="宋体" w:cs="宋体"/>
        </w:rPr>
        <w:t>7.2</w:t>
      </w:r>
      <w:r>
        <w:rPr>
          <w:rFonts w:hint="eastAsia" w:ascii="宋体" w:hAnsi="宋体" w:eastAsia="宋体" w:cs="宋体"/>
        </w:rPr>
        <w:t>供应商应仔细阅读磋商文件的所有内容，按照磋商文件的要求提交响应文件，并对所提供的全部资料的真实性承担法律责任。</w:t>
      </w:r>
    </w:p>
    <w:p w14:paraId="43E5F464">
      <w:pPr>
        <w:spacing w:line="500" w:lineRule="exact"/>
        <w:ind w:firstLine="420" w:firstLineChars="200"/>
        <w:rPr>
          <w:rFonts w:ascii="宋体" w:hAnsi="宋体" w:eastAsia="宋体" w:cs="Times New Roman"/>
        </w:rPr>
      </w:pPr>
      <w:r>
        <w:rPr>
          <w:rFonts w:ascii="宋体" w:hAnsi="宋体" w:eastAsia="宋体" w:cs="宋体"/>
        </w:rPr>
        <w:t>7.3</w:t>
      </w:r>
      <w:r>
        <w:rPr>
          <w:rFonts w:hint="eastAsia" w:ascii="宋体" w:hAnsi="宋体" w:eastAsia="宋体" w:cs="宋体"/>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18FF306">
      <w:pPr>
        <w:spacing w:line="500" w:lineRule="exact"/>
        <w:ind w:firstLine="420" w:firstLineChars="200"/>
        <w:rPr>
          <w:rFonts w:ascii="宋体" w:hAnsi="宋体" w:eastAsia="宋体" w:cs="Times New Roman"/>
        </w:rPr>
      </w:pPr>
      <w:r>
        <w:rPr>
          <w:rFonts w:ascii="宋体" w:hAnsi="宋体" w:eastAsia="宋体" w:cs="宋体"/>
        </w:rPr>
        <w:t>7.4</w:t>
      </w:r>
      <w:r>
        <w:rPr>
          <w:rFonts w:hint="eastAsia" w:ascii="宋体" w:hAnsi="宋体" w:eastAsia="宋体" w:cs="宋体"/>
        </w:rPr>
        <w:t>在政府采购活动中，采购人员及相关人员与供应商有下列利害关系之一的，应当回避：</w:t>
      </w:r>
    </w:p>
    <w:p w14:paraId="2C8C6BA2">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）参加采购活动前</w:t>
      </w:r>
      <w:r>
        <w:rPr>
          <w:rFonts w:ascii="宋体" w:hAnsi="宋体" w:eastAsia="宋体" w:cs="宋体"/>
        </w:rPr>
        <w:t>3</w:t>
      </w:r>
      <w:r>
        <w:rPr>
          <w:rFonts w:hint="eastAsia" w:ascii="宋体" w:hAnsi="宋体" w:eastAsia="宋体" w:cs="宋体"/>
        </w:rPr>
        <w:t>年内与供应商存在劳动关系；</w:t>
      </w:r>
    </w:p>
    <w:p w14:paraId="79A6C278">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）参加采购活动前</w:t>
      </w:r>
      <w:r>
        <w:rPr>
          <w:rFonts w:ascii="宋体" w:hAnsi="宋体" w:eastAsia="宋体" w:cs="宋体"/>
        </w:rPr>
        <w:t>3</w:t>
      </w:r>
      <w:r>
        <w:rPr>
          <w:rFonts w:hint="eastAsia" w:ascii="宋体" w:hAnsi="宋体" w:eastAsia="宋体" w:cs="宋体"/>
        </w:rPr>
        <w:t>年内担任供应商的董事、监事；</w:t>
      </w:r>
    </w:p>
    <w:p w14:paraId="3C58E338">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）参加采购活动前</w:t>
      </w:r>
      <w:r>
        <w:rPr>
          <w:rFonts w:ascii="宋体" w:hAnsi="宋体" w:eastAsia="宋体" w:cs="宋体"/>
        </w:rPr>
        <w:t>3</w:t>
      </w:r>
      <w:r>
        <w:rPr>
          <w:rFonts w:hint="eastAsia" w:ascii="宋体" w:hAnsi="宋体" w:eastAsia="宋体" w:cs="宋体"/>
        </w:rPr>
        <w:t>年内是供应商的控股股东或者实际控制人；</w:t>
      </w:r>
    </w:p>
    <w:p w14:paraId="357A6272">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4</w:t>
      </w:r>
      <w:r>
        <w:rPr>
          <w:rFonts w:hint="eastAsia" w:ascii="宋体" w:hAnsi="宋体" w:eastAsia="宋体" w:cs="宋体"/>
        </w:rPr>
        <w:t>）与供应商的法定代表人或者负责人有夫妻、直系血亲、三代以内旁系血亲或者近姻亲关系；</w:t>
      </w:r>
    </w:p>
    <w:p w14:paraId="436E937C">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5</w:t>
      </w:r>
      <w:r>
        <w:rPr>
          <w:rFonts w:hint="eastAsia" w:ascii="宋体" w:hAnsi="宋体" w:eastAsia="宋体" w:cs="宋体"/>
        </w:rPr>
        <w:t>）与供应商有其他可能影响政府采购活动公平、公正进行的关系。</w:t>
      </w:r>
    </w:p>
    <w:p w14:paraId="3A413446">
      <w:pPr>
        <w:spacing w:line="500" w:lineRule="exact"/>
        <w:ind w:firstLine="420" w:firstLineChars="200"/>
        <w:rPr>
          <w:rFonts w:ascii="宋体" w:hAnsi="宋体" w:eastAsia="宋体" w:cs="Times New Roman"/>
        </w:rPr>
      </w:pPr>
      <w:r>
        <w:rPr>
          <w:rFonts w:hint="eastAsia" w:ascii="宋体" w:hAnsi="宋体" w:eastAsia="宋体" w:cs="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8AD9C5F">
      <w:pPr>
        <w:spacing w:line="500" w:lineRule="exact"/>
        <w:ind w:firstLine="420" w:firstLineChars="200"/>
        <w:rPr>
          <w:rFonts w:ascii="宋体" w:hAnsi="宋体" w:eastAsia="宋体" w:cs="Times New Roman"/>
        </w:rPr>
      </w:pPr>
      <w:r>
        <w:rPr>
          <w:rFonts w:ascii="宋体" w:hAnsi="宋体" w:eastAsia="宋体" w:cs="宋体"/>
        </w:rPr>
        <w:t>7.5</w:t>
      </w:r>
      <w:r>
        <w:rPr>
          <w:rFonts w:hint="eastAsia" w:ascii="宋体" w:hAnsi="宋体" w:eastAsia="宋体" w:cs="宋体"/>
        </w:rPr>
        <w:t>有下列情形之一的视为供应商相互串通竞标，响应文件将被视为无效：</w:t>
      </w:r>
    </w:p>
    <w:p w14:paraId="3574DEE5">
      <w:pPr>
        <w:spacing w:line="500" w:lineRule="exact"/>
        <w:ind w:firstLine="420" w:firstLineChars="200"/>
        <w:rPr>
          <w:rFonts w:ascii="宋体" w:hAnsi="宋体" w:eastAsia="宋体" w:cs="宋体"/>
        </w:rPr>
      </w:pPr>
      <w:r>
        <w:rPr>
          <w:rFonts w:hint="eastAsia" w:ascii="宋体" w:hAnsi="宋体" w:eastAsia="宋体" w:cs="宋体"/>
        </w:rPr>
        <w:t>（</w:t>
      </w:r>
      <w:r>
        <w:rPr>
          <w:rFonts w:ascii="宋体" w:hAnsi="宋体" w:eastAsia="宋体" w:cs="宋体"/>
        </w:rPr>
        <w:t>1</w:t>
      </w:r>
      <w:r>
        <w:rPr>
          <w:rFonts w:hint="eastAsia" w:ascii="宋体" w:hAnsi="宋体" w:eastAsia="宋体" w:cs="宋体"/>
        </w:rPr>
        <w:t>）不同供应商的响应文件由同一单位或者个人编制；或者不同供应商报名的</w:t>
      </w:r>
      <w:r>
        <w:rPr>
          <w:rFonts w:ascii="宋体" w:hAnsi="宋体" w:eastAsia="宋体" w:cs="宋体"/>
        </w:rPr>
        <w:t>IP</w:t>
      </w:r>
      <w:r>
        <w:rPr>
          <w:rFonts w:hint="eastAsia" w:ascii="宋体" w:hAnsi="宋体" w:eastAsia="宋体" w:cs="宋体"/>
        </w:rPr>
        <w:t>地址一致的；或者编制响应文件硬件设备</w:t>
      </w:r>
      <w:r>
        <w:rPr>
          <w:rFonts w:ascii="宋体" w:hAnsi="宋体" w:eastAsia="宋体" w:cs="宋体"/>
        </w:rPr>
        <w:t>CPU</w:t>
      </w:r>
      <w:r>
        <w:rPr>
          <w:rFonts w:hint="eastAsia" w:ascii="宋体" w:hAnsi="宋体" w:eastAsia="宋体" w:cs="宋体"/>
        </w:rPr>
        <w:t>编号、硬盘编号、网卡地址一致的情况。</w:t>
      </w:r>
      <w:r>
        <w:rPr>
          <w:rFonts w:ascii="宋体" w:hAnsi="宋体" w:eastAsia="宋体" w:cs="宋体"/>
        </w:rPr>
        <w:t xml:space="preserve"> </w:t>
      </w:r>
    </w:p>
    <w:p w14:paraId="1AE0E096">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）不同供应商委托同一单位或者个人办理竞标事宜；</w:t>
      </w:r>
    </w:p>
    <w:p w14:paraId="4F5CCD6C">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）不同的供应商的响应文件载明的项目管理员为同一个人；</w:t>
      </w:r>
    </w:p>
    <w:p w14:paraId="7E61B02D">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4</w:t>
      </w:r>
      <w:r>
        <w:rPr>
          <w:rFonts w:hint="eastAsia" w:ascii="宋体" w:hAnsi="宋体" w:eastAsia="宋体" w:cs="宋体"/>
        </w:rPr>
        <w:t>）不同供应商的响应文件异常一致或者报价呈规律性差异；</w:t>
      </w:r>
    </w:p>
    <w:p w14:paraId="42518188">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5</w:t>
      </w:r>
      <w:r>
        <w:rPr>
          <w:rFonts w:hint="eastAsia" w:ascii="宋体" w:hAnsi="宋体" w:eastAsia="宋体" w:cs="宋体"/>
        </w:rPr>
        <w:t>）不同供应商的响应文件相互混装；</w:t>
      </w:r>
    </w:p>
    <w:p w14:paraId="217DB5DE">
      <w:pPr>
        <w:tabs>
          <w:tab w:val="left" w:pos="6931"/>
        </w:tabs>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6</w:t>
      </w:r>
      <w:r>
        <w:rPr>
          <w:rFonts w:hint="eastAsia" w:ascii="宋体" w:hAnsi="宋体" w:eastAsia="宋体" w:cs="宋体"/>
        </w:rPr>
        <w:t>）不同供应商的磋商保证金从同一单位或者个人账户转出。</w:t>
      </w:r>
      <w:r>
        <w:rPr>
          <w:rFonts w:ascii="宋体" w:hAnsi="宋体" w:eastAsia="宋体" w:cs="Times New Roman"/>
        </w:rPr>
        <w:tab/>
      </w:r>
    </w:p>
    <w:p w14:paraId="1B15182A">
      <w:pPr>
        <w:spacing w:line="500" w:lineRule="exact"/>
        <w:ind w:firstLine="420" w:firstLineChars="200"/>
        <w:rPr>
          <w:rFonts w:ascii="宋体" w:hAnsi="宋体" w:eastAsia="宋体" w:cs="Times New Roman"/>
        </w:rPr>
      </w:pPr>
      <w:r>
        <w:rPr>
          <w:rFonts w:ascii="宋体" w:hAnsi="宋体" w:eastAsia="宋体" w:cs="宋体"/>
        </w:rPr>
        <w:t>7.6</w:t>
      </w:r>
      <w:r>
        <w:rPr>
          <w:rFonts w:hint="eastAsia" w:ascii="宋体" w:hAnsi="宋体" w:eastAsia="宋体" w:cs="宋体"/>
        </w:rPr>
        <w:t>供应商有下列情形之一的，属于恶意串通行为，将报同级监督管理部门：</w:t>
      </w:r>
    </w:p>
    <w:p w14:paraId="2B9B59B3">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）供应商直接或者间接从采购人或者采购代理机构处获得其他供应商的相关信息并修改其响应文件；</w:t>
      </w:r>
    </w:p>
    <w:p w14:paraId="13B2B4D8">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）供应商按照采购人或者采购代理机构的授意撤换、修改响应文件；</w:t>
      </w:r>
    </w:p>
    <w:p w14:paraId="460AC7C1">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）供应商之间协商报价、技术方案等响应文件或者响应文件的实质性内容；</w:t>
      </w:r>
    </w:p>
    <w:p w14:paraId="3C70A913">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4</w:t>
      </w:r>
      <w:r>
        <w:rPr>
          <w:rFonts w:hint="eastAsia" w:ascii="宋体" w:hAnsi="宋体" w:eastAsia="宋体" w:cs="宋体"/>
        </w:rPr>
        <w:t>）属于同一集团、协会、商会等组织成员的供应商按照该组织要求协同参加政府采购活动；</w:t>
      </w:r>
    </w:p>
    <w:p w14:paraId="27737385">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5</w:t>
      </w:r>
      <w:r>
        <w:rPr>
          <w:rFonts w:hint="eastAsia" w:ascii="宋体" w:hAnsi="宋体" w:eastAsia="宋体" w:cs="宋体"/>
        </w:rPr>
        <w:t>）供应商之间事先约定一致抬高或者压低报价，或者在政府采购活动中事先约定轮流以高价位或者低价位成交，或者事先约定由某一特定供应商成交，然后再参加竞标；</w:t>
      </w:r>
    </w:p>
    <w:p w14:paraId="0A669377">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6</w:t>
      </w:r>
      <w:r>
        <w:rPr>
          <w:rFonts w:hint="eastAsia" w:ascii="宋体" w:hAnsi="宋体" w:eastAsia="宋体" w:cs="宋体"/>
        </w:rPr>
        <w:t>）供应商之间商定部分供应商放弃参加政府采购活动或者放弃成交；</w:t>
      </w:r>
    </w:p>
    <w:p w14:paraId="56ACDECB">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7</w:t>
      </w:r>
      <w:r>
        <w:rPr>
          <w:rFonts w:hint="eastAsia" w:ascii="宋体" w:hAnsi="宋体" w:eastAsia="宋体" w:cs="宋体"/>
        </w:rPr>
        <w:t>）供应商与采购人或者采购代理机构之间、供应商相互之间，为谋求特定供应商成交或者排斥其他供应商的其他串通行为。</w:t>
      </w:r>
    </w:p>
    <w:p w14:paraId="6BEBDF7F">
      <w:pPr>
        <w:pStyle w:val="4"/>
        <w:spacing w:before="0" w:after="0" w:line="500" w:lineRule="exact"/>
        <w:ind w:firstLine="517" w:firstLineChars="245"/>
        <w:rPr>
          <w:rFonts w:ascii="宋体" w:cs="宋体"/>
          <w:sz w:val="21"/>
          <w:szCs w:val="21"/>
        </w:rPr>
      </w:pPr>
      <w:bookmarkStart w:id="50" w:name="_Toc106616819"/>
      <w:bookmarkStart w:id="51" w:name="_Toc254970534"/>
      <w:bookmarkStart w:id="52" w:name="_Toc144977164"/>
      <w:bookmarkStart w:id="53" w:name="_Toc14017"/>
      <w:bookmarkStart w:id="54" w:name="_Toc137571888"/>
      <w:bookmarkStart w:id="55" w:name="_Toc254970675"/>
      <w:r>
        <w:rPr>
          <w:rFonts w:hint="eastAsia" w:ascii="宋体" w:hAnsi="宋体" w:cs="宋体"/>
          <w:sz w:val="21"/>
          <w:szCs w:val="21"/>
        </w:rPr>
        <w:t>二、磋商文件</w:t>
      </w:r>
      <w:bookmarkEnd w:id="50"/>
      <w:bookmarkEnd w:id="51"/>
      <w:bookmarkEnd w:id="52"/>
      <w:bookmarkEnd w:id="53"/>
      <w:bookmarkEnd w:id="54"/>
      <w:bookmarkEnd w:id="55"/>
    </w:p>
    <w:p w14:paraId="3F9FA5A7">
      <w:pPr>
        <w:spacing w:line="500" w:lineRule="exact"/>
        <w:ind w:firstLine="422" w:firstLineChars="200"/>
        <w:rPr>
          <w:rFonts w:ascii="宋体" w:hAnsi="宋体" w:eastAsia="宋体" w:cs="Times New Roman"/>
          <w:b/>
          <w:bCs/>
        </w:rPr>
      </w:pPr>
      <w:r>
        <w:rPr>
          <w:rFonts w:ascii="宋体" w:hAnsi="宋体" w:eastAsia="宋体" w:cs="宋体"/>
          <w:b/>
          <w:bCs/>
        </w:rPr>
        <w:t>8.</w:t>
      </w:r>
      <w:r>
        <w:rPr>
          <w:rFonts w:hint="eastAsia" w:ascii="宋体" w:hAnsi="宋体" w:eastAsia="宋体" w:cs="宋体"/>
          <w:b/>
          <w:bCs/>
        </w:rPr>
        <w:t>磋商文件的构成</w:t>
      </w:r>
    </w:p>
    <w:p w14:paraId="0517BCE5">
      <w:pPr>
        <w:spacing w:line="500" w:lineRule="exact"/>
        <w:ind w:firstLine="420" w:firstLineChars="200"/>
        <w:jc w:val="left"/>
        <w:rPr>
          <w:rFonts w:ascii="宋体" w:hAnsi="宋体" w:eastAsia="宋体" w:cs="Times New Roman"/>
        </w:rPr>
      </w:pPr>
      <w:r>
        <w:rPr>
          <w:rFonts w:hint="eastAsia" w:ascii="宋体" w:hAnsi="宋体" w:eastAsia="宋体" w:cs="宋体"/>
        </w:rPr>
        <w:t>第一章</w:t>
      </w:r>
      <w:r>
        <w:rPr>
          <w:rFonts w:ascii="宋体" w:hAnsi="宋体" w:eastAsia="宋体" w:cs="宋体"/>
        </w:rPr>
        <w:t xml:space="preserve"> </w:t>
      </w:r>
      <w:r>
        <w:rPr>
          <w:rFonts w:hint="eastAsia" w:ascii="宋体" w:hAnsi="宋体" w:eastAsia="宋体" w:cs="宋体"/>
        </w:rPr>
        <w:t>竞争性磋商公告；</w:t>
      </w:r>
    </w:p>
    <w:p w14:paraId="75127584">
      <w:pPr>
        <w:spacing w:line="500" w:lineRule="exact"/>
        <w:ind w:firstLine="420" w:firstLineChars="200"/>
        <w:jc w:val="left"/>
        <w:rPr>
          <w:rFonts w:ascii="宋体" w:hAnsi="宋体" w:eastAsia="宋体" w:cs="Times New Roman"/>
        </w:rPr>
      </w:pPr>
      <w:r>
        <w:rPr>
          <w:rFonts w:hint="eastAsia" w:ascii="宋体" w:hAnsi="宋体" w:eastAsia="宋体" w:cs="宋体"/>
        </w:rPr>
        <w:t>第二章</w:t>
      </w:r>
      <w:r>
        <w:rPr>
          <w:rFonts w:ascii="宋体" w:hAnsi="宋体" w:eastAsia="宋体" w:cs="宋体"/>
        </w:rPr>
        <w:t xml:space="preserve"> </w:t>
      </w:r>
      <w:r>
        <w:rPr>
          <w:rFonts w:hint="eastAsia" w:ascii="宋体" w:hAnsi="宋体" w:eastAsia="宋体" w:cs="宋体"/>
        </w:rPr>
        <w:t>采购需求；</w:t>
      </w:r>
    </w:p>
    <w:p w14:paraId="5AC59F7E">
      <w:pPr>
        <w:spacing w:line="500" w:lineRule="exact"/>
        <w:ind w:firstLine="420" w:firstLineChars="200"/>
        <w:jc w:val="left"/>
        <w:rPr>
          <w:rFonts w:ascii="宋体" w:hAnsi="宋体" w:eastAsia="宋体" w:cs="宋体"/>
        </w:rPr>
      </w:pPr>
      <w:r>
        <w:rPr>
          <w:rFonts w:hint="eastAsia" w:ascii="宋体" w:hAnsi="宋体" w:eastAsia="宋体" w:cs="宋体"/>
        </w:rPr>
        <w:t>第三章</w:t>
      </w:r>
      <w:r>
        <w:rPr>
          <w:rFonts w:ascii="宋体" w:hAnsi="宋体" w:eastAsia="宋体" w:cs="宋体"/>
        </w:rPr>
        <w:t xml:space="preserve"> </w:t>
      </w:r>
      <w:r>
        <w:rPr>
          <w:rFonts w:hint="eastAsia" w:ascii="宋体" w:hAnsi="宋体" w:eastAsia="宋体" w:cs="宋体"/>
        </w:rPr>
        <w:t>供应商须知；</w:t>
      </w:r>
      <w:r>
        <w:rPr>
          <w:rFonts w:ascii="宋体" w:hAnsi="宋体" w:eastAsia="宋体" w:cs="宋体"/>
        </w:rPr>
        <w:t xml:space="preserve"> </w:t>
      </w:r>
    </w:p>
    <w:p w14:paraId="6173BBCA">
      <w:pPr>
        <w:spacing w:line="500" w:lineRule="exact"/>
        <w:ind w:firstLine="420" w:firstLineChars="200"/>
        <w:jc w:val="left"/>
        <w:rPr>
          <w:rFonts w:ascii="宋体" w:hAnsi="宋体" w:eastAsia="宋体" w:cs="Times New Roman"/>
        </w:rPr>
      </w:pPr>
      <w:r>
        <w:rPr>
          <w:rFonts w:hint="eastAsia" w:ascii="宋体" w:hAnsi="宋体" w:eastAsia="宋体" w:cs="宋体"/>
        </w:rPr>
        <w:t>第四章</w:t>
      </w:r>
      <w:r>
        <w:rPr>
          <w:rFonts w:ascii="宋体" w:hAnsi="宋体" w:eastAsia="宋体" w:cs="宋体"/>
        </w:rPr>
        <w:t xml:space="preserve"> </w:t>
      </w:r>
      <w:r>
        <w:rPr>
          <w:rFonts w:hint="eastAsia" w:ascii="宋体" w:hAnsi="宋体" w:eastAsia="宋体" w:cs="宋体"/>
        </w:rPr>
        <w:t>评审程序、评审方法和评审标准；</w:t>
      </w:r>
    </w:p>
    <w:p w14:paraId="351E9035">
      <w:pPr>
        <w:spacing w:line="500" w:lineRule="exact"/>
        <w:ind w:firstLine="420" w:firstLineChars="200"/>
        <w:jc w:val="left"/>
        <w:rPr>
          <w:rFonts w:ascii="宋体" w:hAnsi="宋体" w:eastAsia="宋体" w:cs="Times New Roman"/>
        </w:rPr>
      </w:pPr>
      <w:r>
        <w:rPr>
          <w:rFonts w:hint="eastAsia" w:ascii="宋体" w:hAnsi="宋体" w:eastAsia="宋体" w:cs="宋体"/>
        </w:rPr>
        <w:t>第五章</w:t>
      </w:r>
      <w:r>
        <w:rPr>
          <w:rFonts w:ascii="宋体" w:hAnsi="宋体" w:eastAsia="宋体" w:cs="宋体"/>
        </w:rPr>
        <w:t xml:space="preserve"> </w:t>
      </w:r>
      <w:r>
        <w:rPr>
          <w:rFonts w:hint="eastAsia" w:ascii="宋体" w:hAnsi="宋体" w:eastAsia="宋体" w:cs="宋体"/>
        </w:rPr>
        <w:t>响应文件格式；</w:t>
      </w:r>
    </w:p>
    <w:p w14:paraId="76646D40">
      <w:pPr>
        <w:spacing w:line="500" w:lineRule="exact"/>
        <w:ind w:firstLine="420" w:firstLineChars="200"/>
        <w:jc w:val="left"/>
        <w:rPr>
          <w:rFonts w:ascii="宋体" w:hAnsi="宋体" w:eastAsia="宋体" w:cs="Times New Roman"/>
        </w:rPr>
      </w:pPr>
      <w:r>
        <w:rPr>
          <w:rFonts w:hint="eastAsia" w:ascii="宋体" w:hAnsi="宋体" w:eastAsia="宋体" w:cs="宋体"/>
        </w:rPr>
        <w:t>第六章</w:t>
      </w:r>
      <w:r>
        <w:rPr>
          <w:rFonts w:ascii="宋体" w:hAnsi="宋体" w:eastAsia="宋体" w:cs="宋体"/>
        </w:rPr>
        <w:t xml:space="preserve"> </w:t>
      </w:r>
      <w:r>
        <w:rPr>
          <w:rFonts w:hint="eastAsia" w:ascii="宋体" w:hAnsi="宋体" w:eastAsia="宋体" w:cs="宋体"/>
        </w:rPr>
        <w:t>合同文本；</w:t>
      </w:r>
    </w:p>
    <w:p w14:paraId="2D4713B0">
      <w:pPr>
        <w:spacing w:line="500" w:lineRule="exact"/>
        <w:ind w:firstLine="420" w:firstLineChars="200"/>
        <w:jc w:val="left"/>
        <w:rPr>
          <w:rFonts w:ascii="宋体" w:hAnsi="宋体" w:eastAsia="宋体" w:cs="Times New Roman"/>
        </w:rPr>
      </w:pPr>
      <w:r>
        <w:rPr>
          <w:rFonts w:hint="eastAsia" w:ascii="宋体" w:hAnsi="宋体" w:eastAsia="宋体" w:cs="宋体"/>
        </w:rPr>
        <w:t>第七章</w:t>
      </w:r>
      <w:r>
        <w:rPr>
          <w:rFonts w:ascii="宋体" w:hAnsi="宋体" w:eastAsia="宋体" w:cs="宋体"/>
        </w:rPr>
        <w:t xml:space="preserve"> </w:t>
      </w:r>
      <w:r>
        <w:rPr>
          <w:rFonts w:hint="eastAsia" w:ascii="宋体" w:hAnsi="宋体" w:eastAsia="宋体" w:cs="宋体"/>
        </w:rPr>
        <w:t>质疑、投诉材料格式。</w:t>
      </w:r>
    </w:p>
    <w:p w14:paraId="38D19590">
      <w:pPr>
        <w:spacing w:line="500" w:lineRule="exact"/>
        <w:ind w:firstLine="422" w:firstLineChars="200"/>
        <w:rPr>
          <w:rFonts w:ascii="宋体" w:hAnsi="宋体" w:eastAsia="宋体" w:cs="Times New Roman"/>
          <w:b/>
          <w:bCs/>
        </w:rPr>
      </w:pPr>
      <w:r>
        <w:rPr>
          <w:rFonts w:ascii="宋体" w:hAnsi="宋体" w:eastAsia="宋体" w:cs="宋体"/>
          <w:b/>
          <w:bCs/>
        </w:rPr>
        <w:t>9.</w:t>
      </w:r>
      <w:r>
        <w:rPr>
          <w:rFonts w:hint="eastAsia" w:ascii="宋体" w:hAnsi="宋体" w:eastAsia="宋体" w:cs="宋体"/>
          <w:b/>
          <w:bCs/>
        </w:rPr>
        <w:t>供应商的询问</w:t>
      </w:r>
    </w:p>
    <w:p w14:paraId="7700C7BF">
      <w:pPr>
        <w:spacing w:line="500" w:lineRule="exact"/>
        <w:ind w:firstLine="420" w:firstLineChars="200"/>
        <w:rPr>
          <w:rFonts w:ascii="宋体" w:hAnsi="宋体" w:eastAsia="宋体" w:cs="Times New Roman"/>
        </w:rPr>
      </w:pPr>
      <w:r>
        <w:rPr>
          <w:rFonts w:hint="eastAsia" w:ascii="宋体" w:hAnsi="宋体" w:eastAsia="宋体" w:cs="宋体"/>
        </w:rPr>
        <w:t>供应商应认真阅读磋商文件的采购需求，如供应商对磋商文件有疑问的，如要求采购人作出澄清或者修改的，供应商尽应在提交首次响应文件截止之日前，以书面形式向采购人、采购代理机构提出。</w:t>
      </w:r>
    </w:p>
    <w:p w14:paraId="33126A08">
      <w:pPr>
        <w:spacing w:line="500" w:lineRule="exact"/>
        <w:ind w:firstLine="422" w:firstLineChars="200"/>
        <w:rPr>
          <w:rFonts w:ascii="宋体" w:hAnsi="宋体" w:eastAsia="宋体" w:cs="Times New Roman"/>
          <w:b/>
          <w:bCs/>
        </w:rPr>
      </w:pPr>
      <w:r>
        <w:rPr>
          <w:rFonts w:ascii="宋体" w:hAnsi="宋体" w:eastAsia="宋体" w:cs="宋体"/>
          <w:b/>
          <w:bCs/>
        </w:rPr>
        <w:t>10.</w:t>
      </w:r>
      <w:r>
        <w:rPr>
          <w:rFonts w:hint="eastAsia" w:ascii="宋体" w:hAnsi="宋体" w:eastAsia="宋体" w:cs="宋体"/>
          <w:b/>
          <w:bCs/>
        </w:rPr>
        <w:t>磋商文件的澄清和修改</w:t>
      </w:r>
    </w:p>
    <w:p w14:paraId="042F7CD9">
      <w:pPr>
        <w:spacing w:line="500" w:lineRule="exact"/>
        <w:ind w:firstLine="420" w:firstLineChars="200"/>
        <w:rPr>
          <w:rFonts w:ascii="宋体" w:hAnsi="宋体" w:eastAsia="宋体" w:cs="Times New Roman"/>
        </w:rPr>
      </w:pPr>
      <w:r>
        <w:rPr>
          <w:rFonts w:ascii="宋体" w:hAnsi="宋体" w:eastAsia="宋体" w:cs="宋体"/>
        </w:rPr>
        <w:t>10.1</w:t>
      </w:r>
      <w:r>
        <w:rPr>
          <w:rFonts w:hint="eastAsia" w:ascii="宋体" w:hAnsi="宋体" w:eastAsia="宋体" w:cs="宋体"/>
        </w:rPr>
        <w:t>已获取磋商文件的潜在供应商，若有问题需要澄清，应于应标截止时间前，以书面形式向采购代理机构提出，采购代理机构与采购人研究后，对认为有必要回答的问题，按照本章</w:t>
      </w:r>
      <w:r>
        <w:rPr>
          <w:rFonts w:ascii="宋体" w:hAnsi="宋体" w:eastAsia="宋体" w:cs="宋体"/>
        </w:rPr>
        <w:t>10.3</w:t>
      </w:r>
      <w:r>
        <w:rPr>
          <w:rFonts w:hint="eastAsia" w:ascii="宋体" w:hAnsi="宋体" w:eastAsia="宋体" w:cs="宋体"/>
        </w:rPr>
        <w:t>的内容处理。</w:t>
      </w:r>
    </w:p>
    <w:p w14:paraId="6EFAFC8F">
      <w:pPr>
        <w:spacing w:line="500" w:lineRule="exact"/>
        <w:ind w:firstLine="422" w:firstLineChars="200"/>
        <w:rPr>
          <w:rFonts w:ascii="宋体" w:hAnsi="宋体" w:eastAsia="宋体" w:cs="Times New Roman"/>
          <w:b/>
          <w:bCs/>
        </w:rPr>
      </w:pPr>
      <w:r>
        <w:rPr>
          <w:rFonts w:ascii="宋体" w:hAnsi="宋体" w:eastAsia="宋体" w:cs="宋体"/>
          <w:b/>
          <w:bCs/>
        </w:rPr>
        <w:t>10.2</w:t>
      </w:r>
      <w:r>
        <w:rPr>
          <w:rFonts w:hint="eastAsia" w:ascii="宋体" w:hAnsi="宋体" w:eastAsia="宋体" w:cs="宋体"/>
          <w:b/>
          <w:bCs/>
        </w:rPr>
        <w:t>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422AB83">
      <w:pPr>
        <w:spacing w:line="500" w:lineRule="exact"/>
        <w:ind w:firstLine="420" w:firstLineChars="200"/>
        <w:rPr>
          <w:rFonts w:ascii="宋体" w:hAnsi="宋体" w:eastAsia="宋体" w:cs="Times New Roman"/>
        </w:rPr>
      </w:pPr>
      <w:r>
        <w:rPr>
          <w:rFonts w:ascii="宋体" w:hAnsi="宋体" w:eastAsia="宋体" w:cs="宋体"/>
        </w:rPr>
        <w:t>10.3</w:t>
      </w:r>
      <w:r>
        <w:rPr>
          <w:rFonts w:hint="eastAsia" w:ascii="宋体" w:hAnsi="宋体" w:eastAsia="宋体" w:cs="宋体"/>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ascii="宋体" w:hAnsi="宋体" w:eastAsia="宋体" w:cs="宋体"/>
        </w:rPr>
        <w:t>5</w:t>
      </w:r>
      <w:r>
        <w:rPr>
          <w:rFonts w:hint="eastAsia" w:ascii="宋体" w:hAnsi="宋体" w:eastAsia="宋体" w:cs="宋体"/>
        </w:rPr>
        <w:t>个工作日前，以书面形式（目前为网上公告和系统短信等形式）通知所有获取磋商文件的供应商，不足</w:t>
      </w:r>
      <w:r>
        <w:rPr>
          <w:rFonts w:ascii="宋体" w:hAnsi="宋体" w:eastAsia="宋体" w:cs="宋体"/>
        </w:rPr>
        <w:t>5</w:t>
      </w:r>
      <w:r>
        <w:rPr>
          <w:rFonts w:hint="eastAsia" w:ascii="宋体" w:hAnsi="宋体" w:eastAsia="宋体" w:cs="宋体"/>
        </w:rPr>
        <w:t>个工作日的，应当顺延提交首次响应文件截止之日。</w:t>
      </w:r>
    </w:p>
    <w:p w14:paraId="4E41E876">
      <w:pPr>
        <w:spacing w:line="500" w:lineRule="exact"/>
        <w:ind w:firstLine="420" w:firstLineChars="200"/>
        <w:rPr>
          <w:rFonts w:ascii="宋体" w:hAnsi="宋体" w:eastAsia="宋体" w:cs="Times New Roman"/>
        </w:rPr>
      </w:pPr>
      <w:r>
        <w:rPr>
          <w:rFonts w:ascii="宋体" w:hAnsi="宋体" w:eastAsia="宋体" w:cs="宋体"/>
        </w:rPr>
        <w:t>10.4</w:t>
      </w:r>
      <w:r>
        <w:rPr>
          <w:rFonts w:hint="eastAsia" w:ascii="宋体" w:hAnsi="宋体" w:eastAsia="宋体" w:cs="宋体"/>
          <w:shd w:val="clear" w:color="auto" w:fill="FFFFFF"/>
        </w:rPr>
        <w:t>采购信息更正公告的内容应当包括采购人和采购代理机构名称、地址、联系方式，原公告的采购项目名称及首次公告日期，更正事项、内容及日期，采购项目联系人和电话。</w:t>
      </w:r>
    </w:p>
    <w:p w14:paraId="1D092C4F">
      <w:pPr>
        <w:spacing w:line="500" w:lineRule="exact"/>
        <w:ind w:firstLine="420" w:firstLineChars="200"/>
        <w:rPr>
          <w:rFonts w:ascii="宋体" w:hAnsi="宋体" w:eastAsia="宋体" w:cs="Times New Roman"/>
        </w:rPr>
      </w:pPr>
      <w:r>
        <w:rPr>
          <w:rFonts w:ascii="宋体" w:hAnsi="宋体" w:eastAsia="宋体" w:cs="宋体"/>
        </w:rPr>
        <w:t xml:space="preserve">10.5  </w:t>
      </w:r>
      <w:r>
        <w:rPr>
          <w:rFonts w:hint="eastAsia" w:ascii="宋体" w:hAnsi="宋体" w:eastAsia="宋体" w:cs="宋体"/>
        </w:rPr>
        <w:t>采购人和采购代理机构可以视采购具体情况，变更提交首次响应文件截止时间和竞谈时间，将变更时间将在“采购文件公告”中“七、其他补充事宜</w:t>
      </w:r>
      <w:r>
        <w:rPr>
          <w:rFonts w:ascii="宋体" w:hAnsi="宋体" w:eastAsia="宋体" w:cs="宋体"/>
        </w:rPr>
        <w:t>3.</w:t>
      </w:r>
      <w:r>
        <w:rPr>
          <w:rFonts w:hint="eastAsia" w:ascii="宋体" w:hAnsi="宋体" w:eastAsia="宋体" w:cs="宋体"/>
        </w:rPr>
        <w:t>网上查询地址”规定的政府采购信息发布媒体上发布更正公告。</w:t>
      </w:r>
    </w:p>
    <w:p w14:paraId="3E59A989">
      <w:pPr>
        <w:spacing w:line="500" w:lineRule="exact"/>
        <w:ind w:firstLine="420" w:firstLineChars="200"/>
        <w:rPr>
          <w:rFonts w:ascii="宋体" w:hAnsi="宋体" w:eastAsia="宋体" w:cs="Times New Roman"/>
          <w:kern w:val="0"/>
        </w:rPr>
      </w:pPr>
      <w:r>
        <w:rPr>
          <w:rFonts w:hint="eastAsia" w:ascii="宋体" w:hAnsi="宋体" w:eastAsia="宋体" w:cs="宋体"/>
          <w:kern w:val="0"/>
        </w:rPr>
        <w:t>▲</w:t>
      </w:r>
      <w:r>
        <w:rPr>
          <w:rFonts w:hint="eastAsia" w:ascii="宋体" w:hAnsi="宋体" w:eastAsia="宋体" w:cs="宋体"/>
          <w:b/>
          <w:bCs/>
          <w:kern w:val="0"/>
        </w:rPr>
        <w:t>响应文件未按磋商文件的澄清、修改的内容编制，又不符合实质性要求的，其响应文件作无效处理。</w:t>
      </w:r>
    </w:p>
    <w:p w14:paraId="40856A65">
      <w:pPr>
        <w:pStyle w:val="4"/>
        <w:spacing w:before="0" w:after="0" w:line="500" w:lineRule="exact"/>
        <w:ind w:firstLine="420" w:firstLineChars="199"/>
        <w:rPr>
          <w:rFonts w:ascii="宋体" w:cs="宋体"/>
          <w:sz w:val="21"/>
          <w:szCs w:val="21"/>
        </w:rPr>
      </w:pPr>
      <w:bookmarkStart w:id="56" w:name="_Toc32719"/>
      <w:bookmarkStart w:id="57" w:name="_Toc110327554"/>
      <w:bookmarkStart w:id="58" w:name="_Toc144977165"/>
      <w:bookmarkStart w:id="59" w:name="_Toc106616820"/>
      <w:r>
        <w:rPr>
          <w:rFonts w:hint="eastAsia" w:ascii="宋体" w:hAnsi="宋体" w:cs="宋体"/>
          <w:sz w:val="21"/>
          <w:szCs w:val="21"/>
        </w:rPr>
        <w:t>三、响应文件的编制</w:t>
      </w:r>
      <w:bookmarkEnd w:id="56"/>
      <w:bookmarkEnd w:id="57"/>
      <w:bookmarkEnd w:id="58"/>
      <w:bookmarkEnd w:id="59"/>
    </w:p>
    <w:p w14:paraId="656AC6DA">
      <w:pPr>
        <w:spacing w:line="500" w:lineRule="exact"/>
        <w:ind w:firstLine="422" w:firstLineChars="200"/>
        <w:rPr>
          <w:rFonts w:ascii="宋体" w:hAnsi="宋体" w:eastAsia="宋体" w:cs="Times New Roman"/>
          <w:b/>
          <w:bCs/>
        </w:rPr>
      </w:pPr>
      <w:r>
        <w:rPr>
          <w:rFonts w:ascii="宋体" w:hAnsi="宋体" w:eastAsia="宋体" w:cs="宋体"/>
          <w:b/>
          <w:bCs/>
        </w:rPr>
        <w:t>11.</w:t>
      </w:r>
      <w:r>
        <w:rPr>
          <w:rFonts w:hint="eastAsia" w:ascii="宋体" w:hAnsi="宋体" w:eastAsia="宋体" w:cs="宋体"/>
          <w:b/>
          <w:bCs/>
        </w:rPr>
        <w:t>响应文件的编制原则</w:t>
      </w:r>
    </w:p>
    <w:p w14:paraId="3FB8006B">
      <w:pPr>
        <w:spacing w:line="500" w:lineRule="exact"/>
        <w:ind w:firstLine="420" w:firstLineChars="200"/>
        <w:rPr>
          <w:rFonts w:ascii="宋体" w:hAnsi="宋体" w:eastAsia="宋体" w:cs="Times New Roman"/>
        </w:rPr>
      </w:pPr>
      <w:r>
        <w:rPr>
          <w:rFonts w:hint="eastAsia" w:ascii="宋体" w:hAnsi="宋体" w:eastAsia="宋体" w:cs="宋体"/>
        </w:rPr>
        <w:t>供应商必须按照磋商文件的要求编制响应文件，并对其提交的响应文件的真实性、合法性承担法律责任。响应文件必须对磋商文件作出实质性响应。</w:t>
      </w:r>
    </w:p>
    <w:p w14:paraId="10B29BBA">
      <w:pPr>
        <w:spacing w:line="500" w:lineRule="exact"/>
        <w:ind w:firstLine="413" w:firstLineChars="196"/>
        <w:rPr>
          <w:rFonts w:ascii="宋体" w:hAnsi="宋体" w:eastAsia="宋体" w:cs="Times New Roman"/>
          <w:b/>
          <w:bCs/>
        </w:rPr>
      </w:pPr>
      <w:r>
        <w:rPr>
          <w:rFonts w:ascii="宋体" w:hAnsi="宋体" w:eastAsia="宋体" w:cs="宋体"/>
          <w:b/>
          <w:bCs/>
        </w:rPr>
        <w:t>12.</w:t>
      </w:r>
      <w:r>
        <w:rPr>
          <w:rFonts w:hint="eastAsia" w:ascii="宋体" w:hAnsi="宋体" w:eastAsia="宋体" w:cs="宋体"/>
          <w:b/>
          <w:bCs/>
        </w:rPr>
        <w:t>响应文件的组成</w:t>
      </w:r>
    </w:p>
    <w:p w14:paraId="41E3E7C9">
      <w:pPr>
        <w:spacing w:line="500" w:lineRule="exact"/>
        <w:ind w:firstLine="420" w:firstLineChars="200"/>
        <w:rPr>
          <w:rFonts w:ascii="宋体" w:hAnsi="宋体" w:eastAsia="宋体" w:cs="Times New Roman"/>
        </w:rPr>
      </w:pPr>
      <w:r>
        <w:rPr>
          <w:rFonts w:ascii="宋体" w:hAnsi="宋体" w:eastAsia="宋体" w:cs="宋体"/>
        </w:rPr>
        <w:t>12.1</w:t>
      </w:r>
      <w:r>
        <w:rPr>
          <w:rFonts w:hint="eastAsia" w:ascii="宋体" w:hAnsi="宋体" w:eastAsia="宋体" w:cs="宋体"/>
        </w:rPr>
        <w:t>响应文件由资格证明文件、报价文件、商务和技术文件三部分组成。</w:t>
      </w:r>
    </w:p>
    <w:p w14:paraId="75020435">
      <w:pPr>
        <w:spacing w:line="500" w:lineRule="exact"/>
        <w:ind w:firstLine="420" w:firstLineChars="200"/>
        <w:rPr>
          <w:rFonts w:ascii="宋体" w:hAnsi="宋体" w:eastAsia="宋体" w:cs="Times New Roman"/>
        </w:rPr>
      </w:pPr>
      <w:r>
        <w:rPr>
          <w:rFonts w:ascii="宋体" w:hAnsi="宋体" w:eastAsia="宋体" w:cs="宋体"/>
        </w:rPr>
        <w:t>12.1.1</w:t>
      </w:r>
      <w:r>
        <w:rPr>
          <w:rFonts w:hint="eastAsia" w:ascii="宋体" w:hAnsi="宋体" w:eastAsia="宋体" w:cs="宋体"/>
        </w:rPr>
        <w:t>资格证明文件：详见须知前附表</w:t>
      </w:r>
    </w:p>
    <w:p w14:paraId="76A32167">
      <w:pPr>
        <w:spacing w:line="500" w:lineRule="exact"/>
        <w:ind w:firstLine="420" w:firstLineChars="200"/>
        <w:rPr>
          <w:rFonts w:ascii="宋体" w:hAnsi="宋体" w:eastAsia="宋体" w:cs="Times New Roman"/>
        </w:rPr>
      </w:pPr>
      <w:r>
        <w:rPr>
          <w:rFonts w:ascii="宋体" w:hAnsi="宋体" w:eastAsia="宋体" w:cs="宋体"/>
        </w:rPr>
        <w:t>12.1.2</w:t>
      </w:r>
      <w:r>
        <w:rPr>
          <w:rFonts w:hint="eastAsia" w:ascii="宋体" w:hAnsi="宋体" w:eastAsia="宋体" w:cs="宋体"/>
        </w:rPr>
        <w:t>商务技术文件：详见须知前附表</w:t>
      </w:r>
    </w:p>
    <w:p w14:paraId="4F0E2D3B">
      <w:pPr>
        <w:spacing w:line="500" w:lineRule="exact"/>
        <w:ind w:firstLine="420" w:firstLineChars="200"/>
        <w:rPr>
          <w:rFonts w:ascii="宋体" w:hAnsi="宋体" w:eastAsia="宋体" w:cs="Times New Roman"/>
        </w:rPr>
      </w:pPr>
      <w:r>
        <w:rPr>
          <w:rFonts w:ascii="宋体" w:hAnsi="宋体" w:eastAsia="宋体" w:cs="宋体"/>
        </w:rPr>
        <w:t>12.1.3</w:t>
      </w:r>
      <w:r>
        <w:rPr>
          <w:rFonts w:hint="eastAsia" w:ascii="宋体" w:hAnsi="宋体" w:eastAsia="宋体" w:cs="宋体"/>
        </w:rPr>
        <w:t>报价文件：详见须知前附表</w:t>
      </w:r>
    </w:p>
    <w:p w14:paraId="7BDAA444">
      <w:pPr>
        <w:spacing w:line="500" w:lineRule="exact"/>
        <w:ind w:firstLine="420" w:firstLineChars="200"/>
        <w:rPr>
          <w:rFonts w:ascii="宋体" w:hAnsi="宋体" w:eastAsia="宋体" w:cs="Times New Roman"/>
        </w:rPr>
      </w:pPr>
      <w:r>
        <w:rPr>
          <w:rFonts w:ascii="宋体" w:hAnsi="宋体" w:eastAsia="宋体" w:cs="宋体"/>
        </w:rPr>
        <w:t>12.2</w:t>
      </w:r>
      <w:r>
        <w:rPr>
          <w:rFonts w:hint="eastAsia" w:ascii="宋体" w:hAnsi="宋体" w:eastAsia="宋体" w:cs="宋体"/>
        </w:rPr>
        <w:t>响应文件电子版：详见须知前附表</w:t>
      </w:r>
    </w:p>
    <w:p w14:paraId="19E77582">
      <w:pPr>
        <w:spacing w:line="500" w:lineRule="exact"/>
        <w:ind w:firstLine="422" w:firstLineChars="200"/>
        <w:rPr>
          <w:rFonts w:ascii="宋体" w:hAnsi="宋体" w:eastAsia="宋体" w:cs="Times New Roman"/>
          <w:b/>
          <w:bCs/>
        </w:rPr>
      </w:pPr>
      <w:bookmarkStart w:id="60" w:name="_Hlk42592874"/>
      <w:r>
        <w:rPr>
          <w:rFonts w:ascii="宋体" w:hAnsi="宋体" w:eastAsia="宋体" w:cs="宋体"/>
          <w:b/>
          <w:bCs/>
        </w:rPr>
        <w:t>13.</w:t>
      </w:r>
      <w:r>
        <w:rPr>
          <w:rFonts w:hint="eastAsia" w:ascii="宋体" w:hAnsi="宋体" w:eastAsia="宋体" w:cs="宋体"/>
          <w:b/>
          <w:bCs/>
        </w:rPr>
        <w:t>计量单位</w:t>
      </w:r>
    </w:p>
    <w:p w14:paraId="7E93B204">
      <w:pPr>
        <w:spacing w:line="500" w:lineRule="exact"/>
        <w:ind w:firstLine="420" w:firstLineChars="200"/>
        <w:rPr>
          <w:rFonts w:ascii="宋体" w:hAnsi="宋体" w:eastAsia="宋体" w:cs="Times New Roman"/>
        </w:rPr>
      </w:pPr>
      <w:r>
        <w:rPr>
          <w:rFonts w:hint="eastAsia" w:ascii="宋体" w:hAnsi="宋体" w:eastAsia="宋体" w:cs="宋体"/>
        </w:rPr>
        <w:t>磋商文件已有明确规定的，使用磋商文件规定的计量单位；磋商文件没有规定的，应采用中华人民共和国法定计量单位，货币种类为人民币，否则视同未响应。</w:t>
      </w:r>
    </w:p>
    <w:p w14:paraId="1A195F22">
      <w:pPr>
        <w:spacing w:line="500" w:lineRule="exact"/>
        <w:ind w:firstLine="422" w:firstLineChars="200"/>
        <w:rPr>
          <w:rFonts w:ascii="宋体" w:hAnsi="宋体" w:eastAsia="宋体" w:cs="Times New Roman"/>
          <w:b/>
          <w:bCs/>
        </w:rPr>
      </w:pPr>
      <w:r>
        <w:rPr>
          <w:rFonts w:ascii="宋体" w:hAnsi="宋体" w:eastAsia="宋体" w:cs="宋体"/>
          <w:b/>
          <w:bCs/>
        </w:rPr>
        <w:t>14.</w:t>
      </w:r>
      <w:r>
        <w:rPr>
          <w:rFonts w:hint="eastAsia" w:ascii="宋体" w:hAnsi="宋体" w:eastAsia="宋体" w:cs="宋体"/>
          <w:b/>
          <w:bCs/>
        </w:rPr>
        <w:t>竞标的风险</w:t>
      </w:r>
    </w:p>
    <w:p w14:paraId="6017F4B6">
      <w:pPr>
        <w:spacing w:line="500" w:lineRule="exact"/>
        <w:ind w:firstLine="420" w:firstLineChars="200"/>
        <w:rPr>
          <w:rFonts w:ascii="宋体" w:hAnsi="宋体" w:eastAsia="宋体" w:cs="Times New Roman"/>
        </w:rPr>
      </w:pPr>
      <w:r>
        <w:rPr>
          <w:rFonts w:hint="eastAsia" w:ascii="宋体" w:hAnsi="宋体" w:eastAsia="宋体" w:cs="宋体"/>
        </w:rPr>
        <w:t>供应商没有按照磋商文件要求提供全部资料，或者供应商没有对磋商文件在各方面作出实质性响应可能导致其响应无效，是供应商应当考虑的风险。</w:t>
      </w:r>
    </w:p>
    <w:p w14:paraId="15DAB83B">
      <w:pPr>
        <w:spacing w:line="500" w:lineRule="exact"/>
        <w:ind w:firstLine="422" w:firstLineChars="200"/>
        <w:rPr>
          <w:rFonts w:ascii="宋体" w:hAnsi="宋体" w:eastAsia="宋体" w:cs="Times New Roman"/>
          <w:b/>
          <w:bCs/>
        </w:rPr>
      </w:pPr>
      <w:r>
        <w:rPr>
          <w:rFonts w:ascii="宋体" w:hAnsi="宋体" w:eastAsia="宋体" w:cs="宋体"/>
          <w:b/>
          <w:bCs/>
        </w:rPr>
        <w:t>15.</w:t>
      </w:r>
      <w:r>
        <w:rPr>
          <w:rFonts w:hint="eastAsia" w:ascii="宋体" w:hAnsi="宋体" w:eastAsia="宋体" w:cs="宋体"/>
          <w:b/>
          <w:bCs/>
        </w:rPr>
        <w:t>响应报价要求和构成</w:t>
      </w:r>
    </w:p>
    <w:p w14:paraId="464DEDE8">
      <w:pPr>
        <w:tabs>
          <w:tab w:val="left" w:pos="2492"/>
        </w:tabs>
        <w:spacing w:line="500" w:lineRule="exact"/>
        <w:ind w:firstLine="420" w:firstLineChars="200"/>
        <w:rPr>
          <w:rFonts w:ascii="宋体" w:hAnsi="宋体" w:eastAsia="宋体" w:cs="Times New Roman"/>
        </w:rPr>
      </w:pPr>
      <w:r>
        <w:rPr>
          <w:rFonts w:ascii="宋体" w:hAnsi="宋体" w:eastAsia="宋体" w:cs="宋体"/>
        </w:rPr>
        <w:t>15.1</w:t>
      </w:r>
      <w:r>
        <w:rPr>
          <w:rFonts w:hint="eastAsia" w:ascii="宋体" w:hAnsi="宋体" w:eastAsia="宋体" w:cs="宋体"/>
        </w:rPr>
        <w:t>响应报价应按“第五章</w:t>
      </w:r>
      <w:r>
        <w:rPr>
          <w:rFonts w:ascii="宋体" w:hAnsi="宋体" w:eastAsia="宋体" w:cs="宋体"/>
        </w:rPr>
        <w:t xml:space="preserve"> </w:t>
      </w:r>
      <w:r>
        <w:rPr>
          <w:rFonts w:hint="eastAsia" w:ascii="宋体" w:hAnsi="宋体" w:eastAsia="宋体" w:cs="宋体"/>
        </w:rPr>
        <w:t>响应文件格式”中“响应报价表”格式填写。</w:t>
      </w:r>
    </w:p>
    <w:p w14:paraId="1B0EC796">
      <w:pPr>
        <w:tabs>
          <w:tab w:val="left" w:pos="2492"/>
        </w:tabs>
        <w:spacing w:line="500" w:lineRule="exact"/>
        <w:ind w:firstLine="420" w:firstLineChars="200"/>
        <w:rPr>
          <w:rFonts w:ascii="宋体" w:hAnsi="宋体" w:eastAsia="宋体" w:cs="Times New Roman"/>
        </w:rPr>
      </w:pPr>
      <w:r>
        <w:rPr>
          <w:rFonts w:ascii="宋体" w:hAnsi="宋体" w:eastAsia="宋体" w:cs="宋体"/>
        </w:rPr>
        <w:t>15.2</w:t>
      </w:r>
      <w:r>
        <w:rPr>
          <w:rFonts w:hint="eastAsia" w:ascii="宋体" w:hAnsi="宋体" w:eastAsia="宋体" w:cs="宋体"/>
        </w:rPr>
        <w:t>响应报价的价格构成见“供应商须知前附表”。</w:t>
      </w:r>
    </w:p>
    <w:p w14:paraId="1DD087E6">
      <w:pPr>
        <w:spacing w:line="500" w:lineRule="exact"/>
        <w:ind w:firstLine="420" w:firstLineChars="200"/>
        <w:rPr>
          <w:rFonts w:ascii="宋体" w:hAnsi="宋体" w:eastAsia="宋体" w:cs="Times New Roman"/>
        </w:rPr>
      </w:pPr>
      <w:r>
        <w:rPr>
          <w:rFonts w:ascii="宋体" w:hAnsi="宋体" w:eastAsia="宋体" w:cs="宋体"/>
        </w:rPr>
        <w:t>15.3</w:t>
      </w:r>
      <w:r>
        <w:rPr>
          <w:rFonts w:hint="eastAsia" w:ascii="宋体" w:hAnsi="宋体" w:eastAsia="宋体" w:cs="宋体"/>
        </w:rPr>
        <w:t>响应报价要求</w:t>
      </w:r>
    </w:p>
    <w:p w14:paraId="1F4EAD67">
      <w:pPr>
        <w:spacing w:line="500" w:lineRule="exact"/>
        <w:ind w:firstLine="420" w:firstLineChars="200"/>
        <w:rPr>
          <w:rFonts w:ascii="宋体" w:hAnsi="宋体" w:eastAsia="宋体" w:cs="Times New Roman"/>
        </w:rPr>
      </w:pPr>
      <w:r>
        <w:rPr>
          <w:rFonts w:ascii="宋体" w:hAnsi="宋体" w:eastAsia="宋体" w:cs="宋体"/>
        </w:rPr>
        <w:t>15.3.1</w:t>
      </w:r>
      <w:r>
        <w:rPr>
          <w:rFonts w:hint="eastAsia" w:ascii="宋体" w:hAnsi="宋体" w:eastAsia="宋体" w:cs="宋体"/>
        </w:rPr>
        <w:t>供应商的响应报价应符合以下要求，否则响应文件按无效响应处理：</w:t>
      </w:r>
    </w:p>
    <w:p w14:paraId="4FF9B4C0">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）供应商必须就“采购需求”中所竞标的每个分标的全部内容分别作完整唯一总价报价，不得存在漏项报价；</w:t>
      </w:r>
    </w:p>
    <w:p w14:paraId="236DA328">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）供应商必须就所竞标的分标的单项内容作唯一报价。</w:t>
      </w:r>
    </w:p>
    <w:p w14:paraId="564CA376">
      <w:pPr>
        <w:spacing w:line="500" w:lineRule="exact"/>
        <w:ind w:firstLine="420" w:firstLineChars="200"/>
        <w:rPr>
          <w:rFonts w:ascii="宋体" w:hAnsi="宋体" w:eastAsia="宋体" w:cs="Times New Roman"/>
        </w:rPr>
      </w:pPr>
      <w:r>
        <w:rPr>
          <w:rFonts w:ascii="宋体" w:hAnsi="宋体" w:eastAsia="宋体" w:cs="宋体"/>
        </w:rPr>
        <w:t>15.3.2</w:t>
      </w:r>
      <w:r>
        <w:rPr>
          <w:rFonts w:hint="eastAsia" w:ascii="宋体" w:hAnsi="宋体" w:eastAsia="宋体" w:cs="宋体"/>
        </w:rPr>
        <w:t>响应报价（包含首次报价、最后报价）超过所竞标分标规定的采购预算金额或者最高限价的，其响应文件将作无效处理。</w:t>
      </w:r>
    </w:p>
    <w:p w14:paraId="7CA3E7A4">
      <w:pPr>
        <w:spacing w:line="500" w:lineRule="exact"/>
        <w:ind w:firstLine="420" w:firstLineChars="200"/>
        <w:rPr>
          <w:rFonts w:ascii="宋体" w:hAnsi="宋体" w:eastAsia="宋体" w:cs="Times New Roman"/>
        </w:rPr>
      </w:pPr>
      <w:r>
        <w:rPr>
          <w:rFonts w:ascii="宋体" w:hAnsi="宋体" w:eastAsia="宋体" w:cs="宋体"/>
        </w:rPr>
        <w:t>15.3.3</w:t>
      </w:r>
      <w:r>
        <w:rPr>
          <w:rFonts w:hint="eastAsia" w:ascii="宋体" w:hAnsi="宋体" w:eastAsia="宋体" w:cs="宋体"/>
        </w:rPr>
        <w:t>响应报价（包含首次报价、最后报价）超过分项采购预算金额或者最高限价的，其响应文件将作无效处理。</w:t>
      </w:r>
    </w:p>
    <w:p w14:paraId="2AE448F8">
      <w:pPr>
        <w:spacing w:line="500" w:lineRule="exact"/>
        <w:ind w:firstLine="420" w:firstLineChars="200"/>
        <w:rPr>
          <w:rFonts w:ascii="宋体" w:hAnsi="宋体" w:eastAsia="宋体" w:cs="Times New Roman"/>
        </w:rPr>
      </w:pPr>
      <w:r>
        <w:rPr>
          <w:rFonts w:ascii="宋体" w:hAnsi="宋体" w:eastAsia="宋体" w:cs="宋体"/>
        </w:rPr>
        <w:t>15.3.4</w:t>
      </w:r>
      <w:r>
        <w:rPr>
          <w:rFonts w:hint="eastAsia" w:ascii="宋体" w:hAnsi="宋体" w:eastAsia="宋体" w:cs="宋体"/>
        </w:rPr>
        <w:t>磋商价格及依据</w:t>
      </w:r>
    </w:p>
    <w:p w14:paraId="7EA18639">
      <w:pPr>
        <w:spacing w:line="500" w:lineRule="exact"/>
        <w:ind w:firstLine="420" w:firstLineChars="200"/>
        <w:rPr>
          <w:rFonts w:ascii="宋体" w:hAnsi="宋体" w:eastAsia="宋体" w:cs="Times New Roman"/>
          <w:b/>
          <w:bCs/>
        </w:rPr>
      </w:pPr>
      <w:r>
        <w:rPr>
          <w:rFonts w:ascii="宋体" w:hAnsi="宋体" w:eastAsia="宋体" w:cs="宋体"/>
        </w:rPr>
        <w:t xml:space="preserve">15.3.4.1 </w:t>
      </w:r>
      <w:r>
        <w:rPr>
          <w:rFonts w:hint="eastAsia" w:ascii="宋体" w:hAnsi="宋体" w:eastAsia="宋体" w:cs="宋体"/>
        </w:rPr>
        <w:t>本工程磋商报价采用工程量清单报价。工程量按实际结算。供应商应就本项目作完整唯一报价。</w:t>
      </w:r>
    </w:p>
    <w:p w14:paraId="091A3564">
      <w:pPr>
        <w:spacing w:line="500" w:lineRule="exact"/>
        <w:ind w:firstLine="334"/>
        <w:rPr>
          <w:rFonts w:ascii="宋体" w:hAnsi="宋体" w:eastAsia="宋体" w:cs="Times New Roman"/>
        </w:rPr>
      </w:pPr>
      <w:r>
        <w:rPr>
          <w:rFonts w:ascii="宋体" w:hAnsi="宋体" w:eastAsia="宋体" w:cs="宋体"/>
        </w:rPr>
        <w:t xml:space="preserve">15.3.4.2 </w:t>
      </w:r>
      <w:r>
        <w:rPr>
          <w:rFonts w:hint="eastAsia" w:ascii="宋体" w:hAnsi="宋体" w:eastAsia="宋体" w:cs="宋体"/>
        </w:rPr>
        <w:t>本工程采用单价合同承包，磋商报价为供应商在响应文件中提出的各项支付金额的总和。</w:t>
      </w:r>
    </w:p>
    <w:p w14:paraId="3495EB7B">
      <w:pPr>
        <w:spacing w:line="500" w:lineRule="exact"/>
        <w:ind w:firstLine="352"/>
        <w:rPr>
          <w:rFonts w:ascii="宋体" w:hAnsi="宋体" w:eastAsia="宋体" w:cs="Times New Roman"/>
        </w:rPr>
      </w:pPr>
      <w:r>
        <w:rPr>
          <w:rFonts w:ascii="宋体" w:hAnsi="宋体" w:eastAsia="宋体" w:cs="宋体"/>
        </w:rPr>
        <w:t>15.3.4.3</w:t>
      </w:r>
      <w:r>
        <w:rPr>
          <w:rFonts w:hint="eastAsia" w:ascii="宋体" w:hAnsi="宋体" w:eastAsia="宋体" w:cs="宋体"/>
        </w:rPr>
        <w:t>磋商价格计算依据：</w:t>
      </w:r>
    </w:p>
    <w:p w14:paraId="64777068">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）按照国家、自治区有关招标投标和工程造价管理的规定，具体定额和取费标准详见本项目工程量清单及控制价编制说明。</w:t>
      </w:r>
    </w:p>
    <w:p w14:paraId="16665FF9">
      <w:pPr>
        <w:spacing w:line="500" w:lineRule="exact"/>
        <w:ind w:firstLine="420" w:firstLineChars="200"/>
        <w:rPr>
          <w:rFonts w:ascii="宋体" w:hAnsi="宋体" w:eastAsia="宋体" w:cs="Times New Roman"/>
          <w:b/>
          <w:bCs/>
        </w:rPr>
      </w:pPr>
      <w:r>
        <w:rPr>
          <w:rFonts w:hint="eastAsia" w:ascii="宋体" w:hAnsi="宋体" w:eastAsia="宋体" w:cs="宋体"/>
        </w:rPr>
        <w:t>（</w:t>
      </w:r>
      <w:r>
        <w:rPr>
          <w:rFonts w:ascii="宋体" w:hAnsi="宋体" w:eastAsia="宋体" w:cs="宋体"/>
        </w:rPr>
        <w:t>2</w:t>
      </w:r>
      <w:r>
        <w:rPr>
          <w:rFonts w:hint="eastAsia" w:ascii="宋体" w:hAnsi="宋体" w:eastAsia="宋体" w:cs="宋体"/>
        </w:rPr>
        <w:t>）</w:t>
      </w:r>
      <w:r>
        <w:rPr>
          <w:rFonts w:hint="eastAsia" w:ascii="宋体" w:hAnsi="宋体" w:eastAsia="宋体" w:cs="宋体"/>
          <w:b/>
          <w:bCs/>
        </w:rPr>
        <w:t>本项目采用多次报价（最多二次）方式，作最终报价时供应商的最终报价如有变动，则必须以完整的工程量清单报价表的格式（按磋商文件中的相关规定签字盖章）编制提交，供应商须提前做好相关准备并按时递交最终报价文件，否则按响应无效处理。</w:t>
      </w:r>
    </w:p>
    <w:p w14:paraId="74579DF7">
      <w:pPr>
        <w:spacing w:line="500" w:lineRule="exact"/>
        <w:ind w:firstLine="420"/>
        <w:rPr>
          <w:rFonts w:ascii="宋体" w:hAnsi="宋体" w:eastAsia="宋体" w:cs="Times New Roman"/>
        </w:rPr>
      </w:pPr>
      <w:r>
        <w:rPr>
          <w:rFonts w:ascii="宋体" w:hAnsi="宋体" w:eastAsia="宋体" w:cs="宋体"/>
          <w:b/>
          <w:bCs/>
        </w:rPr>
        <w:t>15.3.4.4</w:t>
      </w:r>
      <w:r>
        <w:rPr>
          <w:rFonts w:hint="eastAsia" w:ascii="宋体" w:hAnsi="宋体" w:eastAsia="宋体" w:cs="宋体"/>
          <w:b/>
          <w:bCs/>
        </w:rPr>
        <w:t>本工程报价按工程量清单报价，具体信息价等详见工程量清单说明。</w:t>
      </w:r>
    </w:p>
    <w:bookmarkEnd w:id="60"/>
    <w:p w14:paraId="1F38D3D4">
      <w:pPr>
        <w:spacing w:line="500" w:lineRule="exact"/>
        <w:ind w:firstLine="422" w:firstLineChars="200"/>
        <w:rPr>
          <w:rFonts w:ascii="宋体" w:hAnsi="宋体" w:eastAsia="宋体" w:cs="Times New Roman"/>
          <w:b/>
          <w:bCs/>
        </w:rPr>
      </w:pPr>
      <w:r>
        <w:rPr>
          <w:rFonts w:ascii="宋体" w:hAnsi="宋体" w:eastAsia="宋体" w:cs="宋体"/>
          <w:b/>
          <w:bCs/>
        </w:rPr>
        <w:t>16.</w:t>
      </w:r>
      <w:r>
        <w:rPr>
          <w:rFonts w:hint="eastAsia" w:ascii="宋体" w:hAnsi="宋体" w:eastAsia="宋体" w:cs="宋体"/>
          <w:b/>
          <w:bCs/>
        </w:rPr>
        <w:t>竞标有效期</w:t>
      </w:r>
    </w:p>
    <w:p w14:paraId="6EBF2AFB">
      <w:pPr>
        <w:spacing w:line="500" w:lineRule="exact"/>
        <w:ind w:firstLine="420" w:firstLineChars="200"/>
        <w:rPr>
          <w:rFonts w:ascii="宋体" w:hAnsi="宋体" w:eastAsia="宋体" w:cs="Times New Roman"/>
        </w:rPr>
      </w:pPr>
      <w:r>
        <w:rPr>
          <w:rFonts w:ascii="宋体" w:hAnsi="宋体" w:eastAsia="宋体" w:cs="宋体"/>
        </w:rPr>
        <w:t>16.1</w:t>
      </w:r>
      <w:r>
        <w:rPr>
          <w:rFonts w:hint="eastAsia" w:ascii="宋体" w:hAnsi="宋体" w:eastAsia="宋体" w:cs="宋体"/>
        </w:rPr>
        <w:t>竞标有效期是指为保证采购人有足够的时间在提交响应文件后完成评审、确定成交供应商、合同签订等工作而要求供应商提交的响应文件在一定时间内保持有效的期限。</w:t>
      </w:r>
    </w:p>
    <w:p w14:paraId="07A749C4">
      <w:pPr>
        <w:spacing w:line="500" w:lineRule="exact"/>
        <w:ind w:firstLine="420" w:firstLineChars="200"/>
        <w:rPr>
          <w:rFonts w:ascii="宋体" w:hAnsi="宋体" w:eastAsia="宋体" w:cs="Times New Roman"/>
        </w:rPr>
      </w:pPr>
      <w:r>
        <w:rPr>
          <w:rFonts w:ascii="宋体" w:hAnsi="宋体" w:eastAsia="宋体" w:cs="宋体"/>
        </w:rPr>
        <w:t xml:space="preserve">16.2 </w:t>
      </w:r>
      <w:r>
        <w:rPr>
          <w:rFonts w:hint="eastAsia" w:ascii="宋体" w:hAnsi="宋体" w:eastAsia="宋体" w:cs="宋体"/>
        </w:rPr>
        <w:t>竞标有效期应由供应商按“供应商须知前附表”规定的期限作出响应。</w:t>
      </w:r>
    </w:p>
    <w:p w14:paraId="3EA02FD5">
      <w:pPr>
        <w:spacing w:line="500" w:lineRule="exact"/>
        <w:ind w:firstLine="420" w:firstLineChars="200"/>
        <w:rPr>
          <w:rFonts w:ascii="宋体" w:hAnsi="宋体" w:eastAsia="宋体" w:cs="Times New Roman"/>
        </w:rPr>
      </w:pPr>
      <w:r>
        <w:rPr>
          <w:rFonts w:ascii="宋体" w:hAnsi="宋体" w:eastAsia="宋体" w:cs="宋体"/>
        </w:rPr>
        <w:t>16.3</w:t>
      </w:r>
      <w:r>
        <w:rPr>
          <w:rFonts w:hint="eastAsia" w:ascii="宋体" w:hAnsi="宋体" w:eastAsia="宋体" w:cs="宋体"/>
        </w:rPr>
        <w:t>供应商的响应文件在竞标有效期内均保持有效。</w:t>
      </w:r>
    </w:p>
    <w:p w14:paraId="43A2824E">
      <w:pPr>
        <w:spacing w:line="500" w:lineRule="exact"/>
        <w:ind w:firstLine="422" w:firstLineChars="200"/>
        <w:rPr>
          <w:rFonts w:ascii="宋体" w:hAnsi="宋体" w:eastAsia="宋体" w:cs="Times New Roman"/>
          <w:b/>
          <w:bCs/>
        </w:rPr>
      </w:pPr>
      <w:r>
        <w:rPr>
          <w:rFonts w:ascii="宋体" w:hAnsi="宋体" w:eastAsia="宋体" w:cs="宋体"/>
          <w:b/>
          <w:bCs/>
        </w:rPr>
        <w:t>17.</w:t>
      </w:r>
      <w:r>
        <w:rPr>
          <w:rFonts w:hint="eastAsia" w:ascii="宋体" w:hAnsi="宋体" w:eastAsia="宋体" w:cs="宋体"/>
          <w:b/>
          <w:bCs/>
        </w:rPr>
        <w:t>磋商保证金</w:t>
      </w:r>
    </w:p>
    <w:p w14:paraId="671F4E8B">
      <w:pPr>
        <w:spacing w:line="500" w:lineRule="exact"/>
        <w:ind w:firstLine="420" w:firstLineChars="200"/>
        <w:rPr>
          <w:rFonts w:ascii="宋体" w:hAnsi="宋体" w:eastAsia="宋体" w:cs="Times New Roman"/>
        </w:rPr>
      </w:pPr>
      <w:r>
        <w:rPr>
          <w:rFonts w:hint="eastAsia" w:ascii="宋体" w:hAnsi="宋体" w:eastAsia="宋体" w:cs="宋体"/>
        </w:rPr>
        <w:t>详见“供应商须知前附表”。</w:t>
      </w:r>
    </w:p>
    <w:p w14:paraId="2AB82C5C">
      <w:pPr>
        <w:spacing w:line="500" w:lineRule="exact"/>
        <w:ind w:firstLine="422" w:firstLineChars="200"/>
        <w:rPr>
          <w:rFonts w:ascii="宋体" w:hAnsi="宋体" w:eastAsia="宋体" w:cs="Times New Roman"/>
          <w:b/>
          <w:bCs/>
        </w:rPr>
      </w:pPr>
      <w:r>
        <w:rPr>
          <w:rFonts w:ascii="宋体" w:hAnsi="宋体" w:eastAsia="宋体" w:cs="宋体"/>
          <w:b/>
          <w:bCs/>
        </w:rPr>
        <w:t>18.</w:t>
      </w:r>
      <w:r>
        <w:rPr>
          <w:rFonts w:hint="eastAsia" w:ascii="宋体" w:hAnsi="宋体" w:eastAsia="宋体" w:cs="宋体"/>
          <w:b/>
          <w:bCs/>
        </w:rPr>
        <w:t>响应文件编制的要求</w:t>
      </w:r>
    </w:p>
    <w:p w14:paraId="721AA4DF">
      <w:pPr>
        <w:spacing w:line="500" w:lineRule="exact"/>
        <w:ind w:firstLine="420" w:firstLineChars="200"/>
        <w:rPr>
          <w:rFonts w:ascii="宋体" w:hAnsi="宋体" w:eastAsia="宋体" w:cs="Times New Roman"/>
        </w:rPr>
      </w:pPr>
      <w:r>
        <w:rPr>
          <w:rFonts w:ascii="宋体" w:hAnsi="宋体" w:eastAsia="宋体" w:cs="宋体"/>
        </w:rPr>
        <w:t>18.1</w:t>
      </w:r>
      <w:r>
        <w:rPr>
          <w:rFonts w:hint="eastAsia" w:ascii="宋体" w:hAnsi="宋体" w:eastAsia="宋体" w:cs="宋体"/>
        </w:rPr>
        <w:t>各供应商在编制响应文件时请按照磋商文件“第五章</w:t>
      </w:r>
      <w:r>
        <w:rPr>
          <w:rFonts w:ascii="宋体" w:hAnsi="宋体" w:eastAsia="宋体" w:cs="宋体"/>
        </w:rPr>
        <w:t xml:space="preserve"> </w:t>
      </w:r>
      <w:r>
        <w:rPr>
          <w:rFonts w:hint="eastAsia" w:ascii="宋体" w:hAnsi="宋体" w:eastAsia="宋体" w:cs="宋体"/>
        </w:rPr>
        <w:t>响应文件格式”规定的格式进行，不完整、编排混乱导致响应文件被误读、漏读或者查找不到相关内容的，由此引发的后果由供应商承担。</w:t>
      </w:r>
    </w:p>
    <w:p w14:paraId="1B4ABEC8">
      <w:pPr>
        <w:spacing w:line="500" w:lineRule="exact"/>
        <w:ind w:firstLine="420" w:firstLineChars="200"/>
        <w:rPr>
          <w:rFonts w:ascii="宋体" w:hAnsi="宋体" w:eastAsia="宋体" w:cs="Times New Roman"/>
        </w:rPr>
      </w:pPr>
      <w:r>
        <w:rPr>
          <w:rFonts w:ascii="宋体" w:hAnsi="宋体" w:eastAsia="宋体" w:cs="宋体"/>
        </w:rPr>
        <w:t>18.2</w:t>
      </w:r>
      <w:r>
        <w:rPr>
          <w:rFonts w:hint="eastAsia" w:ascii="宋体" w:hAnsi="宋体" w:eastAsia="宋体" w:cs="宋体"/>
        </w:rPr>
        <w:t>响应文件应按资格证明、报价分别编制，商务技术文件合并编制，本磋商只接受电子版响应文件，要求见本章“</w:t>
      </w:r>
      <w:r>
        <w:rPr>
          <w:rFonts w:ascii="宋体" w:hAnsi="宋体" w:eastAsia="宋体" w:cs="宋体"/>
        </w:rPr>
        <w:t>12.2</w:t>
      </w:r>
      <w:r>
        <w:rPr>
          <w:rFonts w:hint="eastAsia" w:ascii="宋体" w:hAnsi="宋体" w:eastAsia="宋体" w:cs="宋体"/>
        </w:rPr>
        <w:t>响应文件电子版要求”。</w:t>
      </w:r>
    </w:p>
    <w:p w14:paraId="2A21AE88">
      <w:pPr>
        <w:spacing w:line="500" w:lineRule="exact"/>
        <w:ind w:firstLine="420" w:firstLineChars="200"/>
        <w:rPr>
          <w:rFonts w:ascii="宋体" w:hAnsi="宋体" w:eastAsia="宋体" w:cs="Times New Roman"/>
        </w:rPr>
      </w:pPr>
      <w:r>
        <w:rPr>
          <w:rFonts w:ascii="宋体" w:hAnsi="宋体" w:eastAsia="宋体" w:cs="宋体"/>
        </w:rPr>
        <w:t>18.</w:t>
      </w:r>
      <w:bookmarkStart w:id="61" w:name="_Hlk65832699"/>
      <w:r>
        <w:rPr>
          <w:rFonts w:ascii="宋体" w:hAnsi="宋体" w:eastAsia="宋体" w:cs="宋体"/>
        </w:rPr>
        <w:t>3</w:t>
      </w:r>
      <w:r>
        <w:rPr>
          <w:rFonts w:hint="eastAsia" w:ascii="宋体" w:hAnsi="宋体" w:eastAsia="宋体" w:cs="宋体"/>
        </w:rPr>
        <w:t>响应文件须由供应商在</w:t>
      </w:r>
      <w:r>
        <w:rPr>
          <w:rFonts w:hint="eastAsia" w:ascii="宋体" w:hAnsi="宋体" w:eastAsia="宋体" w:cs="宋体"/>
          <w:kern w:val="0"/>
          <w:lang w:val="zh-CN"/>
        </w:rPr>
        <w:t>“</w:t>
      </w:r>
      <w:r>
        <w:rPr>
          <w:rFonts w:hint="eastAsia" w:ascii="宋体" w:hAnsi="宋体" w:eastAsia="宋体" w:cs="宋体"/>
        </w:rPr>
        <w:t>第五章</w:t>
      </w:r>
      <w:r>
        <w:rPr>
          <w:rFonts w:ascii="宋体" w:hAnsi="宋体" w:eastAsia="宋体" w:cs="宋体"/>
        </w:rPr>
        <w:t xml:space="preserve"> </w:t>
      </w:r>
      <w:r>
        <w:rPr>
          <w:rFonts w:hint="eastAsia" w:ascii="宋体" w:hAnsi="宋体" w:eastAsia="宋体" w:cs="宋体"/>
        </w:rPr>
        <w:t>响应文件格式</w:t>
      </w:r>
      <w:r>
        <w:rPr>
          <w:rFonts w:hint="eastAsia" w:ascii="宋体" w:hAnsi="宋体" w:eastAsia="宋体" w:cs="宋体"/>
          <w:kern w:val="0"/>
          <w:lang w:val="zh-CN"/>
        </w:rPr>
        <w:t>”</w:t>
      </w:r>
      <w:r>
        <w:rPr>
          <w:rFonts w:hint="eastAsia" w:ascii="宋体" w:hAnsi="宋体" w:eastAsia="宋体" w:cs="宋体"/>
        </w:rPr>
        <w:t>规定位置进行签署、盖章</w:t>
      </w:r>
      <w:bookmarkEnd w:id="61"/>
      <w:r>
        <w:rPr>
          <w:rFonts w:hint="eastAsia" w:ascii="宋体" w:hAnsi="宋体" w:eastAsia="宋体" w:cs="宋体"/>
        </w:rPr>
        <w:t>，否则其响应文件按无效响应处理。骑缝盖公章不视为在规定位置盖章。</w:t>
      </w:r>
    </w:p>
    <w:p w14:paraId="735534F4">
      <w:pPr>
        <w:spacing w:line="500" w:lineRule="exact"/>
        <w:ind w:firstLine="420" w:firstLineChars="200"/>
        <w:rPr>
          <w:rFonts w:ascii="宋体" w:hAnsi="宋体" w:eastAsia="宋体" w:cs="Times New Roman"/>
        </w:rPr>
      </w:pPr>
      <w:r>
        <w:rPr>
          <w:rFonts w:ascii="宋体" w:hAnsi="宋体" w:eastAsia="宋体" w:cs="宋体"/>
        </w:rPr>
        <w:t>18.4</w:t>
      </w:r>
      <w:r>
        <w:rPr>
          <w:rFonts w:hint="eastAsia" w:ascii="宋体" w:hAnsi="宋体" w:eastAsia="宋体" w:cs="宋体"/>
        </w:rPr>
        <w:t>响应文件中标注的供应商名称应与营业执照（事业单位法人证书、执业许可证、自然人身份证）及电子公章一致，否则其响应文件按无效响应处理。</w:t>
      </w:r>
    </w:p>
    <w:p w14:paraId="488096CB">
      <w:pPr>
        <w:spacing w:line="500" w:lineRule="exact"/>
        <w:ind w:firstLine="420" w:firstLineChars="200"/>
        <w:rPr>
          <w:rFonts w:ascii="宋体" w:hAnsi="宋体" w:eastAsia="宋体" w:cs="Times New Roman"/>
        </w:rPr>
      </w:pPr>
      <w:r>
        <w:rPr>
          <w:rFonts w:ascii="宋体" w:hAnsi="宋体" w:eastAsia="宋体" w:cs="宋体"/>
        </w:rPr>
        <w:t>18.5</w:t>
      </w:r>
      <w:r>
        <w:rPr>
          <w:rFonts w:hint="eastAsia" w:ascii="宋体" w:hAnsi="宋体" w:eastAsia="宋体" w:cs="宋体"/>
        </w:rPr>
        <w:t>响应文件应避免涂改、行间插字或者删除，否则其响应文件按无效响应处理。</w:t>
      </w:r>
    </w:p>
    <w:p w14:paraId="032E1842">
      <w:pPr>
        <w:spacing w:line="500" w:lineRule="exact"/>
        <w:ind w:firstLine="422" w:firstLineChars="200"/>
        <w:rPr>
          <w:rFonts w:ascii="宋体" w:hAnsi="宋体" w:eastAsia="宋体" w:cs="Times New Roman"/>
          <w:b/>
          <w:bCs/>
        </w:rPr>
      </w:pPr>
      <w:r>
        <w:rPr>
          <w:rFonts w:ascii="宋体" w:hAnsi="宋体" w:eastAsia="宋体" w:cs="宋体"/>
          <w:b/>
          <w:bCs/>
        </w:rPr>
        <w:t>19.</w:t>
      </w:r>
      <w:r>
        <w:rPr>
          <w:rFonts w:hint="eastAsia" w:ascii="宋体" w:hAnsi="宋体" w:eastAsia="宋体" w:cs="宋体"/>
          <w:b/>
          <w:bCs/>
        </w:rPr>
        <w:t>响应文件的密封和标记</w:t>
      </w:r>
    </w:p>
    <w:p w14:paraId="1202C818">
      <w:pPr>
        <w:spacing w:line="500" w:lineRule="exact"/>
        <w:ind w:firstLine="420" w:firstLineChars="200"/>
        <w:rPr>
          <w:rFonts w:ascii="宋体" w:hAnsi="宋体" w:eastAsia="宋体" w:cs="Times New Roman"/>
          <w:kern w:val="0"/>
          <w:lang w:val="zh-CN"/>
        </w:rPr>
      </w:pPr>
      <w:r>
        <w:rPr>
          <w:rFonts w:ascii="宋体" w:hAnsi="宋体" w:eastAsia="宋体" w:cs="宋体"/>
          <w:kern w:val="0"/>
          <w:lang w:val="zh-CN"/>
        </w:rPr>
        <w:t>19.1</w:t>
      </w:r>
      <w:r>
        <w:rPr>
          <w:rFonts w:hint="eastAsia" w:ascii="宋体" w:hAnsi="宋体" w:eastAsia="宋体" w:cs="宋体"/>
          <w:kern w:val="0"/>
          <w:lang w:val="zh-CN"/>
        </w:rPr>
        <w:t>供应商进行电子交易应安装客户端软件</w:t>
      </w:r>
      <w:r>
        <w:rPr>
          <w:rFonts w:ascii="宋体" w:hAnsi="宋体" w:eastAsia="宋体" w:cs="宋体"/>
          <w:kern w:val="0"/>
          <w:lang w:val="zh-CN"/>
        </w:rPr>
        <w:t>—</w:t>
      </w:r>
      <w:r>
        <w:rPr>
          <w:rFonts w:hint="eastAsia" w:ascii="宋体" w:hAnsi="宋体" w:eastAsia="宋体" w:cs="宋体"/>
          <w:kern w:val="0"/>
          <w:lang w:val="zh-CN"/>
        </w:rPr>
        <w:t>“广西政府采购云平台电子交易客户端”，并按照磋商文件和电子交易平台的要求编制并加密响应文件。供应商未按规定加密的响应文件，电子交易平台将拒收并提示。</w:t>
      </w:r>
    </w:p>
    <w:p w14:paraId="7F793082">
      <w:pPr>
        <w:spacing w:line="500" w:lineRule="exact"/>
        <w:ind w:firstLine="420" w:firstLineChars="200"/>
        <w:rPr>
          <w:rFonts w:ascii="宋体" w:hAnsi="宋体" w:eastAsia="宋体" w:cs="Times New Roman"/>
          <w:kern w:val="0"/>
          <w:lang w:val="zh-CN"/>
        </w:rPr>
      </w:pPr>
      <w:r>
        <w:rPr>
          <w:rFonts w:ascii="宋体" w:hAnsi="宋体" w:eastAsia="宋体" w:cs="宋体"/>
          <w:kern w:val="0"/>
          <w:lang w:val="zh-CN"/>
        </w:rPr>
        <w:t>19.2</w:t>
      </w:r>
      <w:r>
        <w:rPr>
          <w:rFonts w:hint="eastAsia" w:ascii="宋体" w:hAnsi="宋体" w:eastAsia="宋体" w:cs="宋体"/>
          <w:kern w:val="0"/>
          <w:lang w:val="zh-CN"/>
        </w:rPr>
        <w:t>使用“广西政府采购云平台电子交易客户端”需要提前申领</w:t>
      </w:r>
      <w:r>
        <w:rPr>
          <w:rFonts w:ascii="宋体" w:hAnsi="宋体" w:eastAsia="宋体" w:cs="宋体"/>
          <w:kern w:val="0"/>
          <w:lang w:val="zh-CN"/>
        </w:rPr>
        <w:t>CA</w:t>
      </w:r>
      <w:r>
        <w:rPr>
          <w:rFonts w:hint="eastAsia" w:ascii="宋体" w:hAnsi="宋体" w:eastAsia="宋体" w:cs="宋体"/>
          <w:kern w:val="0"/>
          <w:lang w:val="zh-CN"/>
        </w:rPr>
        <w:t>数字证书。</w:t>
      </w:r>
    </w:p>
    <w:p w14:paraId="22F430BA">
      <w:pPr>
        <w:pStyle w:val="23"/>
        <w:spacing w:line="500" w:lineRule="exact"/>
        <w:ind w:firstLine="420" w:firstLineChars="200"/>
        <w:rPr>
          <w:rFonts w:hAnsi="宋体" w:cs="Times New Roman"/>
          <w:sz w:val="21"/>
          <w:szCs w:val="21"/>
        </w:rPr>
      </w:pPr>
      <w:r>
        <w:rPr>
          <w:rFonts w:hAnsi="宋体"/>
          <w:sz w:val="21"/>
          <w:szCs w:val="21"/>
        </w:rPr>
        <w:t>19.3</w:t>
      </w:r>
      <w:r>
        <w:rPr>
          <w:rFonts w:hint="eastAsia" w:hAnsi="宋体"/>
          <w:sz w:val="21"/>
          <w:szCs w:val="21"/>
        </w:rPr>
        <w:t>为确保网上操作合法、有效和安全，供应商应当在响应文件提交截止时间前完成在“政府采购云平台”的身份认证，确保在电子交易过程中能够对相关数据电文进行加密和使用电子签名。</w:t>
      </w:r>
    </w:p>
    <w:p w14:paraId="30E7E5CB">
      <w:pPr>
        <w:spacing w:line="500" w:lineRule="exact"/>
        <w:ind w:firstLine="422" w:firstLineChars="200"/>
        <w:rPr>
          <w:rFonts w:ascii="宋体" w:hAnsi="宋体" w:eastAsia="宋体" w:cs="Times New Roman"/>
          <w:b/>
          <w:bCs/>
        </w:rPr>
      </w:pPr>
      <w:r>
        <w:rPr>
          <w:rFonts w:ascii="宋体" w:hAnsi="宋体" w:eastAsia="宋体" w:cs="宋体"/>
          <w:b/>
          <w:bCs/>
        </w:rPr>
        <w:t>20.</w:t>
      </w:r>
      <w:r>
        <w:rPr>
          <w:rFonts w:hint="eastAsia" w:ascii="宋体" w:hAnsi="宋体" w:eastAsia="宋体" w:cs="宋体"/>
          <w:b/>
          <w:bCs/>
        </w:rPr>
        <w:t>响应文件的提交</w:t>
      </w:r>
    </w:p>
    <w:p w14:paraId="6261908D">
      <w:pPr>
        <w:spacing w:line="500" w:lineRule="exact"/>
        <w:ind w:firstLine="420" w:firstLineChars="200"/>
        <w:rPr>
          <w:rFonts w:ascii="宋体" w:hAnsi="宋体" w:eastAsia="宋体" w:cs="Times New Roman"/>
        </w:rPr>
      </w:pPr>
      <w:r>
        <w:rPr>
          <w:rFonts w:ascii="宋体" w:hAnsi="宋体" w:eastAsia="宋体" w:cs="宋体"/>
        </w:rPr>
        <w:t>20.1</w:t>
      </w:r>
      <w:r>
        <w:rPr>
          <w:rFonts w:hint="eastAsia" w:ascii="宋体" w:hAnsi="宋体" w:eastAsia="宋体" w:cs="宋体"/>
        </w:rPr>
        <w:t>供应商必须在“供应商须知前附表”规定的时间和地点提交响应文件。</w:t>
      </w:r>
    </w:p>
    <w:p w14:paraId="01910C1B">
      <w:pPr>
        <w:spacing w:line="500" w:lineRule="exact"/>
        <w:ind w:firstLine="420" w:firstLineChars="200"/>
        <w:rPr>
          <w:rFonts w:ascii="宋体" w:hAnsi="宋体" w:eastAsia="宋体" w:cs="Times New Roman"/>
        </w:rPr>
      </w:pPr>
      <w:r>
        <w:rPr>
          <w:rFonts w:ascii="宋体" w:hAnsi="宋体" w:eastAsia="宋体" w:cs="宋体"/>
        </w:rPr>
        <w:t xml:space="preserve">20.2 </w:t>
      </w:r>
      <w:r>
        <w:rPr>
          <w:rFonts w:hint="eastAsia" w:ascii="宋体" w:hAnsi="宋体" w:eastAsia="宋体" w:cs="宋体"/>
        </w:rPr>
        <w:t>在响应文件提交截止时间以后，不能补充、修改响应文件。</w:t>
      </w:r>
    </w:p>
    <w:p w14:paraId="4CBE16E2">
      <w:pPr>
        <w:spacing w:line="500" w:lineRule="exact"/>
        <w:ind w:firstLine="420" w:firstLineChars="200"/>
        <w:rPr>
          <w:rFonts w:ascii="宋体" w:hAnsi="宋体" w:eastAsia="宋体" w:cs="Times New Roman"/>
        </w:rPr>
      </w:pPr>
      <w:r>
        <w:rPr>
          <w:rFonts w:ascii="宋体" w:hAnsi="宋体" w:eastAsia="宋体" w:cs="宋体"/>
        </w:rPr>
        <w:t xml:space="preserve">20.3 </w:t>
      </w:r>
      <w:r>
        <w:rPr>
          <w:rFonts w:hint="eastAsia" w:ascii="宋体" w:hAnsi="宋体" w:eastAsia="宋体" w:cs="宋体"/>
        </w:rPr>
        <w:t>在提交“最后报价”后，供应商不能退出谈判。</w:t>
      </w:r>
    </w:p>
    <w:p w14:paraId="75FE9CDE">
      <w:pPr>
        <w:spacing w:line="500" w:lineRule="exact"/>
        <w:ind w:firstLine="420" w:firstLineChars="200"/>
        <w:rPr>
          <w:rFonts w:ascii="宋体" w:hAnsi="宋体" w:eastAsia="宋体" w:cs="Times New Roman"/>
        </w:rPr>
      </w:pPr>
      <w:r>
        <w:rPr>
          <w:rFonts w:ascii="宋体" w:hAnsi="宋体" w:eastAsia="宋体" w:cs="宋体"/>
        </w:rPr>
        <w:t xml:space="preserve">20.4 </w:t>
      </w:r>
      <w:r>
        <w:rPr>
          <w:rFonts w:hint="eastAsia" w:ascii="宋体" w:hAnsi="宋体" w:eastAsia="宋体" w:cs="宋体"/>
        </w:rPr>
        <w:t>电子交易平台收到响应文件，将妥善保存并即时向供应商发出确认回执通知。在响应文件提交截止时间前，除供应商补充、修改或者撤回响应文件外，任何单位和个人不得解密或提取响应文件。</w:t>
      </w:r>
    </w:p>
    <w:p w14:paraId="199B1154">
      <w:pPr>
        <w:spacing w:line="500" w:lineRule="exact"/>
        <w:ind w:firstLine="420" w:firstLineChars="200"/>
        <w:rPr>
          <w:rFonts w:ascii="宋体" w:hAnsi="宋体" w:eastAsia="宋体" w:cs="Times New Roman"/>
        </w:rPr>
      </w:pPr>
      <w:r>
        <w:rPr>
          <w:rFonts w:ascii="宋体" w:hAnsi="宋体" w:eastAsia="宋体" w:cs="宋体"/>
        </w:rPr>
        <w:t xml:space="preserve">20.5 </w:t>
      </w:r>
      <w:r>
        <w:rPr>
          <w:rFonts w:hint="eastAsia" w:ascii="宋体" w:hAnsi="宋体" w:eastAsia="宋体" w:cs="宋体"/>
        </w:rPr>
        <w:t>采购机构不可视情况延长提交响应文件的截止时间。</w:t>
      </w:r>
    </w:p>
    <w:p w14:paraId="5B6B2063">
      <w:pPr>
        <w:spacing w:line="500" w:lineRule="exact"/>
        <w:ind w:firstLine="420" w:firstLineChars="200"/>
        <w:rPr>
          <w:rFonts w:ascii="宋体" w:hAnsi="宋体" w:eastAsia="宋体" w:cs="Times New Roman"/>
        </w:rPr>
      </w:pPr>
      <w:r>
        <w:rPr>
          <w:rFonts w:ascii="宋体" w:hAnsi="宋体" w:eastAsia="宋体" w:cs="宋体"/>
        </w:rPr>
        <w:t>20.6</w:t>
      </w:r>
      <w:r>
        <w:rPr>
          <w:rFonts w:hint="eastAsia" w:ascii="宋体" w:hAnsi="宋体" w:eastAsia="宋体" w:cs="宋体"/>
        </w:rPr>
        <w:t>备份响应文件。详见在“供应商须知前附表”。</w:t>
      </w:r>
    </w:p>
    <w:p w14:paraId="7F6CA05B">
      <w:pPr>
        <w:spacing w:line="500" w:lineRule="exact"/>
        <w:ind w:firstLine="422" w:firstLineChars="200"/>
        <w:rPr>
          <w:rFonts w:ascii="宋体" w:hAnsi="宋体" w:eastAsia="宋体" w:cs="Times New Roman"/>
          <w:b/>
          <w:bCs/>
        </w:rPr>
      </w:pPr>
      <w:r>
        <w:rPr>
          <w:rFonts w:ascii="宋体" w:hAnsi="宋体" w:eastAsia="宋体" w:cs="宋体"/>
          <w:b/>
          <w:bCs/>
        </w:rPr>
        <w:t>21.</w:t>
      </w:r>
      <w:r>
        <w:rPr>
          <w:rFonts w:hint="eastAsia" w:ascii="宋体" w:hAnsi="宋体" w:eastAsia="宋体" w:cs="宋体"/>
          <w:b/>
          <w:bCs/>
        </w:rPr>
        <w:t>首次响应文件的补充、修改与撤回</w:t>
      </w:r>
    </w:p>
    <w:p w14:paraId="20B3D9CA">
      <w:pPr>
        <w:spacing w:line="500" w:lineRule="exact"/>
        <w:ind w:firstLine="420" w:firstLineChars="200"/>
        <w:rPr>
          <w:rFonts w:ascii="宋体" w:hAnsi="宋体" w:eastAsia="宋体" w:cs="Times New Roman"/>
        </w:rPr>
      </w:pPr>
      <w:r>
        <w:rPr>
          <w:rFonts w:hint="eastAsia" w:ascii="宋体" w:hAnsi="宋体" w:eastAsia="宋体" w:cs="宋体"/>
        </w:rPr>
        <w:t>详见“供应商须知前附表”。</w:t>
      </w:r>
    </w:p>
    <w:p w14:paraId="70B53F95">
      <w:pPr>
        <w:spacing w:line="500" w:lineRule="exact"/>
        <w:ind w:firstLine="422" w:firstLineChars="200"/>
        <w:rPr>
          <w:rFonts w:ascii="宋体" w:hAnsi="宋体" w:eastAsia="宋体" w:cs="Times New Roman"/>
          <w:b/>
          <w:bCs/>
        </w:rPr>
      </w:pPr>
      <w:bookmarkStart w:id="62" w:name="_Hlk45702405"/>
      <w:r>
        <w:rPr>
          <w:rFonts w:ascii="宋体" w:hAnsi="宋体" w:eastAsia="宋体" w:cs="宋体"/>
          <w:b/>
          <w:bCs/>
        </w:rPr>
        <w:t xml:space="preserve">22. </w:t>
      </w:r>
      <w:r>
        <w:rPr>
          <w:rFonts w:hint="eastAsia" w:ascii="宋体" w:hAnsi="宋体" w:eastAsia="宋体" w:cs="宋体"/>
          <w:b/>
          <w:bCs/>
        </w:rPr>
        <w:t>首次响应文件的退回</w:t>
      </w:r>
    </w:p>
    <w:p w14:paraId="25D2BCAD">
      <w:pPr>
        <w:spacing w:line="500" w:lineRule="exact"/>
        <w:ind w:firstLine="420" w:firstLineChars="200"/>
        <w:rPr>
          <w:rFonts w:ascii="宋体" w:hAnsi="宋体" w:eastAsia="宋体" w:cs="Times New Roman"/>
        </w:rPr>
      </w:pPr>
      <w:r>
        <w:rPr>
          <w:rFonts w:hint="eastAsia" w:ascii="宋体" w:hAnsi="宋体" w:eastAsia="宋体" w:cs="宋体"/>
        </w:rPr>
        <w:t>在首次响应文件提交截止时间止提交响应文件的供应商不足</w:t>
      </w:r>
      <w:r>
        <w:rPr>
          <w:rFonts w:ascii="宋体" w:hAnsi="宋体" w:eastAsia="宋体" w:cs="宋体"/>
        </w:rPr>
        <w:t>3</w:t>
      </w:r>
      <w:r>
        <w:rPr>
          <w:rFonts w:hint="eastAsia" w:ascii="宋体" w:hAnsi="宋体" w:eastAsia="宋体" w:cs="宋体"/>
        </w:rPr>
        <w:t>家时电子响应文件由代理机构在“广西政府采购云平台”平台操作退回，除此之外采购人和采购代理机构对已提交的电子响应文件概不退回。</w:t>
      </w:r>
    </w:p>
    <w:p w14:paraId="05D9781F">
      <w:pPr>
        <w:spacing w:line="500" w:lineRule="exact"/>
        <w:ind w:firstLine="422" w:firstLineChars="200"/>
        <w:rPr>
          <w:rFonts w:ascii="宋体" w:hAnsi="宋体" w:eastAsia="宋体" w:cs="Times New Roman"/>
          <w:b/>
          <w:bCs/>
        </w:rPr>
      </w:pPr>
      <w:r>
        <w:rPr>
          <w:rFonts w:ascii="宋体" w:hAnsi="宋体" w:eastAsia="宋体" w:cs="宋体"/>
          <w:b/>
          <w:bCs/>
        </w:rPr>
        <w:t xml:space="preserve">23. </w:t>
      </w:r>
      <w:r>
        <w:rPr>
          <w:rFonts w:hint="eastAsia" w:ascii="宋体" w:hAnsi="宋体" w:eastAsia="宋体" w:cs="宋体"/>
          <w:b/>
          <w:bCs/>
        </w:rPr>
        <w:t>截止时间后的撤回</w:t>
      </w:r>
    </w:p>
    <w:p w14:paraId="4EBAD423">
      <w:pPr>
        <w:spacing w:line="500" w:lineRule="exact"/>
        <w:ind w:firstLine="420" w:firstLineChars="200"/>
        <w:rPr>
          <w:rFonts w:ascii="宋体" w:hAnsi="宋体" w:eastAsia="宋体" w:cs="Times New Roman"/>
        </w:rPr>
      </w:pPr>
      <w:r>
        <w:rPr>
          <w:rFonts w:hint="eastAsia" w:ascii="宋体" w:hAnsi="宋体" w:eastAsia="宋体" w:cs="宋体"/>
        </w:rPr>
        <w:t>本项目不收取磋商保证金，供应商在首次响应文件提交截止时间后可向采购人、采购代理机构书面申请撤回电子响应文件。</w:t>
      </w:r>
      <w:bookmarkEnd w:id="62"/>
    </w:p>
    <w:p w14:paraId="552B0E95">
      <w:pPr>
        <w:pStyle w:val="4"/>
        <w:spacing w:before="0" w:after="0" w:line="500" w:lineRule="exact"/>
        <w:ind w:firstLine="420" w:firstLineChars="199"/>
        <w:rPr>
          <w:rFonts w:ascii="宋体" w:cs="宋体"/>
          <w:sz w:val="21"/>
          <w:szCs w:val="21"/>
        </w:rPr>
      </w:pPr>
      <w:bookmarkStart w:id="63" w:name="_Toc110327555"/>
      <w:bookmarkStart w:id="64" w:name="_Toc144977166"/>
      <w:bookmarkStart w:id="65" w:name="_Toc106616821"/>
      <w:bookmarkStart w:id="66" w:name="_Toc4083"/>
      <w:r>
        <w:rPr>
          <w:rFonts w:hint="eastAsia" w:ascii="宋体" w:hAnsi="宋体" w:cs="宋体"/>
          <w:sz w:val="21"/>
          <w:szCs w:val="21"/>
        </w:rPr>
        <w:t>四、评审及磋商</w:t>
      </w:r>
      <w:bookmarkEnd w:id="63"/>
      <w:bookmarkEnd w:id="64"/>
      <w:bookmarkEnd w:id="65"/>
      <w:bookmarkEnd w:id="66"/>
    </w:p>
    <w:p w14:paraId="16559651">
      <w:pPr>
        <w:spacing w:line="500" w:lineRule="exact"/>
        <w:ind w:firstLine="422" w:firstLineChars="200"/>
        <w:rPr>
          <w:rFonts w:ascii="宋体" w:hAnsi="宋体" w:eastAsia="宋体" w:cs="Times New Roman"/>
          <w:b/>
          <w:bCs/>
        </w:rPr>
      </w:pPr>
      <w:r>
        <w:rPr>
          <w:rFonts w:ascii="宋体" w:hAnsi="宋体" w:eastAsia="宋体" w:cs="宋体"/>
          <w:b/>
          <w:bCs/>
        </w:rPr>
        <w:t>24.</w:t>
      </w:r>
      <w:r>
        <w:rPr>
          <w:rFonts w:hint="eastAsia" w:ascii="宋体" w:hAnsi="宋体" w:eastAsia="宋体" w:cs="宋体"/>
          <w:b/>
          <w:bCs/>
        </w:rPr>
        <w:t>磋商小组成立</w:t>
      </w:r>
    </w:p>
    <w:p w14:paraId="44BDCA96">
      <w:pPr>
        <w:spacing w:line="500" w:lineRule="exact"/>
        <w:ind w:firstLine="420" w:firstLineChars="200"/>
        <w:rPr>
          <w:rFonts w:ascii="宋体" w:hAnsi="宋体" w:eastAsia="宋体" w:cs="Times New Roman"/>
        </w:rPr>
      </w:pPr>
      <w:r>
        <w:rPr>
          <w:rFonts w:ascii="宋体" w:hAnsi="宋体" w:eastAsia="宋体" w:cs="宋体"/>
        </w:rPr>
        <w:t>24.1</w:t>
      </w:r>
      <w:r>
        <w:rPr>
          <w:rFonts w:hint="eastAsia" w:ascii="宋体" w:hAnsi="宋体" w:eastAsia="宋体" w:cs="宋体"/>
        </w:rPr>
        <w:t>磋商小组由采购人代表和评审专家共</w:t>
      </w:r>
      <w:r>
        <w:rPr>
          <w:rFonts w:ascii="宋体" w:hAnsi="宋体" w:eastAsia="宋体" w:cs="宋体"/>
        </w:rPr>
        <w:t>3</w:t>
      </w:r>
      <w:r>
        <w:rPr>
          <w:rFonts w:hint="eastAsia" w:ascii="宋体" w:hAnsi="宋体" w:eastAsia="宋体" w:cs="宋体"/>
        </w:rPr>
        <w:t>人以上单数组成，其中评审专家人数不得少于磋商小组成员总数的</w:t>
      </w:r>
      <w:r>
        <w:rPr>
          <w:rFonts w:ascii="宋体" w:hAnsi="宋体" w:eastAsia="宋体" w:cs="宋体"/>
        </w:rPr>
        <w:t>2/3</w:t>
      </w:r>
      <w:r>
        <w:rPr>
          <w:rFonts w:hint="eastAsia" w:ascii="宋体" w:hAnsi="宋体" w:eastAsia="宋体" w:cs="宋体"/>
        </w:rPr>
        <w:t>。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ascii="宋体" w:hAnsi="宋体" w:eastAsia="宋体" w:cs="宋体"/>
        </w:rPr>
        <w:t>5</w:t>
      </w:r>
      <w:r>
        <w:rPr>
          <w:rFonts w:hint="eastAsia" w:ascii="宋体" w:hAnsi="宋体" w:eastAsia="宋体" w:cs="宋体"/>
        </w:rPr>
        <w:t>人以上单数组成。</w:t>
      </w:r>
    </w:p>
    <w:p w14:paraId="25CBF3B5">
      <w:pPr>
        <w:spacing w:line="500" w:lineRule="exact"/>
        <w:ind w:firstLine="420" w:firstLineChars="200"/>
        <w:rPr>
          <w:rFonts w:ascii="宋体" w:hAnsi="宋体" w:eastAsia="宋体" w:cs="Times New Roman"/>
        </w:rPr>
      </w:pPr>
      <w:r>
        <w:rPr>
          <w:rFonts w:ascii="宋体" w:hAnsi="宋体" w:eastAsia="宋体" w:cs="宋体"/>
        </w:rPr>
        <w:t>24.2</w:t>
      </w:r>
      <w:r>
        <w:rPr>
          <w:rFonts w:hint="eastAsia" w:ascii="宋体" w:hAnsi="宋体" w:eastAsia="宋体" w:cs="宋体"/>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eastAsia="宋体" w:cs="宋体"/>
        </w:rPr>
        <w:t>1</w:t>
      </w:r>
      <w:r>
        <w:rPr>
          <w:rFonts w:hint="eastAsia" w:ascii="宋体" w:hAnsi="宋体" w:eastAsia="宋体" w:cs="宋体"/>
        </w:rPr>
        <w:t>名法律专家。</w:t>
      </w:r>
    </w:p>
    <w:p w14:paraId="058488EF">
      <w:pPr>
        <w:spacing w:line="500" w:lineRule="exact"/>
        <w:ind w:firstLine="422" w:firstLineChars="200"/>
        <w:rPr>
          <w:rFonts w:ascii="宋体" w:hAnsi="宋体" w:eastAsia="宋体" w:cs="Times New Roman"/>
          <w:b/>
          <w:bCs/>
        </w:rPr>
      </w:pPr>
      <w:r>
        <w:rPr>
          <w:rFonts w:ascii="宋体" w:hAnsi="宋体" w:eastAsia="宋体" w:cs="宋体"/>
          <w:b/>
          <w:bCs/>
        </w:rPr>
        <w:t>25.</w:t>
      </w:r>
      <w:r>
        <w:rPr>
          <w:rFonts w:hint="eastAsia" w:ascii="宋体" w:hAnsi="宋体" w:eastAsia="宋体" w:cs="宋体"/>
          <w:b/>
          <w:bCs/>
        </w:rPr>
        <w:t>首次响应文件的开启</w:t>
      </w:r>
    </w:p>
    <w:p w14:paraId="0FAFD931">
      <w:pPr>
        <w:spacing w:line="500" w:lineRule="exact"/>
        <w:ind w:firstLine="420" w:firstLineChars="200"/>
        <w:rPr>
          <w:rFonts w:ascii="宋体" w:hAnsi="宋体" w:eastAsia="宋体" w:cs="Times New Roman"/>
        </w:rPr>
      </w:pPr>
      <w:r>
        <w:rPr>
          <w:rFonts w:ascii="宋体" w:hAnsi="宋体" w:eastAsia="宋体" w:cs="宋体"/>
        </w:rPr>
        <w:t>25.1</w:t>
      </w:r>
      <w:r>
        <w:rPr>
          <w:rFonts w:hint="eastAsia" w:ascii="宋体" w:hAnsi="宋体" w:eastAsia="宋体" w:cs="宋体"/>
        </w:rPr>
        <w:t>首次响应文件由磋商小组或者采购代理机构在“供应商须知前附表”规定的时间开启。</w:t>
      </w:r>
    </w:p>
    <w:p w14:paraId="69708824">
      <w:pPr>
        <w:pStyle w:val="23"/>
        <w:spacing w:line="500" w:lineRule="exact"/>
        <w:ind w:firstLine="420" w:firstLineChars="200"/>
        <w:rPr>
          <w:rFonts w:hAnsi="宋体" w:cs="Times New Roman"/>
          <w:sz w:val="21"/>
          <w:szCs w:val="21"/>
        </w:rPr>
      </w:pPr>
      <w:r>
        <w:rPr>
          <w:rFonts w:hAnsi="宋体"/>
          <w:sz w:val="21"/>
          <w:szCs w:val="21"/>
        </w:rPr>
        <w:t xml:space="preserve">25.2 </w:t>
      </w:r>
      <w:r>
        <w:rPr>
          <w:rFonts w:hint="eastAsia" w:hAnsi="宋体"/>
          <w:sz w:val="21"/>
          <w:szCs w:val="21"/>
        </w:rPr>
        <w:t>响应文件解密</w:t>
      </w:r>
    </w:p>
    <w:p w14:paraId="09C45E91">
      <w:pPr>
        <w:pStyle w:val="23"/>
        <w:snapToGrid w:val="0"/>
        <w:spacing w:line="500" w:lineRule="exact"/>
        <w:ind w:firstLine="420" w:firstLineChars="200"/>
        <w:rPr>
          <w:rFonts w:hAnsi="宋体" w:cs="Times New Roman"/>
          <w:sz w:val="21"/>
          <w:szCs w:val="21"/>
        </w:rPr>
      </w:pPr>
      <w:r>
        <w:rPr>
          <w:rFonts w:hint="eastAsia" w:hAnsi="宋体"/>
          <w:sz w:val="21"/>
          <w:szCs w:val="21"/>
        </w:rPr>
        <w:t>采购代理机构将在“供应商须知前附表”规定的时间通过电子交易平台组织响应文件开启，采购机构依托电子交易平台发起开始解密指令，供应商的法定代表人或其委托代理人</w:t>
      </w:r>
      <w:r>
        <w:rPr>
          <w:rFonts w:hint="eastAsia" w:hAnsi="宋体"/>
          <w:b/>
          <w:bCs/>
          <w:sz w:val="21"/>
          <w:szCs w:val="21"/>
        </w:rPr>
        <w:t>须携带加密时所用的</w:t>
      </w:r>
      <w:r>
        <w:rPr>
          <w:rFonts w:hAnsi="宋体"/>
          <w:b/>
          <w:bCs/>
          <w:sz w:val="21"/>
          <w:szCs w:val="21"/>
        </w:rPr>
        <w:t>CA</w:t>
      </w:r>
      <w:r>
        <w:rPr>
          <w:rFonts w:hint="eastAsia" w:hAnsi="宋体"/>
          <w:b/>
          <w:bCs/>
          <w:sz w:val="21"/>
          <w:szCs w:val="21"/>
        </w:rPr>
        <w:t>锁按平台提示和采购文件的规定登录到“广西政府采购云平台”电子开标大厅签到并在发起解密指令之时起</w:t>
      </w:r>
      <w:r>
        <w:rPr>
          <w:rFonts w:hAnsi="宋体"/>
          <w:b/>
          <w:bCs/>
          <w:sz w:val="21"/>
          <w:szCs w:val="21"/>
        </w:rPr>
        <w:t>30</w:t>
      </w:r>
      <w:r>
        <w:rPr>
          <w:rFonts w:hint="eastAsia" w:hAnsi="宋体"/>
          <w:b/>
          <w:bCs/>
          <w:sz w:val="21"/>
          <w:szCs w:val="21"/>
        </w:rPr>
        <w:t>分钟内完成对电子响应文件在线解密</w:t>
      </w:r>
      <w:r>
        <w:rPr>
          <w:rFonts w:hint="eastAsia" w:hAnsi="宋体"/>
          <w:sz w:val="21"/>
          <w:szCs w:val="21"/>
        </w:rPr>
        <w:t>。发起解密指令之时起</w:t>
      </w:r>
      <w:r>
        <w:rPr>
          <w:rFonts w:hAnsi="宋体"/>
          <w:sz w:val="21"/>
          <w:szCs w:val="21"/>
        </w:rPr>
        <w:t>5</w:t>
      </w:r>
      <w:r>
        <w:rPr>
          <w:rFonts w:hint="eastAsia" w:hAnsi="宋体"/>
          <w:sz w:val="21"/>
          <w:szCs w:val="21"/>
        </w:rPr>
        <w:t>分钟内供应商还未进行解密的，代理机构要通知供应商，供应商没预留联系方式或预留联系方式无效，导致代理机构无法联系到供应商进行解密的，</w:t>
      </w:r>
      <w:r>
        <w:rPr>
          <w:rFonts w:hint="eastAsia" w:hAnsi="宋体"/>
          <w:b/>
          <w:bCs/>
          <w:sz w:val="21"/>
          <w:szCs w:val="21"/>
        </w:rPr>
        <w:t>视为响应文件无效。</w:t>
      </w:r>
      <w:r>
        <w:rPr>
          <w:rFonts w:hint="eastAsia" w:hAnsi="宋体"/>
          <w:sz w:val="21"/>
          <w:szCs w:val="21"/>
        </w:rPr>
        <w:t>（解密异常情况处理：详见本章</w:t>
      </w:r>
      <w:r>
        <w:rPr>
          <w:rFonts w:hAnsi="宋体"/>
          <w:sz w:val="21"/>
          <w:szCs w:val="21"/>
        </w:rPr>
        <w:t xml:space="preserve">26.3 </w:t>
      </w:r>
      <w:r>
        <w:rPr>
          <w:rFonts w:hint="eastAsia" w:hAnsi="宋体"/>
          <w:sz w:val="21"/>
          <w:szCs w:val="21"/>
        </w:rPr>
        <w:t>电子交易活动的中止。）</w:t>
      </w:r>
    </w:p>
    <w:p w14:paraId="39A2BDB1">
      <w:pPr>
        <w:pStyle w:val="23"/>
        <w:spacing w:line="500" w:lineRule="exact"/>
        <w:ind w:firstLine="420" w:firstLineChars="200"/>
        <w:rPr>
          <w:rFonts w:hAnsi="宋体" w:cs="Times New Roman"/>
          <w:sz w:val="21"/>
          <w:szCs w:val="21"/>
        </w:rPr>
      </w:pPr>
      <w:r>
        <w:rPr>
          <w:rFonts w:hint="eastAsia" w:hAnsi="宋体"/>
          <w:sz w:val="21"/>
          <w:szCs w:val="21"/>
        </w:rPr>
        <w:t>如供应商成功解密响应文件，但未在“政采云”电子开标大厅参加谈判的，视同认可谈判过程和结果，由此产生的后果由供应商自行负责。</w:t>
      </w:r>
      <w:r>
        <w:rPr>
          <w:rFonts w:hAnsi="宋体"/>
          <w:sz w:val="21"/>
          <w:szCs w:val="21"/>
        </w:rPr>
        <w:t xml:space="preserve"> </w:t>
      </w:r>
      <w:r>
        <w:rPr>
          <w:rFonts w:hint="eastAsia" w:hAnsi="宋体"/>
          <w:sz w:val="21"/>
          <w:szCs w:val="21"/>
        </w:rPr>
        <w:t>参与谈判的供应商不足</w:t>
      </w:r>
      <w:r>
        <w:rPr>
          <w:rFonts w:hAnsi="宋体"/>
          <w:sz w:val="21"/>
          <w:szCs w:val="21"/>
        </w:rPr>
        <w:t>3</w:t>
      </w:r>
      <w:r>
        <w:rPr>
          <w:rFonts w:hint="eastAsia" w:hAnsi="宋体"/>
          <w:sz w:val="21"/>
          <w:szCs w:val="21"/>
        </w:rPr>
        <w:t>家的，不得谈判。</w:t>
      </w:r>
    </w:p>
    <w:p w14:paraId="2ADE3A6B">
      <w:pPr>
        <w:spacing w:line="500" w:lineRule="exact"/>
        <w:ind w:firstLine="422" w:firstLineChars="200"/>
        <w:rPr>
          <w:rFonts w:ascii="宋体" w:hAnsi="宋体" w:eastAsia="宋体" w:cs="Times New Roman"/>
          <w:b/>
          <w:bCs/>
        </w:rPr>
      </w:pPr>
      <w:r>
        <w:rPr>
          <w:rFonts w:ascii="宋体" w:hAnsi="宋体" w:eastAsia="宋体" w:cs="宋体"/>
          <w:b/>
          <w:bCs/>
        </w:rPr>
        <w:t>26.</w:t>
      </w:r>
      <w:r>
        <w:rPr>
          <w:rFonts w:hint="eastAsia" w:ascii="宋体" w:hAnsi="宋体" w:eastAsia="宋体" w:cs="宋体"/>
          <w:b/>
          <w:bCs/>
        </w:rPr>
        <w:t>评审程序、评审方法和评审标准</w:t>
      </w:r>
    </w:p>
    <w:p w14:paraId="6DA3B02F">
      <w:pPr>
        <w:spacing w:line="500" w:lineRule="exact"/>
        <w:ind w:firstLine="420" w:firstLineChars="200"/>
        <w:rPr>
          <w:rFonts w:ascii="宋体" w:hAnsi="宋体" w:eastAsia="宋体" w:cs="Times New Roman"/>
        </w:rPr>
      </w:pPr>
      <w:r>
        <w:rPr>
          <w:rFonts w:ascii="宋体" w:hAnsi="宋体" w:eastAsia="宋体" w:cs="宋体"/>
        </w:rPr>
        <w:t>26.1</w:t>
      </w:r>
      <w:r>
        <w:rPr>
          <w:rFonts w:hint="eastAsia" w:ascii="宋体" w:hAnsi="宋体" w:eastAsia="宋体" w:cs="宋体"/>
        </w:rPr>
        <w:t>磋商小组按照“第四章</w:t>
      </w:r>
      <w:r>
        <w:rPr>
          <w:rFonts w:ascii="宋体" w:hAnsi="宋体" w:eastAsia="宋体" w:cs="宋体"/>
        </w:rPr>
        <w:t xml:space="preserve"> </w:t>
      </w:r>
      <w:r>
        <w:rPr>
          <w:rFonts w:hint="eastAsia" w:ascii="宋体" w:hAnsi="宋体" w:eastAsia="宋体" w:cs="宋体"/>
        </w:rPr>
        <w:t>评审程序、评审方法和评审标准”规定的方法、评审因素、标准和程序对响应文件进行评审。</w:t>
      </w:r>
    </w:p>
    <w:p w14:paraId="7C8B94B4">
      <w:pPr>
        <w:spacing w:line="500" w:lineRule="exact"/>
        <w:ind w:firstLine="420" w:firstLineChars="200"/>
        <w:rPr>
          <w:rFonts w:ascii="宋体" w:hAnsi="宋体" w:eastAsia="宋体" w:cs="Times New Roman"/>
        </w:rPr>
      </w:pPr>
      <w:r>
        <w:rPr>
          <w:rFonts w:ascii="宋体" w:hAnsi="宋体" w:eastAsia="宋体" w:cs="宋体"/>
        </w:rPr>
        <w:t xml:space="preserve">26.2 </w:t>
      </w:r>
      <w:r>
        <w:rPr>
          <w:rFonts w:hint="eastAsia" w:ascii="宋体" w:hAnsi="宋体" w:eastAsia="宋体" w:cs="宋体"/>
        </w:rPr>
        <w:t>磋商文件内容违反国家有关强制性规定的，磋商小组应当停止评审并向采购人或者采购代理机构说明情况，并在评审报告中书面体现。</w:t>
      </w:r>
    </w:p>
    <w:p w14:paraId="2B992545">
      <w:pPr>
        <w:spacing w:line="500" w:lineRule="exact"/>
        <w:ind w:firstLine="420" w:firstLineChars="200"/>
        <w:rPr>
          <w:rFonts w:ascii="宋体" w:hAnsi="宋体" w:eastAsia="宋体" w:cs="Times New Roman"/>
        </w:rPr>
      </w:pPr>
      <w:r>
        <w:rPr>
          <w:rFonts w:ascii="宋体" w:hAnsi="宋体" w:eastAsia="宋体" w:cs="宋体"/>
        </w:rPr>
        <w:t xml:space="preserve">26.3 </w:t>
      </w:r>
      <w:r>
        <w:rPr>
          <w:rFonts w:hint="eastAsia" w:ascii="宋体" w:hAnsi="宋体" w:eastAsia="宋体" w:cs="宋体"/>
        </w:rPr>
        <w:t>采购需求负偏离要求及磋商顺序详见</w:t>
      </w:r>
      <w:r>
        <w:rPr>
          <w:rFonts w:ascii="宋体" w:hAnsi="宋体" w:eastAsia="宋体" w:cs="宋体"/>
        </w:rPr>
        <w:t xml:space="preserve"> </w:t>
      </w:r>
      <w:r>
        <w:rPr>
          <w:rFonts w:hint="eastAsia" w:ascii="宋体" w:hAnsi="宋体" w:eastAsia="宋体" w:cs="宋体"/>
        </w:rPr>
        <w:t>“</w:t>
      </w:r>
      <w:r>
        <w:rPr>
          <w:rFonts w:ascii="宋体" w:hAnsi="宋体" w:eastAsia="宋体" w:cs="宋体"/>
        </w:rPr>
        <w:t xml:space="preserve"> </w:t>
      </w:r>
      <w:r>
        <w:rPr>
          <w:rFonts w:hint="eastAsia" w:ascii="宋体" w:hAnsi="宋体" w:eastAsia="宋体" w:cs="宋体"/>
        </w:rPr>
        <w:t>供应商须知前附表”。</w:t>
      </w:r>
    </w:p>
    <w:p w14:paraId="5AA24110">
      <w:pPr>
        <w:spacing w:line="500" w:lineRule="exact"/>
        <w:ind w:firstLine="420" w:firstLineChars="200"/>
        <w:rPr>
          <w:rFonts w:ascii="宋体" w:hAnsi="宋体" w:eastAsia="宋体" w:cs="Times New Roman"/>
        </w:rPr>
      </w:pPr>
      <w:r>
        <w:rPr>
          <w:rFonts w:ascii="宋体" w:hAnsi="宋体" w:eastAsia="宋体" w:cs="宋体"/>
        </w:rPr>
        <w:t>26.4</w:t>
      </w:r>
      <w:r>
        <w:rPr>
          <w:rFonts w:hint="eastAsia" w:ascii="宋体" w:hAnsi="宋体" w:eastAsia="宋体" w:cs="宋体"/>
        </w:rPr>
        <w:t>电子交易活动的中止。采购过程中出现以下情形，导致电子交易平台无法正常运行，或者无法保证电子交易的公平、公正和安全时，采购机构可中止电子交易活动：</w:t>
      </w:r>
    </w:p>
    <w:p w14:paraId="3F6EBECA">
      <w:pPr>
        <w:spacing w:line="500" w:lineRule="exact"/>
        <w:ind w:firstLine="420" w:firstLineChars="200"/>
        <w:rPr>
          <w:rFonts w:ascii="宋体" w:hAnsi="宋体" w:eastAsia="宋体" w:cs="宋体"/>
        </w:rPr>
      </w:pPr>
      <w:r>
        <w:rPr>
          <w:rFonts w:hint="eastAsia" w:ascii="宋体" w:hAnsi="宋体" w:eastAsia="宋体" w:cs="宋体"/>
        </w:rPr>
        <w:t>（</w:t>
      </w:r>
      <w:r>
        <w:rPr>
          <w:rFonts w:ascii="宋体" w:hAnsi="宋体" w:eastAsia="宋体" w:cs="宋体"/>
        </w:rPr>
        <w:t>1</w:t>
      </w:r>
      <w:r>
        <w:rPr>
          <w:rFonts w:hint="eastAsia" w:ascii="宋体" w:hAnsi="宋体" w:eastAsia="宋体" w:cs="宋体"/>
        </w:rPr>
        <w:t>）电子交易平台发生故障而无法登录访问的；</w:t>
      </w:r>
      <w:r>
        <w:rPr>
          <w:rFonts w:ascii="宋体" w:hAnsi="宋体" w:eastAsia="宋体" w:cs="宋体"/>
        </w:rPr>
        <w:t xml:space="preserve"> </w:t>
      </w:r>
    </w:p>
    <w:p w14:paraId="24DC954B">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）电子交易平台应用或数据库出现错误，不能进行正常操作的；</w:t>
      </w:r>
    </w:p>
    <w:p w14:paraId="02CD5774">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）电子交易平台发现严重安全漏洞，有潜在泄密危险的；</w:t>
      </w:r>
    </w:p>
    <w:p w14:paraId="58B32500">
      <w:pPr>
        <w:spacing w:line="500" w:lineRule="exact"/>
        <w:ind w:firstLine="420" w:firstLineChars="200"/>
        <w:rPr>
          <w:rFonts w:ascii="宋体" w:hAnsi="宋体" w:eastAsia="宋体" w:cs="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）病毒发作导致不能进行正常操作的；</w:t>
      </w:r>
      <w:r>
        <w:rPr>
          <w:rFonts w:ascii="宋体" w:hAnsi="宋体" w:eastAsia="宋体" w:cs="宋体"/>
        </w:rPr>
        <w:t xml:space="preserve"> </w:t>
      </w:r>
    </w:p>
    <w:p w14:paraId="5ECABD70">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5</w:t>
      </w:r>
      <w:r>
        <w:rPr>
          <w:rFonts w:hint="eastAsia" w:ascii="宋体" w:hAnsi="宋体" w:eastAsia="宋体" w:cs="宋体"/>
        </w:rPr>
        <w:t>）其他无法保证电子交易的公平、公正和安全的情况。</w:t>
      </w:r>
    </w:p>
    <w:p w14:paraId="1E709CC0">
      <w:pPr>
        <w:spacing w:line="500" w:lineRule="exact"/>
        <w:ind w:firstLine="420" w:firstLineChars="200"/>
        <w:rPr>
          <w:rFonts w:ascii="宋体" w:hAnsi="宋体" w:eastAsia="宋体" w:cs="Times New Roman"/>
        </w:rPr>
      </w:pPr>
      <w:r>
        <w:rPr>
          <w:rFonts w:ascii="宋体" w:hAnsi="宋体" w:eastAsia="宋体" w:cs="宋体"/>
        </w:rPr>
        <w:t>26.5</w:t>
      </w:r>
      <w:r>
        <w:rPr>
          <w:rFonts w:hint="eastAsia" w:ascii="宋体" w:hAnsi="宋体" w:eastAsia="宋体" w:cs="宋体"/>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E985C0A">
      <w:pPr>
        <w:pStyle w:val="4"/>
        <w:spacing w:before="0" w:after="0" w:line="500" w:lineRule="exact"/>
        <w:ind w:firstLine="420" w:firstLineChars="199"/>
        <w:rPr>
          <w:rFonts w:ascii="宋体" w:cs="宋体"/>
          <w:sz w:val="21"/>
          <w:szCs w:val="21"/>
        </w:rPr>
      </w:pPr>
      <w:bookmarkStart w:id="67" w:name="_Toc144977167"/>
      <w:bookmarkStart w:id="68" w:name="_Toc106616822"/>
      <w:bookmarkStart w:id="69" w:name="_Toc110327556"/>
      <w:bookmarkStart w:id="70" w:name="_Toc21902"/>
      <w:r>
        <w:rPr>
          <w:rFonts w:hint="eastAsia" w:ascii="宋体" w:hAnsi="宋体" w:cs="宋体"/>
          <w:sz w:val="21"/>
          <w:szCs w:val="21"/>
        </w:rPr>
        <w:t>五、成交及合同</w:t>
      </w:r>
      <w:bookmarkEnd w:id="67"/>
      <w:bookmarkEnd w:id="68"/>
      <w:bookmarkEnd w:id="69"/>
      <w:bookmarkEnd w:id="70"/>
    </w:p>
    <w:p w14:paraId="3D7B1E05">
      <w:pPr>
        <w:spacing w:line="500" w:lineRule="exact"/>
        <w:ind w:firstLine="413" w:firstLineChars="196"/>
        <w:rPr>
          <w:rFonts w:ascii="宋体" w:hAnsi="宋体" w:eastAsia="宋体" w:cs="Times New Roman"/>
          <w:b/>
          <w:bCs/>
        </w:rPr>
      </w:pPr>
      <w:r>
        <w:rPr>
          <w:rFonts w:ascii="宋体" w:hAnsi="宋体" w:eastAsia="宋体" w:cs="宋体"/>
          <w:b/>
          <w:bCs/>
        </w:rPr>
        <w:t>27.</w:t>
      </w:r>
      <w:r>
        <w:rPr>
          <w:rFonts w:hint="eastAsia" w:ascii="宋体" w:hAnsi="宋体" w:eastAsia="宋体" w:cs="宋体"/>
          <w:b/>
          <w:bCs/>
        </w:rPr>
        <w:t>确定成交供应商及结果公告</w:t>
      </w:r>
    </w:p>
    <w:p w14:paraId="50836C60">
      <w:pPr>
        <w:spacing w:line="500" w:lineRule="exact"/>
        <w:ind w:firstLine="420" w:firstLineChars="200"/>
        <w:rPr>
          <w:rFonts w:ascii="宋体" w:hAnsi="宋体" w:eastAsia="宋体" w:cs="Times New Roman"/>
        </w:rPr>
      </w:pPr>
      <w:r>
        <w:rPr>
          <w:rFonts w:ascii="宋体" w:hAnsi="宋体" w:eastAsia="宋体" w:cs="宋体"/>
        </w:rPr>
        <w:t>27.1</w:t>
      </w:r>
      <w:r>
        <w:rPr>
          <w:rFonts w:hint="eastAsia" w:ascii="宋体" w:hAnsi="宋体" w:eastAsia="宋体" w:cs="宋体"/>
        </w:rPr>
        <w:t>确定成交供应商。采购代理机构应当在评审结束后</w:t>
      </w:r>
      <w:r>
        <w:rPr>
          <w:rFonts w:ascii="宋体" w:hAnsi="宋体" w:eastAsia="宋体" w:cs="宋体"/>
        </w:rPr>
        <w:t>2</w:t>
      </w:r>
      <w:r>
        <w:rPr>
          <w:rFonts w:hint="eastAsia" w:ascii="宋体" w:hAnsi="宋体" w:eastAsia="宋体" w:cs="宋体"/>
        </w:rPr>
        <w:t>个工作日内将评审报告送采购人确认。采购人应当在收到评审报告后</w:t>
      </w:r>
      <w:r>
        <w:rPr>
          <w:rFonts w:ascii="宋体" w:hAnsi="宋体" w:eastAsia="宋体" w:cs="宋体"/>
        </w:rPr>
        <w:t>2</w:t>
      </w:r>
      <w:r>
        <w:rPr>
          <w:rFonts w:hint="eastAsia" w:ascii="宋体" w:hAnsi="宋体" w:eastAsia="宋体" w:cs="宋体"/>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E0F3147">
      <w:pPr>
        <w:spacing w:line="500" w:lineRule="exact"/>
        <w:ind w:firstLine="420" w:firstLineChars="200"/>
        <w:rPr>
          <w:rFonts w:ascii="宋体" w:hAnsi="宋体" w:eastAsia="宋体" w:cs="Times New Roman"/>
        </w:rPr>
      </w:pPr>
      <w:r>
        <w:rPr>
          <w:rFonts w:ascii="宋体" w:hAnsi="宋体" w:eastAsia="宋体" w:cs="宋体"/>
        </w:rPr>
        <w:t>27.2</w:t>
      </w:r>
      <w:r>
        <w:rPr>
          <w:rFonts w:hint="eastAsia" w:ascii="宋体" w:hAnsi="宋体" w:eastAsia="宋体" w:cs="宋体"/>
        </w:rPr>
        <w:t>成交通知及成交结果公告。</w:t>
      </w:r>
      <w:r>
        <w:rPr>
          <w:rFonts w:hint="eastAsia" w:ascii="宋体" w:hAnsi="宋体" w:eastAsia="宋体" w:cs="宋体"/>
          <w:kern w:val="0"/>
        </w:rPr>
        <w:t>成交</w:t>
      </w:r>
      <w:r>
        <w:rPr>
          <w:rFonts w:hint="eastAsia" w:ascii="宋体" w:hAnsi="宋体" w:eastAsia="宋体" w:cs="宋体"/>
        </w:rPr>
        <w:t>供应商确定后</w:t>
      </w:r>
      <w:r>
        <w:rPr>
          <w:rFonts w:ascii="宋体" w:hAnsi="宋体" w:eastAsia="宋体" w:cs="宋体"/>
        </w:rPr>
        <w:t>2</w:t>
      </w:r>
      <w:r>
        <w:rPr>
          <w:rFonts w:hint="eastAsia" w:ascii="宋体" w:hAnsi="宋体" w:eastAsia="宋体" w:cs="宋体"/>
        </w:rPr>
        <w:t>个工作日内，在省级以上财政部门指定的媒体上公</w:t>
      </w:r>
      <w:r>
        <w:rPr>
          <w:rFonts w:hint="eastAsia" w:ascii="宋体" w:hAnsi="宋体" w:eastAsia="宋体" w:cs="宋体"/>
          <w:kern w:val="0"/>
        </w:rPr>
        <w:t>告成交结果（成交通知及成交结果公告应使用玉林市模板进行公告，公告内容除包含《政府采购公告和公示信息格式规范（</w:t>
      </w:r>
      <w:r>
        <w:rPr>
          <w:rFonts w:ascii="宋体" w:hAnsi="宋体" w:eastAsia="宋体" w:cs="宋体"/>
          <w:kern w:val="0"/>
        </w:rPr>
        <w:t>2020</w:t>
      </w:r>
      <w:r>
        <w:rPr>
          <w:rFonts w:hint="eastAsia" w:ascii="宋体" w:hAnsi="宋体" w:eastAsia="宋体" w:cs="宋体"/>
          <w:kern w:val="0"/>
        </w:rPr>
        <w:t>年版）》要求内容外，还应包含采购人专门面向中小企业预留份额情况及成交供应商评审价格、优惠率等内容），</w:t>
      </w:r>
      <w:r>
        <w:rPr>
          <w:rFonts w:hint="eastAsia" w:ascii="宋体" w:hAnsi="宋体" w:eastAsia="宋体" w:cs="宋体"/>
        </w:rPr>
        <w:t>同时向成交供应商发出成交通知书，成交通知书规定签订合同的时间不得超过</w:t>
      </w:r>
      <w:r>
        <w:rPr>
          <w:rFonts w:ascii="宋体" w:hAnsi="宋体" w:eastAsia="宋体" w:cs="宋体"/>
        </w:rPr>
        <w:t>25</w:t>
      </w:r>
      <w:r>
        <w:rPr>
          <w:rFonts w:hint="eastAsia" w:ascii="宋体" w:hAnsi="宋体" w:eastAsia="宋体" w:cs="宋体"/>
        </w:rPr>
        <w:t>日。</w:t>
      </w:r>
    </w:p>
    <w:p w14:paraId="1D4E3D73">
      <w:pPr>
        <w:spacing w:line="500" w:lineRule="exact"/>
        <w:ind w:firstLine="420" w:firstLineChars="200"/>
        <w:rPr>
          <w:rFonts w:ascii="宋体" w:hAnsi="宋体" w:eastAsia="宋体" w:cs="Times New Roman"/>
        </w:rPr>
      </w:pPr>
      <w:r>
        <w:rPr>
          <w:rFonts w:ascii="宋体" w:hAnsi="宋体" w:eastAsia="宋体" w:cs="宋体"/>
        </w:rPr>
        <w:t>27.3</w:t>
      </w:r>
      <w:r>
        <w:rPr>
          <w:rFonts w:hint="eastAsia" w:ascii="宋体" w:hAnsi="宋体" w:eastAsia="宋体" w:cs="宋体"/>
        </w:rPr>
        <w:t>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w:t>
      </w:r>
      <w:r>
        <w:rPr>
          <w:rFonts w:ascii="宋体" w:hAnsi="宋体" w:eastAsia="宋体" w:cs="宋体"/>
        </w:rPr>
        <w:t>2020</w:t>
      </w:r>
      <w:r>
        <w:rPr>
          <w:rFonts w:hint="eastAsia" w:ascii="宋体" w:hAnsi="宋体" w:eastAsia="宋体" w:cs="宋体"/>
        </w:rPr>
        <w:t>〕</w:t>
      </w:r>
      <w:r>
        <w:rPr>
          <w:rFonts w:ascii="宋体" w:hAnsi="宋体" w:eastAsia="宋体" w:cs="宋体"/>
        </w:rPr>
        <w:t>46</w:t>
      </w:r>
      <w:r>
        <w:rPr>
          <w:rFonts w:hint="eastAsia" w:ascii="宋体" w:hAnsi="宋体" w:eastAsia="宋体" w:cs="宋体"/>
        </w:rPr>
        <w:t>号）规定的中小企业扶持政策的，采购人、采购代理机构应当随成交结果公开成交供应商的《中小企业声明函》。</w:t>
      </w:r>
    </w:p>
    <w:p w14:paraId="4B9C7849">
      <w:pPr>
        <w:spacing w:line="500" w:lineRule="exact"/>
        <w:ind w:firstLine="420" w:firstLineChars="200"/>
        <w:rPr>
          <w:rFonts w:ascii="宋体" w:hAnsi="宋体" w:eastAsia="宋体" w:cs="Times New Roman"/>
        </w:rPr>
      </w:pPr>
      <w:r>
        <w:rPr>
          <w:rFonts w:ascii="宋体" w:hAnsi="宋体" w:eastAsia="宋体" w:cs="宋体"/>
        </w:rPr>
        <w:t>27.4</w:t>
      </w:r>
      <w:r>
        <w:rPr>
          <w:rFonts w:hint="eastAsia" w:ascii="宋体" w:hAnsi="宋体" w:eastAsia="宋体" w:cs="宋体"/>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BB11ECF">
      <w:pPr>
        <w:spacing w:line="500" w:lineRule="exact"/>
        <w:ind w:firstLine="420" w:firstLineChars="200"/>
        <w:rPr>
          <w:rFonts w:ascii="宋体" w:hAnsi="宋体" w:eastAsia="宋体" w:cs="Times New Roman"/>
        </w:rPr>
      </w:pPr>
      <w:r>
        <w:rPr>
          <w:rFonts w:ascii="宋体" w:hAnsi="宋体" w:eastAsia="宋体" w:cs="宋体"/>
        </w:rPr>
        <w:t>27.5</w:t>
      </w:r>
      <w:r>
        <w:rPr>
          <w:rFonts w:hint="eastAsia" w:ascii="宋体" w:hAnsi="宋体" w:eastAsia="宋体" w:cs="宋体"/>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9E5DF40">
      <w:pPr>
        <w:spacing w:line="500" w:lineRule="exact"/>
        <w:ind w:firstLine="422" w:firstLineChars="200"/>
        <w:rPr>
          <w:rFonts w:ascii="宋体" w:hAnsi="宋体" w:eastAsia="宋体" w:cs="Times New Roman"/>
          <w:b/>
          <w:bCs/>
        </w:rPr>
      </w:pPr>
      <w:r>
        <w:rPr>
          <w:rFonts w:ascii="宋体" w:hAnsi="宋体" w:eastAsia="宋体" w:cs="宋体"/>
          <w:b/>
          <w:bCs/>
        </w:rPr>
        <w:t>28.</w:t>
      </w:r>
      <w:r>
        <w:rPr>
          <w:rFonts w:hint="eastAsia" w:ascii="宋体" w:hAnsi="宋体" w:eastAsia="宋体" w:cs="宋体"/>
          <w:b/>
          <w:bCs/>
        </w:rPr>
        <w:t>履约保证金</w:t>
      </w:r>
    </w:p>
    <w:p w14:paraId="15309358">
      <w:pPr>
        <w:spacing w:line="500" w:lineRule="exact"/>
        <w:ind w:firstLine="420" w:firstLineChars="200"/>
        <w:rPr>
          <w:rFonts w:ascii="宋体" w:hAnsi="宋体" w:eastAsia="宋体" w:cs="Times New Roman"/>
          <w:b/>
          <w:bCs/>
        </w:rPr>
      </w:pPr>
      <w:r>
        <w:rPr>
          <w:rFonts w:hint="eastAsia" w:ascii="宋体" w:hAnsi="宋体" w:eastAsia="宋体" w:cs="宋体"/>
        </w:rPr>
        <w:t>详见</w:t>
      </w:r>
      <w:r>
        <w:rPr>
          <w:rFonts w:ascii="宋体" w:hAnsi="宋体" w:eastAsia="宋体" w:cs="宋体"/>
        </w:rPr>
        <w:t xml:space="preserve"> </w:t>
      </w:r>
      <w:r>
        <w:rPr>
          <w:rFonts w:hint="eastAsia" w:ascii="宋体" w:hAnsi="宋体" w:eastAsia="宋体" w:cs="宋体"/>
        </w:rPr>
        <w:t>“供应商须知前附表”</w:t>
      </w:r>
    </w:p>
    <w:p w14:paraId="4DDEB870">
      <w:pPr>
        <w:spacing w:line="500" w:lineRule="exact"/>
        <w:ind w:firstLine="422" w:firstLineChars="200"/>
        <w:rPr>
          <w:rFonts w:ascii="宋体" w:hAnsi="宋体" w:eastAsia="宋体" w:cs="Times New Roman"/>
          <w:b/>
          <w:bCs/>
        </w:rPr>
      </w:pPr>
      <w:r>
        <w:rPr>
          <w:rFonts w:ascii="宋体" w:hAnsi="宋体" w:eastAsia="宋体" w:cs="宋体"/>
          <w:b/>
          <w:bCs/>
        </w:rPr>
        <w:t>29.</w:t>
      </w:r>
      <w:r>
        <w:rPr>
          <w:rFonts w:hint="eastAsia" w:ascii="宋体" w:hAnsi="宋体" w:eastAsia="宋体" w:cs="宋体"/>
          <w:b/>
          <w:bCs/>
        </w:rPr>
        <w:t>签订合同</w:t>
      </w:r>
    </w:p>
    <w:p w14:paraId="264C565F">
      <w:pPr>
        <w:pStyle w:val="132"/>
        <w:snapToGrid w:val="0"/>
        <w:spacing w:before="0" w:line="500" w:lineRule="exact"/>
        <w:ind w:firstLine="31680"/>
        <w:rPr>
          <w:rFonts w:ascii="宋体" w:cs="宋体"/>
          <w:sz w:val="21"/>
          <w:szCs w:val="21"/>
          <w:lang w:val="zh-CN"/>
        </w:rPr>
      </w:pPr>
      <w:r>
        <w:rPr>
          <w:rFonts w:ascii="宋体" w:hAnsi="宋体" w:cs="宋体"/>
          <w:sz w:val="21"/>
          <w:szCs w:val="21"/>
        </w:rPr>
        <w:t>29.1</w:t>
      </w:r>
      <w:r>
        <w:rPr>
          <w:rFonts w:hint="eastAsia" w:ascii="宋体" w:hAnsi="宋体" w:cs="宋体"/>
          <w:sz w:val="21"/>
          <w:szCs w:val="21"/>
        </w:rPr>
        <w:t>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sz w:val="21"/>
          <w:szCs w:val="21"/>
          <w:lang w:val="zh-CN"/>
        </w:rPr>
        <w:t>如成交供应商为联合体的，由联合体成员各方法定代表人或其授权代表与采购人代表签订合同。</w:t>
      </w:r>
    </w:p>
    <w:p w14:paraId="12B0888B">
      <w:pPr>
        <w:spacing w:line="500" w:lineRule="exact"/>
        <w:ind w:firstLine="420" w:firstLineChars="200"/>
        <w:rPr>
          <w:rFonts w:ascii="宋体" w:hAnsi="宋体" w:eastAsia="宋体" w:cs="Times New Roman"/>
        </w:rPr>
      </w:pPr>
      <w:r>
        <w:rPr>
          <w:rFonts w:ascii="宋体" w:hAnsi="宋体" w:eastAsia="宋体" w:cs="宋体"/>
        </w:rPr>
        <w:t>29.2</w:t>
      </w:r>
      <w:r>
        <w:rPr>
          <w:rFonts w:hint="eastAsia" w:ascii="宋体" w:hAnsi="宋体" w:eastAsia="宋体" w:cs="宋体"/>
        </w:rPr>
        <w:t>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BE56A3F">
      <w:pPr>
        <w:spacing w:line="500" w:lineRule="exact"/>
        <w:ind w:firstLine="420" w:firstLineChars="200"/>
        <w:rPr>
          <w:rFonts w:ascii="宋体" w:hAnsi="宋体" w:eastAsia="宋体" w:cs="Times New Roman"/>
        </w:rPr>
      </w:pPr>
      <w:r>
        <w:rPr>
          <w:rFonts w:ascii="宋体" w:hAnsi="宋体" w:eastAsia="宋体" w:cs="宋体"/>
        </w:rPr>
        <w:t>29.3</w:t>
      </w:r>
      <w:r>
        <w:rPr>
          <w:rFonts w:hint="eastAsia" w:ascii="宋体" w:hAnsi="宋体" w:eastAsia="宋体" w:cs="宋体"/>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1F2EBBE">
      <w:pPr>
        <w:spacing w:line="500" w:lineRule="exact"/>
        <w:ind w:firstLine="420" w:firstLineChars="200"/>
        <w:rPr>
          <w:rFonts w:ascii="宋体" w:hAnsi="宋体" w:eastAsia="宋体" w:cs="Times New Roman"/>
        </w:rPr>
      </w:pPr>
      <w:r>
        <w:rPr>
          <w:rFonts w:ascii="宋体" w:hAnsi="宋体" w:eastAsia="宋体" w:cs="宋体"/>
        </w:rPr>
        <w:t>29.4</w:t>
      </w:r>
      <w:r>
        <w:rPr>
          <w:rFonts w:hint="eastAsia" w:ascii="宋体" w:hAnsi="宋体" w:eastAsia="宋体" w:cs="宋体"/>
        </w:rPr>
        <w:t>如签订合同并生效后，供应商无故拒绝或延期，除按照合同条款处理外，列入不良行为记录，并给予通报。</w:t>
      </w:r>
    </w:p>
    <w:p w14:paraId="656200C3">
      <w:pPr>
        <w:pStyle w:val="132"/>
        <w:spacing w:before="0" w:line="500" w:lineRule="exact"/>
        <w:ind w:firstLine="31680"/>
        <w:rPr>
          <w:rFonts w:ascii="宋体" w:cs="宋体"/>
          <w:sz w:val="21"/>
          <w:szCs w:val="21"/>
        </w:rPr>
      </w:pPr>
      <w:r>
        <w:rPr>
          <w:rFonts w:ascii="宋体" w:hAnsi="宋体" w:cs="宋体"/>
          <w:sz w:val="21"/>
          <w:szCs w:val="21"/>
        </w:rPr>
        <w:t>29.5</w:t>
      </w:r>
      <w:r>
        <w:rPr>
          <w:rFonts w:hint="eastAsia" w:ascii="宋体" w:hAnsi="宋体" w:cs="宋体"/>
          <w:sz w:val="21"/>
          <w:szCs w:val="21"/>
        </w:rPr>
        <w:t>采购合同由采购人与成交供应商根据磋商文件、响应文件等内容通过政府采购电子交易平台在线签订，自动备案，在线签订须携带的材料见“供应商须知前附表”。</w:t>
      </w:r>
    </w:p>
    <w:p w14:paraId="7C3D04CE">
      <w:pPr>
        <w:spacing w:line="500" w:lineRule="exact"/>
        <w:ind w:firstLine="422" w:firstLineChars="200"/>
        <w:rPr>
          <w:rFonts w:ascii="宋体" w:hAnsi="宋体" w:eastAsia="宋体" w:cs="Times New Roman"/>
          <w:b/>
          <w:bCs/>
        </w:rPr>
      </w:pPr>
      <w:r>
        <w:rPr>
          <w:rFonts w:ascii="宋体" w:hAnsi="宋体" w:eastAsia="宋体" w:cs="宋体"/>
          <w:b/>
          <w:bCs/>
        </w:rPr>
        <w:t>30.</w:t>
      </w:r>
      <w:r>
        <w:rPr>
          <w:rFonts w:hint="eastAsia" w:ascii="宋体" w:hAnsi="宋体" w:eastAsia="宋体" w:cs="宋体"/>
          <w:b/>
          <w:bCs/>
        </w:rPr>
        <w:t>政府采购合同公告</w:t>
      </w:r>
    </w:p>
    <w:p w14:paraId="2D228921">
      <w:pPr>
        <w:spacing w:line="500" w:lineRule="exact"/>
        <w:ind w:firstLine="420" w:firstLineChars="200"/>
        <w:rPr>
          <w:rFonts w:ascii="宋体" w:hAnsi="宋体" w:eastAsia="宋体" w:cs="Times New Roman"/>
        </w:rPr>
      </w:pPr>
      <w:r>
        <w:rPr>
          <w:rFonts w:hint="eastAsia" w:ascii="宋体" w:hAnsi="宋体" w:eastAsia="宋体" w:cs="宋体"/>
        </w:rPr>
        <w:t>采购人或者受托采购代理机构应当自政府采购合同签订之日起</w:t>
      </w:r>
      <w:r>
        <w:rPr>
          <w:rFonts w:ascii="宋体" w:hAnsi="宋体" w:eastAsia="宋体" w:cs="宋体"/>
        </w:rPr>
        <w:t>2</w:t>
      </w:r>
      <w:r>
        <w:rPr>
          <w:rFonts w:hint="eastAsia" w:ascii="宋体" w:hAnsi="宋体" w:eastAsia="宋体" w:cs="宋体"/>
        </w:rPr>
        <w:t>个工作日内，将政府采购合同在以下媒体上发布</w:t>
      </w:r>
      <w:r>
        <w:rPr>
          <w:rFonts w:ascii="宋体" w:hAnsi="宋体" w:eastAsia="宋体" w:cs="宋体"/>
          <w:kern w:val="0"/>
        </w:rPr>
        <w:t xml:space="preserve"> </w:t>
      </w:r>
      <w:r>
        <w:rPr>
          <w:rFonts w:hint="eastAsia" w:ascii="宋体" w:hAnsi="宋体" w:eastAsia="宋体" w:cs="宋体"/>
          <w:kern w:val="0"/>
        </w:rPr>
        <w:t>“广西政府采购网”（</w:t>
      </w:r>
      <w:r>
        <w:rPr>
          <w:rFonts w:ascii="宋体" w:hAnsi="宋体" w:eastAsia="宋体" w:cs="宋体"/>
          <w:kern w:val="0"/>
        </w:rPr>
        <w:t>http://zfcg.gxzf.gov.cn</w:t>
      </w:r>
      <w:r>
        <w:rPr>
          <w:rFonts w:hint="eastAsia" w:ascii="宋体" w:hAnsi="宋体" w:eastAsia="宋体" w:cs="宋体"/>
          <w:kern w:val="0"/>
        </w:rPr>
        <w:t>）</w:t>
      </w:r>
      <w:r>
        <w:rPr>
          <w:rFonts w:hint="eastAsia" w:ascii="宋体" w:hAnsi="宋体" w:eastAsia="宋体" w:cs="宋体"/>
        </w:rPr>
        <w:t>上公告，但政府采购合同中涉及国家秘密、商业秘密的内容除外。</w:t>
      </w:r>
    </w:p>
    <w:p w14:paraId="2D9869D0">
      <w:pPr>
        <w:spacing w:line="500" w:lineRule="exact"/>
        <w:ind w:firstLine="422" w:firstLineChars="200"/>
        <w:rPr>
          <w:rFonts w:ascii="宋体" w:hAnsi="宋体" w:eastAsia="宋体" w:cs="Times New Roman"/>
          <w:b/>
          <w:bCs/>
        </w:rPr>
      </w:pPr>
      <w:r>
        <w:rPr>
          <w:rFonts w:ascii="宋体" w:hAnsi="宋体" w:eastAsia="宋体" w:cs="宋体"/>
          <w:b/>
          <w:bCs/>
        </w:rPr>
        <w:t xml:space="preserve">31. </w:t>
      </w:r>
      <w:r>
        <w:rPr>
          <w:rFonts w:hint="eastAsia" w:ascii="宋体" w:hAnsi="宋体" w:eastAsia="宋体" w:cs="宋体"/>
          <w:b/>
          <w:bCs/>
        </w:rPr>
        <w:t>询问、质疑和投诉</w:t>
      </w:r>
    </w:p>
    <w:p w14:paraId="4C25813A">
      <w:pPr>
        <w:spacing w:line="500" w:lineRule="exact"/>
        <w:ind w:firstLine="420" w:firstLineChars="200"/>
        <w:rPr>
          <w:rFonts w:ascii="宋体" w:hAnsi="宋体" w:eastAsia="宋体" w:cs="Times New Roman"/>
        </w:rPr>
      </w:pPr>
      <w:r>
        <w:rPr>
          <w:rFonts w:ascii="宋体" w:hAnsi="宋体" w:eastAsia="宋体" w:cs="宋体"/>
        </w:rPr>
        <w:t>31.1</w:t>
      </w:r>
      <w:r>
        <w:rPr>
          <w:rFonts w:hint="eastAsia" w:ascii="宋体" w:hAnsi="宋体" w:eastAsia="宋体" w:cs="宋体"/>
        </w:rPr>
        <w:t>供应商对政府采购活动事项有疑问的，可以向采购人、采购代理机构提出询问，采购人或者采购代理机构应当在</w:t>
      </w:r>
      <w:r>
        <w:rPr>
          <w:rFonts w:ascii="宋体" w:hAnsi="宋体" w:eastAsia="宋体" w:cs="宋体"/>
        </w:rPr>
        <w:t>3</w:t>
      </w:r>
      <w:r>
        <w:rPr>
          <w:rFonts w:hint="eastAsia" w:ascii="宋体" w:hAnsi="宋体" w:eastAsia="宋体" w:cs="宋体"/>
        </w:rPr>
        <w:t>个工作日内对供应商依法提出的询问作出答复。</w:t>
      </w:r>
    </w:p>
    <w:p w14:paraId="6F586E4F">
      <w:pPr>
        <w:spacing w:line="500" w:lineRule="exact"/>
        <w:ind w:firstLine="420" w:firstLineChars="200"/>
        <w:rPr>
          <w:rFonts w:ascii="宋体" w:hAnsi="宋体" w:eastAsia="宋体" w:cs="宋体"/>
          <w:b/>
          <w:bCs/>
        </w:rPr>
      </w:pPr>
      <w:r>
        <w:rPr>
          <w:rFonts w:ascii="宋体" w:hAnsi="宋体" w:eastAsia="宋体" w:cs="宋体"/>
        </w:rPr>
        <w:t>31.2</w:t>
      </w:r>
      <w:r>
        <w:rPr>
          <w:rFonts w:hint="eastAsia" w:ascii="宋体" w:hAnsi="宋体" w:eastAsia="宋体" w:cs="宋体"/>
        </w:rPr>
        <w:t>供应商认为磋商文件、采购过程或者成交结果使自己的合法权益受到损害的，应当在知道或者应知其权益受到损害之日起</w:t>
      </w:r>
      <w:r>
        <w:rPr>
          <w:rFonts w:ascii="宋体" w:hAnsi="宋体" w:eastAsia="宋体" w:cs="宋体"/>
        </w:rPr>
        <w:t>7</w:t>
      </w:r>
      <w:r>
        <w:rPr>
          <w:rFonts w:hint="eastAsia" w:ascii="宋体" w:hAnsi="宋体" w:eastAsia="宋体" w:cs="宋体"/>
        </w:rPr>
        <w:t>个工作日内，以书面形式向采购人、采购代理机构提出质疑，</w:t>
      </w:r>
      <w:r>
        <w:rPr>
          <w:rFonts w:hint="eastAsia" w:ascii="宋体" w:hAnsi="宋体" w:eastAsia="宋体" w:cs="宋体"/>
          <w:shd w:val="clear" w:color="auto" w:fill="FFFFFF"/>
        </w:rPr>
        <w:t>接收质疑函的方式、联系部门、联系电话和通讯地址等信息详见</w:t>
      </w:r>
      <w:r>
        <w:rPr>
          <w:rFonts w:hint="eastAsia" w:ascii="宋体" w:hAnsi="宋体" w:eastAsia="宋体" w:cs="宋体"/>
        </w:rPr>
        <w:t>“供应商须知前附表”。</w:t>
      </w:r>
      <w:r>
        <w:rPr>
          <w:rFonts w:hint="eastAsia" w:ascii="宋体" w:hAnsi="宋体" w:eastAsia="宋体" w:cs="宋体"/>
          <w:b/>
          <w:bCs/>
        </w:rPr>
        <w:t>具体质疑起算时间及处理方式如下：</w:t>
      </w:r>
      <w:r>
        <w:rPr>
          <w:rFonts w:ascii="宋体" w:hAnsi="宋体" w:eastAsia="宋体" w:cs="宋体"/>
          <w:b/>
          <w:bCs/>
        </w:rPr>
        <w:t xml:space="preserve"> </w:t>
      </w:r>
    </w:p>
    <w:p w14:paraId="2D24C2F9">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）潜在供应商依法获取采购文件后，认为采购文件使自己的权益受到损害的，应当在竞争性磋商采购文件公告期限届满之日起</w:t>
      </w:r>
      <w:r>
        <w:rPr>
          <w:rFonts w:ascii="宋体" w:hAnsi="宋体" w:eastAsia="宋体" w:cs="宋体"/>
        </w:rPr>
        <w:t>7</w:t>
      </w:r>
      <w:r>
        <w:rPr>
          <w:rFonts w:hint="eastAsia" w:ascii="宋体" w:hAnsi="宋体" w:eastAsia="宋体" w:cs="宋体"/>
        </w:rPr>
        <w:t>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14:paraId="06240EB6">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）供应商认为采购过程使自己的权益受到损害的，应当在各采购程序环节结束之日起</w:t>
      </w:r>
      <w:r>
        <w:rPr>
          <w:rFonts w:ascii="宋体" w:hAnsi="宋体" w:eastAsia="宋体" w:cs="宋体"/>
        </w:rPr>
        <w:t>7</w:t>
      </w:r>
      <w:r>
        <w:rPr>
          <w:rFonts w:hint="eastAsia" w:ascii="宋体" w:hAnsi="宋体" w:eastAsia="宋体" w:cs="宋体"/>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CC49595">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）供应商认为成交结果使自己的权益受到损害的，应当在成交结果公告期限届满之日起</w:t>
      </w:r>
      <w:r>
        <w:rPr>
          <w:rFonts w:ascii="宋体" w:hAnsi="宋体" w:eastAsia="宋体" w:cs="宋体"/>
        </w:rPr>
        <w:t>7</w:t>
      </w:r>
      <w:r>
        <w:rPr>
          <w:rFonts w:hint="eastAsia" w:ascii="宋体" w:hAnsi="宋体" w:eastAsia="宋体" w:cs="宋体"/>
        </w:rPr>
        <w:t>个工作日内提出质疑，由采购人受理并负责答复。</w:t>
      </w:r>
    </w:p>
    <w:p w14:paraId="052603BC">
      <w:pPr>
        <w:spacing w:line="500" w:lineRule="exact"/>
        <w:ind w:firstLine="420" w:firstLineChars="200"/>
        <w:rPr>
          <w:rFonts w:ascii="宋体" w:hAnsi="宋体" w:eastAsia="宋体" w:cs="Times New Roman"/>
        </w:rPr>
      </w:pPr>
      <w:r>
        <w:rPr>
          <w:rFonts w:ascii="宋体" w:hAnsi="宋体" w:eastAsia="宋体" w:cs="宋体"/>
        </w:rPr>
        <w:t>31.3</w:t>
      </w:r>
      <w:r>
        <w:rPr>
          <w:rFonts w:hint="eastAsia" w:ascii="宋体" w:hAnsi="宋体" w:eastAsia="宋体" w:cs="宋体"/>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08067F88">
      <w:pPr>
        <w:spacing w:line="500" w:lineRule="exact"/>
        <w:ind w:firstLine="420" w:firstLineChars="200"/>
        <w:rPr>
          <w:rFonts w:ascii="宋体" w:hAnsi="宋体" w:eastAsia="宋体" w:cs="Times New Roman"/>
        </w:rPr>
      </w:pPr>
      <w:r>
        <w:rPr>
          <w:rFonts w:ascii="宋体" w:hAnsi="宋体" w:eastAsia="宋体" w:cs="宋体"/>
        </w:rPr>
        <w:t xml:space="preserve">31.4 </w:t>
      </w:r>
      <w:r>
        <w:rPr>
          <w:rFonts w:hint="eastAsia" w:ascii="宋体" w:hAnsi="宋体" w:eastAsia="宋体" w:cs="宋体"/>
        </w:rPr>
        <w:t>供应商提出质疑应当提交质疑函和必要的证明材料，针对同一采购程序环节的质疑必须在法定质疑期内一次性提出。质疑函应当包括下列内容（质疑函格式后附）：</w:t>
      </w:r>
    </w:p>
    <w:p w14:paraId="440B8B68">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）供应商的姓名或者名称、地址、邮编、联系人及联系电话；</w:t>
      </w:r>
    </w:p>
    <w:p w14:paraId="31F76071">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）质疑项目的名称、编号；</w:t>
      </w:r>
    </w:p>
    <w:p w14:paraId="3558C524">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）具体、明确的质疑事项和与质疑事项相关的请求；</w:t>
      </w:r>
    </w:p>
    <w:p w14:paraId="3CC50F93">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4</w:t>
      </w:r>
      <w:r>
        <w:rPr>
          <w:rFonts w:hint="eastAsia" w:ascii="宋体" w:hAnsi="宋体" w:eastAsia="宋体" w:cs="宋体"/>
        </w:rPr>
        <w:t>）事实依据；</w:t>
      </w:r>
    </w:p>
    <w:p w14:paraId="44FAF805">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5</w:t>
      </w:r>
      <w:r>
        <w:rPr>
          <w:rFonts w:hint="eastAsia" w:ascii="宋体" w:hAnsi="宋体" w:eastAsia="宋体" w:cs="宋体"/>
        </w:rPr>
        <w:t>）必要的法律依据；</w:t>
      </w:r>
    </w:p>
    <w:p w14:paraId="25A086E9">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6</w:t>
      </w:r>
      <w:r>
        <w:rPr>
          <w:rFonts w:hint="eastAsia" w:ascii="宋体" w:hAnsi="宋体" w:eastAsia="宋体" w:cs="宋体"/>
        </w:rPr>
        <w:t>）提出质疑的日期。</w:t>
      </w:r>
    </w:p>
    <w:p w14:paraId="259C2A9A">
      <w:pPr>
        <w:spacing w:line="500" w:lineRule="exact"/>
        <w:ind w:firstLine="420" w:firstLineChars="200"/>
        <w:rPr>
          <w:rFonts w:ascii="宋体" w:hAnsi="宋体" w:eastAsia="宋体" w:cs="Times New Roman"/>
        </w:rPr>
      </w:pPr>
      <w:r>
        <w:rPr>
          <w:rFonts w:hint="eastAsia" w:ascii="宋体" w:hAnsi="宋体" w:eastAsia="宋体" w:cs="宋体"/>
        </w:rPr>
        <w:t>供应商为自然人的，应当由本人签字；供应商为法人或者其他组织的，应当由法定代表人、主要负责人，或者其委托代理人签字或者盖章，并加盖公章。</w:t>
      </w:r>
    </w:p>
    <w:p w14:paraId="3994EA48">
      <w:pPr>
        <w:spacing w:line="500" w:lineRule="exact"/>
        <w:ind w:firstLine="420" w:firstLineChars="200"/>
        <w:rPr>
          <w:rFonts w:ascii="宋体" w:hAnsi="宋体" w:eastAsia="宋体" w:cs="Times New Roman"/>
        </w:rPr>
      </w:pPr>
      <w:r>
        <w:rPr>
          <w:rFonts w:ascii="宋体" w:hAnsi="宋体" w:eastAsia="宋体" w:cs="宋体"/>
        </w:rPr>
        <w:t>31.5</w:t>
      </w:r>
      <w:r>
        <w:rPr>
          <w:rFonts w:hint="eastAsia" w:ascii="宋体" w:hAnsi="宋体" w:eastAsia="宋体" w:cs="宋体"/>
        </w:rPr>
        <w:t>采购人、采购代理机构认为供应商质疑不成立，或者成立但未对成交结果构成影响的，继续开展采购活动；认为供应商质疑成立且影响或者可能影响成交结果的，按照下列情况处理：</w:t>
      </w:r>
    </w:p>
    <w:p w14:paraId="622A04B4">
      <w:pPr>
        <w:spacing w:line="500" w:lineRule="exact"/>
        <w:ind w:firstLine="420" w:firstLineChars="200"/>
        <w:rPr>
          <w:rFonts w:ascii="宋体" w:hAnsi="宋体" w:eastAsia="宋体" w:cs="Times New Roman"/>
        </w:rPr>
      </w:pPr>
      <w:r>
        <w:rPr>
          <w:rFonts w:hint="eastAsia" w:ascii="宋体" w:hAnsi="宋体" w:eastAsia="宋体" w:cs="宋体"/>
        </w:rPr>
        <w:t>（一）对采购文件提出的质疑，依法通过澄清或者修改可以继续开展采购活动的，澄清或者修改采购文件后继续开展采购活动；否则应当修改采购文件后重新开展采购活动。</w:t>
      </w:r>
    </w:p>
    <w:p w14:paraId="26EB8791">
      <w:pPr>
        <w:spacing w:line="500" w:lineRule="exact"/>
        <w:ind w:firstLine="420" w:firstLineChars="200"/>
        <w:rPr>
          <w:rFonts w:ascii="宋体" w:hAnsi="宋体" w:eastAsia="宋体" w:cs="Times New Roman"/>
        </w:rPr>
      </w:pPr>
      <w:r>
        <w:rPr>
          <w:rFonts w:hint="eastAsia" w:ascii="宋体" w:hAnsi="宋体" w:eastAsia="宋体" w:cs="宋体"/>
        </w:rPr>
        <w:t>（二）对采购过程或者成交结果提出的质疑，合格供应商符合法定数量时，可以从合格的成交候选人中另行确定成交供应商的，应当依法另行确定成交供应商；否则应当重新开展采购活动。</w:t>
      </w:r>
    </w:p>
    <w:p w14:paraId="1C00D49E">
      <w:pPr>
        <w:spacing w:line="500" w:lineRule="exact"/>
        <w:ind w:firstLine="420" w:firstLineChars="200"/>
        <w:rPr>
          <w:rFonts w:ascii="宋体" w:hAnsi="宋体" w:eastAsia="宋体" w:cs="Times New Roman"/>
        </w:rPr>
      </w:pPr>
      <w:r>
        <w:rPr>
          <w:rFonts w:hint="eastAsia" w:ascii="宋体" w:hAnsi="宋体" w:eastAsia="宋体" w:cs="宋体"/>
        </w:rPr>
        <w:t>质疑答复导致成交结果改变的，采购人或者采购代理机构应当将有关情况书面报告本级财政部门。</w:t>
      </w:r>
    </w:p>
    <w:p w14:paraId="39AB1DED">
      <w:pPr>
        <w:spacing w:line="500" w:lineRule="exact"/>
        <w:ind w:firstLine="420" w:firstLineChars="200"/>
        <w:rPr>
          <w:rFonts w:ascii="宋体" w:hAnsi="宋体" w:eastAsia="宋体" w:cs="Times New Roman"/>
        </w:rPr>
      </w:pPr>
      <w:r>
        <w:rPr>
          <w:rFonts w:ascii="宋体" w:hAnsi="宋体" w:eastAsia="宋体" w:cs="宋体"/>
        </w:rPr>
        <w:t>31.6</w:t>
      </w:r>
      <w:r>
        <w:rPr>
          <w:rFonts w:hint="eastAsia" w:ascii="宋体" w:hAnsi="宋体" w:eastAsia="宋体" w:cs="宋体"/>
        </w:rPr>
        <w:t>投诉的权利。质疑供应商对采购人、采购代理机构的答复不满意，或者采购人、采购代理机构未在规定时间内作出答复的，可以在答复期满后</w:t>
      </w:r>
      <w:r>
        <w:rPr>
          <w:rFonts w:ascii="宋体" w:hAnsi="宋体" w:eastAsia="宋体" w:cs="宋体"/>
        </w:rPr>
        <w:t>15</w:t>
      </w:r>
      <w:r>
        <w:rPr>
          <w:rFonts w:hint="eastAsia" w:ascii="宋体" w:hAnsi="宋体" w:eastAsia="宋体" w:cs="宋体"/>
        </w:rPr>
        <w:t>个工作日内向《政府采购质疑和投诉办法》（财政部令第</w:t>
      </w:r>
      <w:r>
        <w:rPr>
          <w:rFonts w:ascii="宋体" w:hAnsi="宋体" w:eastAsia="宋体" w:cs="宋体"/>
        </w:rPr>
        <w:t>94</w:t>
      </w:r>
      <w:r>
        <w:rPr>
          <w:rFonts w:hint="eastAsia" w:ascii="宋体" w:hAnsi="宋体" w:eastAsia="宋体" w:cs="宋体"/>
        </w:rPr>
        <w:t>号）第六条规定的财政部门提起投诉（投诉书格式后附），受理投诉方式见“供应商须知前附表”。</w:t>
      </w:r>
      <w:bookmarkStart w:id="71" w:name="_Toc80205930"/>
    </w:p>
    <w:p w14:paraId="175E830C">
      <w:pPr>
        <w:pStyle w:val="4"/>
        <w:spacing w:before="0" w:after="0" w:line="500" w:lineRule="exact"/>
        <w:ind w:firstLine="413" w:firstLineChars="196"/>
        <w:rPr>
          <w:rFonts w:ascii="宋体" w:cs="宋体"/>
          <w:sz w:val="21"/>
          <w:szCs w:val="21"/>
        </w:rPr>
      </w:pPr>
      <w:bookmarkStart w:id="72" w:name="_Toc144977168"/>
      <w:bookmarkStart w:id="73" w:name="_Toc106616823"/>
      <w:bookmarkStart w:id="74" w:name="_Toc15060"/>
      <w:bookmarkStart w:id="75" w:name="_Toc110327557"/>
      <w:r>
        <w:rPr>
          <w:rFonts w:hint="eastAsia" w:ascii="宋体" w:hAnsi="宋体" w:cs="宋体"/>
          <w:sz w:val="21"/>
          <w:szCs w:val="21"/>
        </w:rPr>
        <w:t>六、验收</w:t>
      </w:r>
      <w:bookmarkEnd w:id="71"/>
      <w:bookmarkEnd w:id="72"/>
      <w:bookmarkEnd w:id="73"/>
      <w:bookmarkEnd w:id="74"/>
      <w:bookmarkEnd w:id="75"/>
    </w:p>
    <w:p w14:paraId="13E6A04B">
      <w:pPr>
        <w:tabs>
          <w:tab w:val="left" w:pos="0"/>
        </w:tabs>
        <w:spacing w:line="500" w:lineRule="exact"/>
        <w:ind w:firstLine="422" w:firstLineChars="200"/>
        <w:rPr>
          <w:rFonts w:ascii="宋体" w:hAnsi="宋体" w:eastAsia="宋体" w:cs="Times New Roman"/>
          <w:b/>
          <w:bCs/>
        </w:rPr>
      </w:pPr>
      <w:r>
        <w:rPr>
          <w:rFonts w:ascii="宋体" w:hAnsi="宋体" w:eastAsia="宋体" w:cs="宋体"/>
          <w:b/>
          <w:bCs/>
        </w:rPr>
        <w:t>32.</w:t>
      </w:r>
      <w:r>
        <w:rPr>
          <w:rFonts w:hint="eastAsia" w:ascii="宋体" w:hAnsi="宋体" w:eastAsia="宋体" w:cs="宋体"/>
          <w:b/>
          <w:bCs/>
        </w:rPr>
        <w:t>验收</w:t>
      </w:r>
    </w:p>
    <w:p w14:paraId="57F3DB43">
      <w:pPr>
        <w:tabs>
          <w:tab w:val="left" w:pos="0"/>
        </w:tabs>
        <w:spacing w:line="500" w:lineRule="exact"/>
        <w:ind w:firstLine="420" w:firstLineChars="200"/>
        <w:rPr>
          <w:rFonts w:ascii="宋体" w:hAnsi="宋体" w:eastAsia="宋体" w:cs="Times New Roman"/>
          <w:kern w:val="0"/>
        </w:rPr>
      </w:pPr>
      <w:r>
        <w:rPr>
          <w:rFonts w:ascii="宋体" w:hAnsi="宋体" w:eastAsia="宋体" w:cs="宋体"/>
          <w:kern w:val="0"/>
        </w:rPr>
        <w:t>32.1</w:t>
      </w:r>
      <w:r>
        <w:rPr>
          <w:rFonts w:hint="eastAsia" w:ascii="宋体" w:hAnsi="宋体" w:eastAsia="宋体" w:cs="宋体"/>
          <w:kern w:val="0"/>
        </w:rPr>
        <w:t>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AC4A3AD">
      <w:pPr>
        <w:tabs>
          <w:tab w:val="left" w:pos="0"/>
        </w:tabs>
        <w:spacing w:line="500" w:lineRule="exact"/>
        <w:ind w:firstLine="420" w:firstLineChars="200"/>
        <w:rPr>
          <w:rFonts w:ascii="宋体" w:hAnsi="宋体" w:eastAsia="宋体" w:cs="Times New Roman"/>
          <w:kern w:val="0"/>
        </w:rPr>
      </w:pPr>
      <w:r>
        <w:rPr>
          <w:rFonts w:ascii="宋体" w:hAnsi="宋体" w:eastAsia="宋体" w:cs="宋体"/>
          <w:kern w:val="0"/>
        </w:rPr>
        <w:t>32.2</w:t>
      </w:r>
      <w:r>
        <w:rPr>
          <w:rFonts w:hint="eastAsia" w:ascii="宋体" w:hAnsi="宋体" w:eastAsia="宋体" w:cs="宋体"/>
          <w:kern w:val="0"/>
        </w:rPr>
        <w:t>采购人可以邀请参加本项目的其他供应商或者第三方机构参与验收。参与验收的供应商或者第三方机构的意见作为验收书的参考资料一并存档。</w:t>
      </w:r>
    </w:p>
    <w:p w14:paraId="5351393E">
      <w:pPr>
        <w:tabs>
          <w:tab w:val="left" w:pos="0"/>
        </w:tabs>
        <w:spacing w:line="500" w:lineRule="exact"/>
        <w:ind w:firstLine="420" w:firstLineChars="200"/>
        <w:rPr>
          <w:rFonts w:ascii="宋体" w:hAnsi="宋体" w:eastAsia="宋体" w:cs="Times New Roman"/>
          <w:kern w:val="0"/>
        </w:rPr>
      </w:pPr>
      <w:r>
        <w:rPr>
          <w:rFonts w:ascii="宋体" w:hAnsi="宋体" w:eastAsia="宋体" w:cs="宋体"/>
          <w:kern w:val="0"/>
        </w:rPr>
        <w:t>32.3</w:t>
      </w:r>
      <w:r>
        <w:rPr>
          <w:rFonts w:hint="eastAsia" w:ascii="宋体" w:hAnsi="宋体" w:eastAsia="宋体" w:cs="宋体"/>
          <w:kern w:val="0"/>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E8D44A">
      <w:pPr>
        <w:tabs>
          <w:tab w:val="left" w:pos="0"/>
        </w:tabs>
        <w:spacing w:line="500" w:lineRule="exact"/>
        <w:ind w:firstLine="420" w:firstLineChars="200"/>
        <w:rPr>
          <w:rFonts w:ascii="宋体" w:hAnsi="宋体" w:eastAsia="宋体" w:cs="Times New Roman"/>
        </w:rPr>
      </w:pPr>
      <w:r>
        <w:rPr>
          <w:rFonts w:ascii="宋体" w:hAnsi="宋体" w:eastAsia="宋体" w:cs="宋体"/>
          <w:kern w:val="0"/>
        </w:rPr>
        <w:t>32.4</w:t>
      </w:r>
      <w:r>
        <w:rPr>
          <w:rFonts w:hint="eastAsia" w:ascii="宋体" w:hAnsi="宋体" w:eastAsia="宋体" w:cs="宋体"/>
          <w:kern w:val="0"/>
        </w:rPr>
        <w:t>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359C2D">
      <w:pPr>
        <w:pStyle w:val="4"/>
        <w:spacing w:before="0" w:after="0" w:line="500" w:lineRule="exact"/>
        <w:ind w:firstLine="417" w:firstLineChars="198"/>
        <w:rPr>
          <w:rFonts w:ascii="宋体" w:cs="宋体"/>
          <w:sz w:val="21"/>
          <w:szCs w:val="21"/>
        </w:rPr>
      </w:pPr>
      <w:bookmarkStart w:id="76" w:name="_Toc110327558"/>
      <w:bookmarkStart w:id="77" w:name="_Toc24621"/>
      <w:bookmarkStart w:id="78" w:name="_Toc106616824"/>
      <w:bookmarkStart w:id="79" w:name="_Toc144977169"/>
      <w:r>
        <w:rPr>
          <w:rFonts w:hint="eastAsia" w:ascii="宋体" w:hAnsi="宋体" w:cs="宋体"/>
          <w:sz w:val="21"/>
          <w:szCs w:val="21"/>
        </w:rPr>
        <w:t>七、其他事项</w:t>
      </w:r>
      <w:bookmarkEnd w:id="76"/>
      <w:bookmarkEnd w:id="77"/>
      <w:bookmarkEnd w:id="78"/>
      <w:bookmarkEnd w:id="79"/>
    </w:p>
    <w:p w14:paraId="4D8EE2DF">
      <w:pPr>
        <w:spacing w:line="500" w:lineRule="exact"/>
        <w:ind w:firstLine="422" w:firstLineChars="200"/>
        <w:rPr>
          <w:rFonts w:ascii="宋体" w:hAnsi="宋体" w:eastAsia="宋体" w:cs="Times New Roman"/>
          <w:b/>
          <w:bCs/>
        </w:rPr>
      </w:pPr>
      <w:r>
        <w:rPr>
          <w:rFonts w:ascii="宋体" w:hAnsi="宋体" w:eastAsia="宋体" w:cs="宋体"/>
          <w:b/>
          <w:bCs/>
        </w:rPr>
        <w:t>33.</w:t>
      </w:r>
      <w:r>
        <w:rPr>
          <w:rFonts w:hint="eastAsia" w:ascii="宋体" w:hAnsi="宋体" w:eastAsia="宋体" w:cs="宋体"/>
          <w:b/>
          <w:bCs/>
        </w:rPr>
        <w:t>采购代理服务费</w:t>
      </w:r>
    </w:p>
    <w:p w14:paraId="60DD3AB8">
      <w:pPr>
        <w:tabs>
          <w:tab w:val="left" w:pos="2835"/>
        </w:tabs>
        <w:spacing w:line="500" w:lineRule="exact"/>
        <w:ind w:firstLine="420" w:firstLineChars="200"/>
        <w:rPr>
          <w:rFonts w:ascii="宋体" w:hAnsi="宋体" w:eastAsia="宋体" w:cs="Times New Roman"/>
        </w:rPr>
      </w:pPr>
      <w:r>
        <w:rPr>
          <w:rFonts w:hint="eastAsia" w:ascii="宋体" w:hAnsi="宋体" w:eastAsia="宋体" w:cs="宋体"/>
        </w:rPr>
        <w:t>采购代理服务收费标准及缴费账户详见“供应商须知前附表”，供应商为联合体的，可以由联合体中的一方或者多方共同交纳代理服务费。</w:t>
      </w:r>
    </w:p>
    <w:p w14:paraId="066991F3">
      <w:pPr>
        <w:spacing w:line="500" w:lineRule="exact"/>
        <w:ind w:firstLine="422" w:firstLineChars="200"/>
        <w:rPr>
          <w:rFonts w:ascii="宋体" w:hAnsi="宋体" w:eastAsia="宋体" w:cs="Times New Roman"/>
          <w:b/>
          <w:bCs/>
        </w:rPr>
      </w:pPr>
      <w:r>
        <w:rPr>
          <w:rFonts w:ascii="宋体" w:hAnsi="宋体" w:eastAsia="宋体" w:cs="宋体"/>
          <w:b/>
          <w:bCs/>
        </w:rPr>
        <w:t>34.</w:t>
      </w:r>
      <w:r>
        <w:rPr>
          <w:rFonts w:hint="eastAsia" w:ascii="宋体" w:hAnsi="宋体" w:eastAsia="宋体" w:cs="宋体"/>
          <w:b/>
          <w:bCs/>
        </w:rPr>
        <w:t>需要补充的其他内容</w:t>
      </w:r>
    </w:p>
    <w:p w14:paraId="62CBC9B0">
      <w:pPr>
        <w:pStyle w:val="23"/>
        <w:spacing w:line="500" w:lineRule="exact"/>
        <w:ind w:firstLine="420" w:firstLineChars="200"/>
        <w:textAlignment w:val="center"/>
        <w:rPr>
          <w:rFonts w:hAnsi="宋体" w:cs="Times New Roman"/>
          <w:kern w:val="2"/>
          <w:sz w:val="21"/>
          <w:szCs w:val="21"/>
        </w:rPr>
      </w:pPr>
      <w:r>
        <w:rPr>
          <w:rFonts w:hAnsi="宋体"/>
          <w:kern w:val="2"/>
          <w:sz w:val="21"/>
          <w:szCs w:val="21"/>
        </w:rPr>
        <w:t>34.1</w:t>
      </w:r>
      <w:r>
        <w:rPr>
          <w:rFonts w:hint="eastAsia" w:hAnsi="宋体"/>
          <w:kern w:val="2"/>
          <w:sz w:val="21"/>
          <w:szCs w:val="21"/>
        </w:rPr>
        <w:t>本磋商文件解释规则详见“供应商须知前附表”。</w:t>
      </w:r>
    </w:p>
    <w:p w14:paraId="0FA121DD">
      <w:pPr>
        <w:pStyle w:val="23"/>
        <w:spacing w:line="500" w:lineRule="exact"/>
        <w:ind w:firstLine="420" w:firstLineChars="200"/>
        <w:textAlignment w:val="center"/>
        <w:rPr>
          <w:rFonts w:hAnsi="宋体" w:cs="Times New Roman"/>
          <w:kern w:val="2"/>
          <w:sz w:val="21"/>
          <w:szCs w:val="21"/>
        </w:rPr>
      </w:pPr>
      <w:r>
        <w:rPr>
          <w:rFonts w:hAnsi="宋体"/>
          <w:kern w:val="2"/>
          <w:sz w:val="21"/>
          <w:szCs w:val="21"/>
        </w:rPr>
        <w:t xml:space="preserve">34.2 </w:t>
      </w:r>
      <w:r>
        <w:rPr>
          <w:rFonts w:hint="eastAsia" w:hAnsi="宋体"/>
          <w:kern w:val="2"/>
          <w:sz w:val="21"/>
          <w:szCs w:val="21"/>
        </w:rPr>
        <w:t>其他事项详见“供应商须知前附表”。</w:t>
      </w:r>
    </w:p>
    <w:p w14:paraId="64897664">
      <w:pPr>
        <w:pStyle w:val="23"/>
        <w:spacing w:line="500" w:lineRule="exact"/>
        <w:ind w:firstLine="420" w:firstLineChars="200"/>
        <w:textAlignment w:val="center"/>
        <w:rPr>
          <w:rFonts w:hAnsi="宋体" w:cs="Times New Roman"/>
          <w:kern w:val="2"/>
          <w:sz w:val="21"/>
          <w:szCs w:val="21"/>
        </w:rPr>
      </w:pPr>
      <w:r>
        <w:rPr>
          <w:rFonts w:hAnsi="宋体"/>
          <w:kern w:val="2"/>
          <w:sz w:val="21"/>
          <w:szCs w:val="21"/>
        </w:rPr>
        <w:t>34.3</w:t>
      </w:r>
      <w:r>
        <w:rPr>
          <w:rFonts w:hint="eastAsia" w:hAnsi="宋体"/>
          <w:kern w:val="2"/>
          <w:sz w:val="21"/>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sz w:val="21"/>
          <w:szCs w:val="21"/>
        </w:rPr>
        <w:t>服务由中小企业承接，即提供服务的人员为中小企业依照《中华人民共和国劳动合同法》订立劳动合同的从业人员，不对其中涉及的货物的制造商和工程承建商作出要求的</w:t>
      </w:r>
      <w:r>
        <w:rPr>
          <w:rFonts w:hint="eastAsia" w:hAnsi="宋体"/>
          <w:kern w:val="2"/>
          <w:sz w:val="21"/>
          <w:szCs w:val="21"/>
        </w:rPr>
        <w:t>，享受本文件规定的中小企业扶持政策。</w:t>
      </w:r>
    </w:p>
    <w:p w14:paraId="32559C69">
      <w:pPr>
        <w:pStyle w:val="23"/>
        <w:spacing w:line="500" w:lineRule="exact"/>
        <w:ind w:firstLine="420" w:firstLineChars="200"/>
        <w:textAlignment w:val="center"/>
        <w:rPr>
          <w:rFonts w:hAnsi="宋体" w:cs="Times New Roman"/>
          <w:kern w:val="2"/>
          <w:sz w:val="21"/>
          <w:szCs w:val="21"/>
        </w:rPr>
      </w:pPr>
      <w:r>
        <w:rPr>
          <w:rFonts w:hint="eastAsia" w:hAnsi="宋体"/>
          <w:kern w:val="2"/>
          <w:sz w:val="21"/>
          <w:szCs w:val="21"/>
        </w:rPr>
        <w:t>以联合体形式参加政府采购活动，联合体各方均为中小企业的，联合体视同中小企业。其中，联合体各方均为小微企业的，联合体视同小微企业。</w:t>
      </w:r>
    </w:p>
    <w:p w14:paraId="2F4AD01E">
      <w:pPr>
        <w:pStyle w:val="23"/>
        <w:spacing w:line="500" w:lineRule="exact"/>
        <w:textAlignment w:val="center"/>
        <w:rPr>
          <w:rFonts w:hAnsi="宋体" w:cs="Times New Roman"/>
          <w:kern w:val="2"/>
          <w:sz w:val="21"/>
          <w:szCs w:val="21"/>
        </w:rPr>
      </w:pPr>
      <w:r>
        <w:rPr>
          <w:rFonts w:hint="eastAsia" w:hAnsi="宋体"/>
          <w:kern w:val="2"/>
          <w:sz w:val="21"/>
          <w:szCs w:val="21"/>
        </w:rPr>
        <w:t>依据本文件规定享受扶持政策获得政府采购合同的，小微企业不得将合同分包给大中型企业，中型企业不得将合同分包给大型企业。</w:t>
      </w:r>
    </w:p>
    <w:p w14:paraId="33E39D75">
      <w:pPr>
        <w:pStyle w:val="23"/>
        <w:spacing w:line="500" w:lineRule="exact"/>
        <w:textAlignment w:val="center"/>
        <w:rPr>
          <w:rFonts w:hAnsi="宋体" w:cs="Times New Roman"/>
        </w:rPr>
      </w:pPr>
      <w:r>
        <w:rPr>
          <w:rFonts w:hAnsi="宋体" w:cs="Times New Roman"/>
          <w:b/>
          <w:bCs/>
          <w:sz w:val="21"/>
          <w:szCs w:val="21"/>
        </w:rPr>
        <w:br w:type="page"/>
      </w:r>
    </w:p>
    <w:p w14:paraId="622DAD0C">
      <w:pPr>
        <w:pStyle w:val="2"/>
      </w:pPr>
      <w:bookmarkStart w:id="80" w:name="_Toc19027"/>
      <w:r>
        <w:rPr>
          <w:rFonts w:hint="eastAsia" w:cs="宋体"/>
        </w:rPr>
        <w:t>第四章评审程序、评审方法和评审标准</w:t>
      </w:r>
      <w:bookmarkEnd w:id="80"/>
    </w:p>
    <w:p w14:paraId="683CACDC">
      <w:pPr>
        <w:spacing w:line="600" w:lineRule="exact"/>
        <w:jc w:val="center"/>
        <w:outlineLvl w:val="1"/>
        <w:rPr>
          <w:rFonts w:ascii="宋体" w:hAnsi="宋体" w:eastAsia="宋体" w:cs="Times New Roman"/>
          <w:b/>
          <w:bCs/>
          <w:sz w:val="30"/>
          <w:szCs w:val="30"/>
        </w:rPr>
      </w:pPr>
      <w:bookmarkStart w:id="81" w:name="_Toc137571895"/>
      <w:bookmarkStart w:id="82" w:name="_Toc144977171"/>
      <w:bookmarkStart w:id="83" w:name="_Toc12352"/>
      <w:r>
        <w:rPr>
          <w:rFonts w:hint="eastAsia" w:ascii="宋体" w:hAnsi="宋体" w:eastAsia="宋体" w:cs="宋体"/>
          <w:b/>
          <w:bCs/>
          <w:sz w:val="30"/>
          <w:szCs w:val="30"/>
        </w:rPr>
        <w:t>第一节</w:t>
      </w:r>
      <w:r>
        <w:rPr>
          <w:rFonts w:ascii="宋体" w:hAnsi="宋体" w:eastAsia="宋体" w:cs="宋体"/>
          <w:b/>
          <w:bCs/>
          <w:sz w:val="30"/>
          <w:szCs w:val="30"/>
        </w:rPr>
        <w:t xml:space="preserve"> </w:t>
      </w:r>
      <w:r>
        <w:rPr>
          <w:rFonts w:hint="eastAsia" w:ascii="宋体" w:hAnsi="宋体" w:eastAsia="宋体" w:cs="宋体"/>
          <w:b/>
          <w:bCs/>
          <w:sz w:val="30"/>
          <w:szCs w:val="30"/>
        </w:rPr>
        <w:t>评审程序和评审方法</w:t>
      </w:r>
      <w:bookmarkEnd w:id="81"/>
      <w:bookmarkEnd w:id="82"/>
      <w:bookmarkEnd w:id="83"/>
    </w:p>
    <w:p w14:paraId="286C7B15">
      <w:pPr>
        <w:spacing w:line="500" w:lineRule="exact"/>
        <w:ind w:firstLine="413" w:firstLineChars="196"/>
        <w:rPr>
          <w:rFonts w:ascii="宋体" w:hAnsi="宋体" w:eastAsia="宋体" w:cs="Times New Roman"/>
          <w:b/>
          <w:bCs/>
        </w:rPr>
      </w:pPr>
      <w:r>
        <w:rPr>
          <w:rFonts w:ascii="宋体" w:hAnsi="宋体" w:eastAsia="宋体" w:cs="宋体"/>
          <w:b/>
          <w:bCs/>
        </w:rPr>
        <w:t>1.</w:t>
      </w:r>
      <w:r>
        <w:rPr>
          <w:rFonts w:hint="eastAsia" w:ascii="宋体" w:hAnsi="宋体" w:eastAsia="宋体" w:cs="宋体"/>
          <w:b/>
          <w:bCs/>
        </w:rPr>
        <w:t>确认磋商文件</w:t>
      </w:r>
    </w:p>
    <w:p w14:paraId="57045230">
      <w:pPr>
        <w:spacing w:line="500" w:lineRule="exact"/>
        <w:ind w:firstLine="420" w:firstLineChars="200"/>
        <w:rPr>
          <w:rFonts w:ascii="宋体" w:hAnsi="宋体" w:eastAsia="宋体" w:cs="Times New Roman"/>
        </w:rPr>
      </w:pPr>
      <w:r>
        <w:rPr>
          <w:rFonts w:hint="eastAsia" w:ascii="宋体" w:hAnsi="宋体" w:eastAsia="宋体" w:cs="宋体"/>
        </w:rPr>
        <w:t>由磋商小组确认磋商文件。</w:t>
      </w:r>
    </w:p>
    <w:p w14:paraId="1EF361F7">
      <w:pPr>
        <w:spacing w:line="500" w:lineRule="exact"/>
        <w:ind w:firstLine="413" w:firstLineChars="196"/>
        <w:rPr>
          <w:rFonts w:ascii="宋体" w:hAnsi="宋体" w:eastAsia="宋体" w:cs="Times New Roman"/>
          <w:b/>
          <w:bCs/>
        </w:rPr>
      </w:pPr>
      <w:r>
        <w:rPr>
          <w:rFonts w:ascii="宋体" w:hAnsi="宋体" w:eastAsia="宋体" w:cs="宋体"/>
          <w:b/>
          <w:bCs/>
        </w:rPr>
        <w:t>2.</w:t>
      </w:r>
      <w:r>
        <w:rPr>
          <w:rFonts w:hint="eastAsia" w:ascii="宋体" w:hAnsi="宋体" w:eastAsia="宋体" w:cs="宋体"/>
          <w:b/>
          <w:bCs/>
        </w:rPr>
        <w:t>资格审查</w:t>
      </w:r>
    </w:p>
    <w:p w14:paraId="70FB1491">
      <w:pPr>
        <w:snapToGrid w:val="0"/>
        <w:spacing w:line="500" w:lineRule="exact"/>
        <w:ind w:firstLine="420" w:firstLineChars="200"/>
        <w:rPr>
          <w:rFonts w:ascii="宋体" w:hAnsi="宋体" w:eastAsia="宋体" w:cs="Times New Roman"/>
        </w:rPr>
      </w:pPr>
      <w:r>
        <w:rPr>
          <w:rFonts w:ascii="宋体" w:hAnsi="宋体" w:eastAsia="宋体" w:cs="宋体"/>
        </w:rPr>
        <w:t>2.1</w:t>
      </w:r>
      <w:r>
        <w:rPr>
          <w:rFonts w:hint="eastAsia" w:ascii="宋体" w:hAnsi="宋体" w:eastAsia="宋体" w:cs="宋体"/>
        </w:rPr>
        <w:t>响应文件开启后，磋商小组依法对供应商的资格证明文件进行审查。</w:t>
      </w:r>
    </w:p>
    <w:p w14:paraId="63262EA0">
      <w:pPr>
        <w:snapToGrid w:val="0"/>
        <w:spacing w:line="500" w:lineRule="exact"/>
        <w:ind w:firstLine="420" w:firstLineChars="200"/>
        <w:rPr>
          <w:rFonts w:ascii="宋体" w:hAnsi="宋体" w:eastAsia="宋体" w:cs="Times New Roman"/>
        </w:rPr>
      </w:pPr>
      <w:r>
        <w:rPr>
          <w:rFonts w:hint="eastAsia" w:ascii="宋体" w:hAnsi="宋体" w:eastAsia="宋体" w:cs="宋体"/>
        </w:rPr>
        <w:t>注：采购人代表或者采购代理机构在资格审查结束前，对供应商进行信用查询。</w:t>
      </w:r>
    </w:p>
    <w:p w14:paraId="2D4ED944">
      <w:pPr>
        <w:snapToGrid w:val="0"/>
        <w:spacing w:line="500" w:lineRule="exact"/>
        <w:ind w:firstLine="420" w:firstLineChars="200"/>
        <w:jc w:val="left"/>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）查询渠道：“广西政府采购云平台”平台“信用中国”网站</w:t>
      </w:r>
      <w:r>
        <w:rPr>
          <w:rFonts w:ascii="宋体" w:hAnsi="宋体" w:eastAsia="宋体" w:cs="宋体"/>
        </w:rPr>
        <w:t>(</w:t>
      </w:r>
      <w:r>
        <w:fldChar w:fldCharType="begin"/>
      </w:r>
      <w:r>
        <w:instrText xml:space="preserve"> HYPERLINK "http://www.creditchina.gov.cn" </w:instrText>
      </w:r>
      <w:r>
        <w:fldChar w:fldCharType="separate"/>
      </w:r>
      <w:r>
        <w:rPr>
          <w:rFonts w:ascii="宋体" w:hAnsi="宋体" w:eastAsia="宋体" w:cs="宋体"/>
        </w:rPr>
        <w:t>www.creditchina.gov.cn</w:t>
      </w:r>
      <w:r>
        <w:rPr>
          <w:rFonts w:ascii="宋体" w:hAnsi="宋体" w:eastAsia="宋体" w:cs="宋体"/>
        </w:rPr>
        <w:fldChar w:fldCharType="end"/>
      </w:r>
      <w:r>
        <w:rPr>
          <w:rFonts w:ascii="宋体" w:hAnsi="宋体" w:eastAsia="宋体" w:cs="宋体"/>
        </w:rPr>
        <w:t>)</w:t>
      </w:r>
      <w:r>
        <w:rPr>
          <w:rFonts w:hint="eastAsia" w:ascii="宋体" w:hAnsi="宋体" w:eastAsia="宋体" w:cs="宋体"/>
        </w:rPr>
        <w:t>、中国政府采购网</w:t>
      </w:r>
      <w:r>
        <w:rPr>
          <w:rFonts w:ascii="宋体" w:hAnsi="宋体" w:eastAsia="宋体" w:cs="宋体"/>
        </w:rPr>
        <w:t>(</w:t>
      </w:r>
      <w:r>
        <w:fldChar w:fldCharType="begin"/>
      </w:r>
      <w:r>
        <w:instrText xml:space="preserve"> HYPERLINK "http://www.ccgp.gov.cn" </w:instrText>
      </w:r>
      <w:r>
        <w:fldChar w:fldCharType="separate"/>
      </w:r>
      <w:r>
        <w:rPr>
          <w:rFonts w:ascii="宋体" w:hAnsi="宋体" w:eastAsia="宋体" w:cs="宋体"/>
        </w:rPr>
        <w:t>www.ccgp.gov.cn</w:t>
      </w:r>
      <w:r>
        <w:rPr>
          <w:rFonts w:ascii="宋体" w:hAnsi="宋体" w:eastAsia="宋体" w:cs="宋体"/>
        </w:rPr>
        <w:fldChar w:fldCharType="end"/>
      </w:r>
      <w:r>
        <w:rPr>
          <w:rFonts w:ascii="宋体" w:hAnsi="宋体" w:eastAsia="宋体" w:cs="宋体"/>
        </w:rPr>
        <w:t>)</w:t>
      </w:r>
      <w:r>
        <w:rPr>
          <w:rFonts w:hint="eastAsia" w:ascii="宋体" w:hAnsi="宋体" w:eastAsia="宋体" w:cs="宋体"/>
        </w:rPr>
        <w:t>链接入口。</w:t>
      </w:r>
    </w:p>
    <w:p w14:paraId="3B6394FB">
      <w:pPr>
        <w:snapToGrid w:val="0"/>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）信用查询截止时点：资格审查结束前。</w:t>
      </w:r>
    </w:p>
    <w:p w14:paraId="2C46521E">
      <w:pPr>
        <w:snapToGrid w:val="0"/>
        <w:spacing w:line="500" w:lineRule="exact"/>
        <w:ind w:firstLine="525" w:firstLineChars="250"/>
        <w:rPr>
          <w:rFonts w:ascii="宋体" w:hAnsi="宋体" w:eastAsia="宋体" w:cs="Times New Roman"/>
        </w:rPr>
      </w:pPr>
      <w:r>
        <w:rPr>
          <w:rFonts w:hint="eastAsia" w:ascii="宋体" w:hAnsi="宋体" w:eastAsia="宋体" w:cs="宋体"/>
        </w:rPr>
        <w:t>查询记录和证据留存方式：在查询网站中直接打印查询记录，截图另存为电子文档作为评审资料保存。</w:t>
      </w:r>
    </w:p>
    <w:p w14:paraId="303DD94F">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）信用信息使用规则：对在“信用中国”网站</w:t>
      </w:r>
      <w:r>
        <w:rPr>
          <w:rFonts w:ascii="宋体" w:hAnsi="宋体" w:eastAsia="宋体" w:cs="宋体"/>
        </w:rPr>
        <w:t xml:space="preserve">(www.creditchina.gov.cn) </w:t>
      </w:r>
      <w:r>
        <w:rPr>
          <w:rFonts w:hint="eastAsia" w:ascii="宋体" w:hAnsi="宋体" w:eastAsia="宋体" w:cs="宋体"/>
        </w:rPr>
        <w:t>、中国政府采购网</w:t>
      </w:r>
      <w:r>
        <w:rPr>
          <w:rFonts w:ascii="宋体" w:hAnsi="宋体" w:eastAsia="宋体" w:cs="宋体"/>
        </w:rPr>
        <w:t>(www.ccgp.gov.cn)</w:t>
      </w:r>
      <w:r>
        <w:rPr>
          <w:rFonts w:hint="eastAsia" w:ascii="宋体" w:hAnsi="宋体" w:eastAsia="宋体" w:cs="宋体"/>
        </w:rPr>
        <w:t>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B26895E">
      <w:pPr>
        <w:spacing w:line="500" w:lineRule="exact"/>
        <w:ind w:firstLine="420" w:firstLineChars="200"/>
        <w:rPr>
          <w:rFonts w:ascii="宋体" w:hAnsi="宋体" w:eastAsia="宋体" w:cs="Times New Roman"/>
        </w:rPr>
      </w:pPr>
      <w:r>
        <w:rPr>
          <w:rFonts w:ascii="宋体" w:hAnsi="宋体" w:eastAsia="宋体" w:cs="宋体"/>
        </w:rPr>
        <w:t>2.2</w:t>
      </w:r>
      <w:r>
        <w:rPr>
          <w:rFonts w:hint="eastAsia" w:ascii="宋体" w:hAnsi="宋体" w:eastAsia="宋体" w:cs="宋体"/>
        </w:rPr>
        <w:t>资格审查标准为本磋商文件中载明对供应商资格要求的条件。资格审查采用合格制，凡符合磋商文件规定的供应商资格要求的响应文件均通过资格审查。</w:t>
      </w:r>
    </w:p>
    <w:p w14:paraId="5EAAB35C">
      <w:pPr>
        <w:spacing w:line="500" w:lineRule="exact"/>
        <w:ind w:firstLine="420" w:firstLineChars="200"/>
        <w:rPr>
          <w:rFonts w:ascii="宋体" w:hAnsi="宋体" w:eastAsia="宋体" w:cs="Times New Roman"/>
        </w:rPr>
      </w:pPr>
      <w:r>
        <w:rPr>
          <w:rFonts w:ascii="宋体" w:hAnsi="宋体" w:eastAsia="宋体" w:cs="宋体"/>
        </w:rPr>
        <w:t>2.3</w:t>
      </w:r>
      <w:r>
        <w:rPr>
          <w:rFonts w:hint="eastAsia" w:ascii="宋体" w:hAnsi="宋体" w:eastAsia="宋体" w:cs="宋体"/>
        </w:rPr>
        <w:t>供应商有下列情形之一的，资格审查不通过，其响应文件按无效响应处理：</w:t>
      </w:r>
    </w:p>
    <w:p w14:paraId="6E9C5307">
      <w:pPr>
        <w:snapToGrid w:val="0"/>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）不具备磋商文件中规定的资格要求的；</w:t>
      </w:r>
    </w:p>
    <w:p w14:paraId="07C2EB64">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）响应文件未提供任一项“供应商须知前附表”资格证明文件规定的“必须提供”的文件资料的；</w:t>
      </w:r>
    </w:p>
    <w:p w14:paraId="17AE4CC2">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）响应文件提供的资格证明文件出现任一项不符合“供应商须知前附表”资格证明文件规定的“必须提供”的文件资料要求或者无效的。</w:t>
      </w:r>
    </w:p>
    <w:p w14:paraId="59712D7A">
      <w:pPr>
        <w:spacing w:line="500" w:lineRule="exact"/>
        <w:ind w:firstLine="420" w:firstLineChars="200"/>
        <w:rPr>
          <w:rFonts w:ascii="宋体" w:hAnsi="宋体" w:eastAsia="宋体" w:cs="Times New Roman"/>
        </w:rPr>
      </w:pPr>
      <w:bookmarkStart w:id="84" w:name="_Hlk68601553"/>
      <w:r>
        <w:rPr>
          <w:rFonts w:hint="eastAsia" w:ascii="宋体" w:hAnsi="宋体" w:eastAsia="宋体" w:cs="宋体"/>
        </w:rPr>
        <w:t>（</w:t>
      </w:r>
      <w:r>
        <w:rPr>
          <w:rFonts w:ascii="宋体" w:hAnsi="宋体" w:eastAsia="宋体" w:cs="宋体"/>
        </w:rPr>
        <w:t>4</w:t>
      </w:r>
      <w:r>
        <w:rPr>
          <w:rFonts w:hint="eastAsia" w:ascii="宋体" w:hAnsi="宋体" w:eastAsia="宋体" w:cs="宋体"/>
        </w:rPr>
        <w:t>）同一合同项下的不同供应商，单位负责人为同一人或者存在直接控股、管理关系的；为本项目提供过整体设计、规范编制或者项目管理、监理、检测等服务的。</w:t>
      </w:r>
      <w:bookmarkEnd w:id="84"/>
    </w:p>
    <w:p w14:paraId="193749F8">
      <w:pPr>
        <w:spacing w:line="500" w:lineRule="exact"/>
        <w:ind w:firstLine="420" w:firstLineChars="200"/>
        <w:rPr>
          <w:rFonts w:ascii="宋体" w:hAnsi="宋体" w:eastAsia="宋体" w:cs="Times New Roman"/>
        </w:rPr>
      </w:pPr>
      <w:r>
        <w:rPr>
          <w:rFonts w:ascii="宋体" w:hAnsi="宋体" w:eastAsia="宋体" w:cs="宋体"/>
        </w:rPr>
        <w:t>2.4</w:t>
      </w:r>
      <w:r>
        <w:rPr>
          <w:rFonts w:hint="eastAsia" w:ascii="宋体" w:hAnsi="宋体" w:eastAsia="宋体" w:cs="宋体"/>
        </w:rPr>
        <w:t>通过资格审查的合格供应商不足</w:t>
      </w:r>
      <w:r>
        <w:rPr>
          <w:rFonts w:ascii="宋体" w:hAnsi="宋体" w:eastAsia="宋体" w:cs="宋体"/>
        </w:rPr>
        <w:t>3</w:t>
      </w:r>
      <w:r>
        <w:rPr>
          <w:rFonts w:hint="eastAsia" w:ascii="宋体" w:hAnsi="宋体" w:eastAsia="宋体" w:cs="宋体"/>
        </w:rPr>
        <w:t>家的，不得进入符合性审查环节，采购人或者采购代理机构应当重新开展采购活动。</w:t>
      </w:r>
    </w:p>
    <w:p w14:paraId="3C0F5890">
      <w:pPr>
        <w:spacing w:line="500" w:lineRule="exact"/>
        <w:ind w:firstLine="413" w:firstLineChars="196"/>
        <w:rPr>
          <w:rFonts w:ascii="宋体" w:hAnsi="宋体" w:eastAsia="宋体" w:cs="Times New Roman"/>
          <w:b/>
          <w:bCs/>
        </w:rPr>
      </w:pPr>
      <w:r>
        <w:rPr>
          <w:rFonts w:ascii="宋体" w:hAnsi="宋体" w:eastAsia="宋体" w:cs="宋体"/>
          <w:b/>
          <w:bCs/>
        </w:rPr>
        <w:t>3.</w:t>
      </w:r>
      <w:r>
        <w:rPr>
          <w:rFonts w:hint="eastAsia" w:ascii="宋体" w:hAnsi="宋体" w:eastAsia="宋体" w:cs="宋体"/>
          <w:b/>
          <w:bCs/>
        </w:rPr>
        <w:t>符合性审查</w:t>
      </w:r>
    </w:p>
    <w:p w14:paraId="0F4A8DFC">
      <w:pPr>
        <w:spacing w:line="500" w:lineRule="exact"/>
        <w:ind w:firstLine="420" w:firstLineChars="200"/>
        <w:rPr>
          <w:rFonts w:ascii="宋体" w:hAnsi="宋体" w:eastAsia="宋体" w:cs="Times New Roman"/>
        </w:rPr>
      </w:pPr>
      <w:r>
        <w:rPr>
          <w:rFonts w:ascii="宋体" w:hAnsi="宋体" w:eastAsia="宋体" w:cs="宋体"/>
        </w:rPr>
        <w:t>3.1</w:t>
      </w:r>
      <w:r>
        <w:rPr>
          <w:rFonts w:hint="eastAsia" w:ascii="宋体" w:hAnsi="宋体" w:eastAsia="宋体" w:cs="宋体"/>
        </w:rPr>
        <w:t>由磋商小组对通过资格审查的合格供应商的响应文件的响应报价、商务、技术等实质性要求进行符合性审查，以确定其是否满足磋商文件的实质性要求。</w:t>
      </w:r>
    </w:p>
    <w:p w14:paraId="5E59A329">
      <w:pPr>
        <w:spacing w:line="500" w:lineRule="exact"/>
        <w:ind w:firstLine="420" w:firstLineChars="200"/>
        <w:rPr>
          <w:rFonts w:ascii="宋体" w:hAnsi="宋体" w:eastAsia="宋体" w:cs="Times New Roman"/>
        </w:rPr>
      </w:pPr>
      <w:r>
        <w:rPr>
          <w:rFonts w:ascii="宋体" w:hAnsi="宋体" w:eastAsia="宋体" w:cs="宋体"/>
        </w:rPr>
        <w:t>3.2</w:t>
      </w:r>
      <w:r>
        <w:rPr>
          <w:rFonts w:hint="eastAsia" w:ascii="宋体" w:hAnsi="宋体" w:eastAsia="宋体" w:cs="宋体"/>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4F534D">
      <w:pPr>
        <w:spacing w:line="500" w:lineRule="exact"/>
        <w:ind w:firstLine="420" w:firstLineChars="200"/>
        <w:rPr>
          <w:rFonts w:ascii="宋体" w:hAnsi="宋体" w:eastAsia="宋体" w:cs="Times New Roman"/>
          <w:spacing w:val="-6"/>
        </w:rPr>
      </w:pPr>
      <w:r>
        <w:rPr>
          <w:rFonts w:ascii="宋体" w:hAnsi="宋体" w:eastAsia="宋体" w:cs="宋体"/>
        </w:rPr>
        <w:t>3.3</w:t>
      </w:r>
      <w:r>
        <w:rPr>
          <w:rFonts w:hint="eastAsia" w:ascii="宋体" w:hAnsi="宋体" w:eastAsia="宋体" w:cs="宋体"/>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spacing w:val="-6"/>
        </w:rPr>
        <w:t>。供应商为自然人的，必须由本人签字并附身份证明。</w:t>
      </w:r>
    </w:p>
    <w:p w14:paraId="4A7D63F3">
      <w:pPr>
        <w:spacing w:line="500" w:lineRule="exact"/>
        <w:ind w:firstLine="396" w:firstLineChars="200"/>
        <w:rPr>
          <w:rFonts w:ascii="宋体" w:hAnsi="宋体" w:eastAsia="宋体" w:cs="宋体"/>
        </w:rPr>
      </w:pPr>
      <w:r>
        <w:rPr>
          <w:rFonts w:ascii="宋体" w:hAnsi="宋体" w:eastAsia="宋体" w:cs="宋体"/>
          <w:spacing w:val="-6"/>
        </w:rPr>
        <w:t>3.4</w:t>
      </w:r>
      <w:r>
        <w:rPr>
          <w:rFonts w:hint="eastAsia" w:ascii="宋体" w:hAnsi="宋体" w:eastAsia="宋体" w:cs="宋体"/>
        </w:rPr>
        <w:t>首次响应文件报价出现前后不一致的，按照下列规定修正：</w:t>
      </w:r>
      <w:r>
        <w:rPr>
          <w:rFonts w:ascii="宋体" w:hAnsi="宋体" w:eastAsia="宋体" w:cs="宋体"/>
        </w:rPr>
        <w:t xml:space="preserve"> </w:t>
      </w:r>
    </w:p>
    <w:p w14:paraId="507EDD99">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）响应文件中报价表内容与响应文件中相应内容不一致的，以报价表为准；</w:t>
      </w:r>
    </w:p>
    <w:p w14:paraId="3F096816">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）大写金额和小写金额不一致的，以大写金额为准；</w:t>
      </w:r>
    </w:p>
    <w:p w14:paraId="6028B147">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）单价金额小数点或者百分比有明显错位的，以报价表的总价为准，并修改单价；</w:t>
      </w:r>
    </w:p>
    <w:p w14:paraId="5E389660">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4</w:t>
      </w:r>
      <w:r>
        <w:rPr>
          <w:rFonts w:hint="eastAsia" w:ascii="宋体" w:hAnsi="宋体" w:eastAsia="宋体" w:cs="宋体"/>
        </w:rPr>
        <w:t>）总价金额与按单价汇总金额不一致的，以单价金额计算结果为准。</w:t>
      </w:r>
    </w:p>
    <w:p w14:paraId="55ECA179">
      <w:pPr>
        <w:spacing w:line="500" w:lineRule="exact"/>
        <w:ind w:firstLine="420" w:firstLineChars="200"/>
        <w:rPr>
          <w:rFonts w:ascii="宋体" w:hAnsi="宋体" w:eastAsia="宋体" w:cs="Times New Roman"/>
        </w:rPr>
      </w:pPr>
      <w:r>
        <w:rPr>
          <w:rFonts w:hint="eastAsia" w:ascii="宋体" w:hAnsi="宋体" w:eastAsia="宋体" w:cs="宋体"/>
        </w:rPr>
        <w:t>同时出现两种以上不一致的，按照以上（</w:t>
      </w:r>
      <w:r>
        <w:rPr>
          <w:rFonts w:ascii="宋体" w:hAnsi="宋体" w:eastAsia="宋体" w:cs="宋体"/>
        </w:rPr>
        <w:t>1</w:t>
      </w:r>
      <w:r>
        <w:rPr>
          <w:rFonts w:hint="eastAsia" w:ascii="宋体" w:hAnsi="宋体" w:eastAsia="宋体" w:cs="宋体"/>
        </w:rPr>
        <w:t>）</w:t>
      </w:r>
      <w:r>
        <w:rPr>
          <w:rFonts w:ascii="宋体" w:hAnsi="宋体" w:eastAsia="宋体" w:cs="宋体"/>
        </w:rPr>
        <w:t>-</w:t>
      </w:r>
      <w:r>
        <w:rPr>
          <w:rFonts w:hint="eastAsia" w:ascii="宋体" w:hAnsi="宋体" w:eastAsia="宋体" w:cs="宋体"/>
        </w:rPr>
        <w:t>（</w:t>
      </w:r>
      <w:r>
        <w:rPr>
          <w:rFonts w:ascii="宋体" w:hAnsi="宋体" w:eastAsia="宋体" w:cs="宋体"/>
        </w:rPr>
        <w:t>4</w:t>
      </w:r>
      <w:r>
        <w:rPr>
          <w:rFonts w:hint="eastAsia" w:ascii="宋体" w:hAnsi="宋体" w:eastAsia="宋体" w:cs="宋体"/>
        </w:rPr>
        <w:t>）规定的顺序逐条进行修正。修正后的报价经供应商确认后产生约束力，供应商不确认的，其响应文件按无效响应处理。</w:t>
      </w:r>
    </w:p>
    <w:p w14:paraId="384E6A03">
      <w:pPr>
        <w:spacing w:line="500" w:lineRule="exact"/>
        <w:ind w:firstLine="420" w:firstLineChars="200"/>
        <w:rPr>
          <w:rFonts w:ascii="宋体" w:hAnsi="宋体" w:eastAsia="宋体" w:cs="Times New Roman"/>
        </w:rPr>
      </w:pPr>
      <w:r>
        <w:rPr>
          <w:rFonts w:ascii="宋体" w:hAnsi="宋体" w:eastAsia="宋体" w:cs="宋体"/>
        </w:rPr>
        <w:t>3.5</w:t>
      </w:r>
      <w:r>
        <w:rPr>
          <w:rFonts w:hint="eastAsia" w:ascii="宋体" w:hAnsi="宋体" w:eastAsia="宋体" w:cs="宋体"/>
        </w:rPr>
        <w:t>商务技术、报价评审</w:t>
      </w:r>
    </w:p>
    <w:p w14:paraId="244872D7">
      <w:pPr>
        <w:spacing w:line="500" w:lineRule="exact"/>
        <w:ind w:firstLine="420" w:firstLineChars="200"/>
        <w:rPr>
          <w:rFonts w:ascii="宋体" w:hAnsi="宋体" w:eastAsia="宋体" w:cs="Times New Roman"/>
        </w:rPr>
      </w:pPr>
      <w:r>
        <w:rPr>
          <w:rFonts w:hint="eastAsia" w:ascii="宋体" w:hAnsi="宋体" w:eastAsia="宋体" w:cs="宋体"/>
        </w:rPr>
        <w:t>在评审时，如发现下列情形之一的，将被视为响应文件无效处理：</w:t>
      </w:r>
    </w:p>
    <w:p w14:paraId="43364F51">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）商务技术报价评审</w:t>
      </w:r>
    </w:p>
    <w:p w14:paraId="6C52A41C">
      <w:pPr>
        <w:spacing w:line="500" w:lineRule="exact"/>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）响应文件未按磋商文件要求签署、盖章；</w:t>
      </w:r>
    </w:p>
    <w:p w14:paraId="37A36C50">
      <w:pPr>
        <w:spacing w:line="500" w:lineRule="exact"/>
        <w:ind w:firstLine="420" w:firstLineChars="200"/>
        <w:rPr>
          <w:rFonts w:ascii="宋体" w:hAnsi="宋体" w:eastAsia="宋体" w:cs="宋体"/>
        </w:rPr>
      </w:pPr>
      <w:r>
        <w:rPr>
          <w:rFonts w:ascii="宋体" w:hAnsi="宋体" w:eastAsia="宋体" w:cs="宋体"/>
        </w:rPr>
        <w:t>2</w:t>
      </w:r>
      <w:r>
        <w:rPr>
          <w:rFonts w:hint="eastAsia" w:ascii="宋体" w:hAnsi="宋体" w:eastAsia="宋体" w:cs="宋体"/>
        </w:rPr>
        <w:t>）委托代理人未能出具有效身份证明或者出具的身份证明与授权委托书中的信息不符；</w:t>
      </w:r>
      <w:r>
        <w:rPr>
          <w:rFonts w:ascii="宋体" w:hAnsi="宋体" w:eastAsia="宋体" w:cs="宋体"/>
        </w:rPr>
        <w:t xml:space="preserve"> </w:t>
      </w:r>
    </w:p>
    <w:p w14:paraId="7B3177FA">
      <w:pPr>
        <w:spacing w:line="500" w:lineRule="exact"/>
        <w:ind w:firstLine="420" w:firstLineChars="200"/>
        <w:rPr>
          <w:rFonts w:ascii="宋体" w:hAnsi="宋体" w:eastAsia="宋体" w:cs="Times New Roman"/>
        </w:rPr>
      </w:pPr>
      <w:r>
        <w:rPr>
          <w:rFonts w:ascii="宋体" w:hAnsi="宋体" w:eastAsia="宋体" w:cs="宋体"/>
        </w:rPr>
        <w:t>3</w:t>
      </w:r>
      <w:r>
        <w:rPr>
          <w:rFonts w:hint="eastAsia" w:ascii="宋体" w:hAnsi="宋体" w:eastAsia="宋体" w:cs="宋体"/>
        </w:rPr>
        <w:t>）响应文件未提供任一项“供应商须知前附表”商务技术文件中</w:t>
      </w:r>
      <w:r>
        <w:rPr>
          <w:rFonts w:ascii="宋体" w:hAnsi="宋体" w:eastAsia="宋体" w:cs="宋体"/>
        </w:rPr>
        <w:t xml:space="preserve"> </w:t>
      </w:r>
      <w:r>
        <w:rPr>
          <w:rFonts w:hint="eastAsia" w:ascii="宋体" w:hAnsi="宋体" w:eastAsia="宋体" w:cs="宋体"/>
        </w:rPr>
        <w:t>“必须提供”或者“委托时必须提供”的文件资料；响应文件提供的商务技术文件出现任一项不符合“供应商须知前附表”商务技术文件中</w:t>
      </w:r>
      <w:r>
        <w:rPr>
          <w:rFonts w:ascii="宋体" w:hAnsi="宋体" w:eastAsia="宋体" w:cs="宋体"/>
        </w:rPr>
        <w:t xml:space="preserve"> </w:t>
      </w:r>
      <w:r>
        <w:rPr>
          <w:rFonts w:hint="eastAsia" w:ascii="宋体" w:hAnsi="宋体" w:eastAsia="宋体" w:cs="宋体"/>
        </w:rPr>
        <w:t>“必须提供”或者“委托时必须提供”文件资料要求的规定或者提供的商务技术文件无效。</w:t>
      </w:r>
    </w:p>
    <w:p w14:paraId="4114E428">
      <w:pPr>
        <w:spacing w:line="500" w:lineRule="exact"/>
        <w:ind w:firstLine="420" w:firstLineChars="200"/>
        <w:rPr>
          <w:rFonts w:ascii="宋体" w:hAnsi="宋体" w:eastAsia="宋体" w:cs="Times New Roman"/>
        </w:rPr>
      </w:pPr>
      <w:r>
        <w:rPr>
          <w:rFonts w:ascii="宋体" w:hAnsi="宋体" w:eastAsia="宋体" w:cs="宋体"/>
        </w:rPr>
        <w:t>4</w:t>
      </w:r>
      <w:r>
        <w:rPr>
          <w:rFonts w:hint="eastAsia" w:ascii="宋体" w:hAnsi="宋体" w:eastAsia="宋体" w:cs="宋体"/>
        </w:rPr>
        <w:t>）商务条款中标“▲”的条款发生负偏离的或者允许负偏离的条款数超过“供应商须知前附表”规定项数的或者标明实质性的要求发生负偏离；</w:t>
      </w:r>
    </w:p>
    <w:p w14:paraId="3A7FD848">
      <w:pPr>
        <w:spacing w:line="500" w:lineRule="exact"/>
        <w:ind w:firstLine="420" w:firstLineChars="200"/>
        <w:rPr>
          <w:rFonts w:ascii="宋体" w:hAnsi="宋体" w:eastAsia="宋体" w:cs="Times New Roman"/>
        </w:rPr>
      </w:pPr>
      <w:r>
        <w:rPr>
          <w:rFonts w:ascii="宋体" w:hAnsi="宋体" w:eastAsia="宋体" w:cs="宋体"/>
        </w:rPr>
        <w:t>5</w:t>
      </w:r>
      <w:r>
        <w:rPr>
          <w:rFonts w:hint="eastAsia" w:ascii="宋体" w:hAnsi="宋体" w:eastAsia="宋体" w:cs="宋体"/>
        </w:rPr>
        <w:t>）未对竞标有效期作出响应或者响应文件承诺的竞标有效期不满足磋商文件要求；</w:t>
      </w:r>
    </w:p>
    <w:p w14:paraId="41743CC9">
      <w:pPr>
        <w:spacing w:line="500" w:lineRule="exact"/>
        <w:ind w:firstLine="420" w:firstLineChars="200"/>
        <w:rPr>
          <w:rFonts w:ascii="宋体" w:hAnsi="宋体" w:eastAsia="宋体" w:cs="Times New Roman"/>
        </w:rPr>
      </w:pPr>
      <w:r>
        <w:rPr>
          <w:rFonts w:ascii="宋体" w:hAnsi="宋体" w:eastAsia="宋体" w:cs="宋体"/>
        </w:rPr>
        <w:t>6</w:t>
      </w:r>
      <w:r>
        <w:rPr>
          <w:rFonts w:hint="eastAsia" w:ascii="宋体" w:hAnsi="宋体" w:eastAsia="宋体" w:cs="宋体"/>
        </w:rPr>
        <w:t>）响应文件的实质性内容未使用中文表述、使用计量单位不符合磋商文件要求；</w:t>
      </w:r>
    </w:p>
    <w:p w14:paraId="33860BD6">
      <w:pPr>
        <w:spacing w:line="500" w:lineRule="exact"/>
        <w:ind w:firstLine="420" w:firstLineChars="200"/>
        <w:rPr>
          <w:rFonts w:ascii="宋体" w:hAnsi="宋体" w:eastAsia="宋体" w:cs="Times New Roman"/>
        </w:rPr>
      </w:pPr>
      <w:r>
        <w:rPr>
          <w:rFonts w:ascii="宋体" w:hAnsi="宋体" w:eastAsia="宋体" w:cs="宋体"/>
        </w:rPr>
        <w:t>7</w:t>
      </w:r>
      <w:r>
        <w:rPr>
          <w:rFonts w:hint="eastAsia" w:ascii="宋体" w:hAnsi="宋体" w:eastAsia="宋体" w:cs="宋体"/>
        </w:rPr>
        <w:t>）响应文件中的文件资料因填写不齐全或者内容虚假或者出现其他情形而导致被磋商小组认定无效；</w:t>
      </w:r>
    </w:p>
    <w:p w14:paraId="323D0E75">
      <w:pPr>
        <w:spacing w:line="500" w:lineRule="exact"/>
        <w:ind w:firstLine="420" w:firstLineChars="200"/>
        <w:rPr>
          <w:rFonts w:ascii="宋体" w:hAnsi="宋体" w:eastAsia="宋体" w:cs="Times New Roman"/>
        </w:rPr>
      </w:pPr>
      <w:r>
        <w:rPr>
          <w:rFonts w:ascii="宋体" w:hAnsi="宋体" w:eastAsia="宋体" w:cs="宋体"/>
        </w:rPr>
        <w:t>8</w:t>
      </w:r>
      <w:r>
        <w:rPr>
          <w:rFonts w:hint="eastAsia" w:ascii="宋体" w:hAnsi="宋体" w:eastAsia="宋体" w:cs="宋体"/>
        </w:rPr>
        <w:t>）响应文件含有采购人不能接受的附加条件；</w:t>
      </w:r>
    </w:p>
    <w:p w14:paraId="54C92ECC">
      <w:pPr>
        <w:spacing w:line="500" w:lineRule="exact"/>
        <w:ind w:firstLine="420" w:firstLineChars="200"/>
        <w:rPr>
          <w:rFonts w:ascii="宋体" w:hAnsi="宋体" w:eastAsia="宋体" w:cs="Times New Roman"/>
        </w:rPr>
      </w:pPr>
      <w:r>
        <w:rPr>
          <w:rFonts w:ascii="宋体" w:hAnsi="宋体" w:eastAsia="宋体" w:cs="宋体"/>
        </w:rPr>
        <w:t>9</w:t>
      </w:r>
      <w:r>
        <w:rPr>
          <w:rFonts w:hint="eastAsia" w:ascii="宋体" w:hAnsi="宋体" w:eastAsia="宋体" w:cs="宋体"/>
        </w:rPr>
        <w:t>）属于“供应商须知正文”第</w:t>
      </w:r>
      <w:r>
        <w:rPr>
          <w:rFonts w:ascii="宋体" w:hAnsi="宋体" w:eastAsia="宋体" w:cs="宋体"/>
        </w:rPr>
        <w:t>7.5</w:t>
      </w:r>
      <w:r>
        <w:rPr>
          <w:rFonts w:hint="eastAsia" w:ascii="宋体" w:hAnsi="宋体" w:eastAsia="宋体" w:cs="宋体"/>
        </w:rPr>
        <w:t>条情形；</w:t>
      </w:r>
    </w:p>
    <w:p w14:paraId="113074AC">
      <w:pPr>
        <w:spacing w:line="500" w:lineRule="exact"/>
        <w:ind w:firstLine="420" w:firstLineChars="200"/>
        <w:rPr>
          <w:rFonts w:ascii="宋体" w:hAnsi="宋体" w:eastAsia="宋体" w:cs="Times New Roman"/>
        </w:rPr>
      </w:pPr>
      <w:r>
        <w:rPr>
          <w:rFonts w:ascii="宋体" w:hAnsi="宋体" w:eastAsia="宋体" w:cs="宋体"/>
        </w:rPr>
        <w:t>10</w:t>
      </w:r>
      <w:r>
        <w:rPr>
          <w:rFonts w:hint="eastAsia" w:ascii="宋体" w:hAnsi="宋体" w:eastAsia="宋体" w:cs="宋体"/>
        </w:rPr>
        <w:t>）技术需求允许负偏离的条款数超过“供应商须知前附表”规定项数；</w:t>
      </w:r>
    </w:p>
    <w:p w14:paraId="5104E481">
      <w:pPr>
        <w:spacing w:line="500" w:lineRule="exact"/>
        <w:ind w:firstLine="420" w:firstLineChars="200"/>
        <w:rPr>
          <w:rFonts w:ascii="宋体" w:hAnsi="宋体" w:eastAsia="宋体" w:cs="Times New Roman"/>
        </w:rPr>
      </w:pPr>
      <w:r>
        <w:rPr>
          <w:rFonts w:ascii="宋体" w:hAnsi="宋体" w:eastAsia="宋体" w:cs="宋体"/>
        </w:rPr>
        <w:t>11</w:t>
      </w:r>
      <w:r>
        <w:rPr>
          <w:rFonts w:hint="eastAsia" w:ascii="宋体" w:hAnsi="宋体" w:eastAsia="宋体" w:cs="宋体"/>
        </w:rPr>
        <w:t>）虚假竞标，或者出现其他情形而导致被磋商小组认定无效；</w:t>
      </w:r>
    </w:p>
    <w:p w14:paraId="243184ED">
      <w:pPr>
        <w:spacing w:line="500" w:lineRule="exact"/>
        <w:ind w:firstLine="420" w:firstLineChars="200"/>
        <w:rPr>
          <w:rFonts w:ascii="宋体" w:hAnsi="宋体" w:eastAsia="宋体" w:cs="Times New Roman"/>
        </w:rPr>
      </w:pPr>
      <w:r>
        <w:rPr>
          <w:rFonts w:ascii="宋体" w:hAnsi="宋体" w:eastAsia="宋体" w:cs="宋体"/>
        </w:rPr>
        <w:t>12</w:t>
      </w:r>
      <w:r>
        <w:rPr>
          <w:rFonts w:hint="eastAsia" w:ascii="宋体" w:hAnsi="宋体" w:eastAsia="宋体" w:cs="宋体"/>
        </w:rPr>
        <w:t>）竞标技术方案不明确，磋商文件未允许但响应文件中存在一个或者一个以上备选（替代）竞标方案；</w:t>
      </w:r>
    </w:p>
    <w:p w14:paraId="6E84C5B4">
      <w:pPr>
        <w:spacing w:line="500" w:lineRule="exact"/>
        <w:ind w:firstLine="420" w:firstLineChars="200"/>
        <w:rPr>
          <w:rFonts w:ascii="宋体" w:hAnsi="宋体" w:eastAsia="宋体" w:cs="Times New Roman"/>
        </w:rPr>
      </w:pPr>
      <w:r>
        <w:rPr>
          <w:rFonts w:ascii="宋体" w:hAnsi="宋体" w:eastAsia="宋体" w:cs="宋体"/>
        </w:rPr>
        <w:t>13</w:t>
      </w:r>
      <w:r>
        <w:rPr>
          <w:rFonts w:hint="eastAsia" w:ascii="宋体" w:hAnsi="宋体" w:eastAsia="宋体" w:cs="宋体"/>
        </w:rPr>
        <w:t>）响应文件标注的项目名称或者项目编号与竞争性磋商文件标注的项目名称或者项目编号不一致的；</w:t>
      </w:r>
    </w:p>
    <w:p w14:paraId="214A45E5">
      <w:pPr>
        <w:spacing w:line="500" w:lineRule="exact"/>
        <w:ind w:firstLine="420" w:firstLineChars="200"/>
        <w:rPr>
          <w:rFonts w:ascii="宋体" w:hAnsi="宋体" w:eastAsia="宋体" w:cs="Times New Roman"/>
        </w:rPr>
      </w:pPr>
      <w:r>
        <w:rPr>
          <w:rFonts w:ascii="宋体" w:hAnsi="宋体" w:eastAsia="宋体" w:cs="宋体"/>
        </w:rPr>
        <w:t>14</w:t>
      </w:r>
      <w:r>
        <w:rPr>
          <w:rFonts w:hint="eastAsia" w:ascii="宋体" w:hAnsi="宋体" w:eastAsia="宋体" w:cs="宋体"/>
        </w:rPr>
        <w:t>）未响应磋商文件实质性要求；</w:t>
      </w:r>
    </w:p>
    <w:p w14:paraId="58BF4331">
      <w:pPr>
        <w:spacing w:line="500" w:lineRule="exact"/>
        <w:ind w:firstLine="420" w:firstLineChars="200"/>
        <w:rPr>
          <w:rFonts w:ascii="宋体" w:hAnsi="宋体" w:eastAsia="宋体" w:cs="Times New Roman"/>
        </w:rPr>
      </w:pPr>
      <w:r>
        <w:rPr>
          <w:rFonts w:ascii="宋体" w:hAnsi="宋体" w:eastAsia="宋体" w:cs="宋体"/>
        </w:rPr>
        <w:t>15</w:t>
      </w:r>
      <w:r>
        <w:rPr>
          <w:rFonts w:hint="eastAsia" w:ascii="宋体" w:hAnsi="宋体" w:eastAsia="宋体" w:cs="宋体"/>
        </w:rPr>
        <w:t>）法律、法规和磋商文件规定的其他无效情形。</w:t>
      </w:r>
    </w:p>
    <w:p w14:paraId="1384D884">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）报价评审</w:t>
      </w:r>
    </w:p>
    <w:p w14:paraId="0F7B5762">
      <w:pPr>
        <w:spacing w:line="500" w:lineRule="exact"/>
        <w:ind w:firstLine="420" w:firstLineChars="200"/>
        <w:rPr>
          <w:rFonts w:ascii="宋体" w:hAnsi="宋体" w:eastAsia="宋体" w:cs="Times New Roman"/>
        </w:rPr>
      </w:pPr>
      <w:r>
        <w:rPr>
          <w:rFonts w:ascii="宋体" w:hAnsi="宋体" w:eastAsia="宋体" w:cs="宋体"/>
        </w:rPr>
        <w:t xml:space="preserve">1) </w:t>
      </w:r>
      <w:r>
        <w:rPr>
          <w:rFonts w:hint="eastAsia" w:ascii="宋体" w:hAnsi="宋体" w:eastAsia="宋体" w:cs="宋体"/>
        </w:rPr>
        <w:t>响应文件未提供“供应商须知前附表”</w:t>
      </w:r>
      <w:r>
        <w:rPr>
          <w:rFonts w:ascii="宋体" w:hAnsi="宋体" w:eastAsia="宋体" w:cs="宋体"/>
        </w:rPr>
        <w:t xml:space="preserve"> </w:t>
      </w:r>
      <w:r>
        <w:rPr>
          <w:rFonts w:hint="eastAsia" w:ascii="宋体" w:hAnsi="宋体" w:eastAsia="宋体" w:cs="宋体"/>
        </w:rPr>
        <w:t>报价文件中规定的“响应报价表”；</w:t>
      </w:r>
    </w:p>
    <w:p w14:paraId="49DBA28F">
      <w:pPr>
        <w:spacing w:line="500" w:lineRule="exact"/>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）未采用人民币报价或者未按照磋商文件标明的币种报价；</w:t>
      </w:r>
    </w:p>
    <w:p w14:paraId="08BBA101">
      <w:pPr>
        <w:spacing w:line="500" w:lineRule="exact"/>
        <w:ind w:firstLine="420" w:firstLineChars="200"/>
        <w:rPr>
          <w:rFonts w:ascii="宋体" w:hAnsi="宋体" w:eastAsia="宋体" w:cs="Times New Roman"/>
        </w:rPr>
      </w:pPr>
      <w:r>
        <w:rPr>
          <w:rFonts w:ascii="宋体" w:hAnsi="宋体" w:eastAsia="宋体" w:cs="宋体"/>
        </w:rPr>
        <w:t>3</w:t>
      </w:r>
      <w:r>
        <w:rPr>
          <w:rFonts w:hint="eastAsia" w:ascii="宋体" w:hAnsi="宋体" w:eastAsia="宋体" w:cs="宋体"/>
        </w:rPr>
        <w:t>）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0E8E60">
      <w:pPr>
        <w:spacing w:line="500" w:lineRule="exact"/>
        <w:ind w:firstLine="420" w:firstLineChars="200"/>
        <w:rPr>
          <w:rFonts w:ascii="宋体" w:hAnsi="宋体" w:eastAsia="宋体" w:cs="Times New Roman"/>
        </w:rPr>
      </w:pPr>
      <w:r>
        <w:rPr>
          <w:rFonts w:ascii="宋体" w:hAnsi="宋体" w:eastAsia="宋体" w:cs="宋体"/>
        </w:rPr>
        <w:t>4</w:t>
      </w:r>
      <w:r>
        <w:rPr>
          <w:rFonts w:hint="eastAsia" w:ascii="宋体" w:hAnsi="宋体" w:eastAsia="宋体" w:cs="宋体"/>
        </w:rPr>
        <w:t>）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F0250FF">
      <w:pPr>
        <w:spacing w:line="500" w:lineRule="exact"/>
        <w:ind w:firstLine="420" w:firstLineChars="200"/>
        <w:rPr>
          <w:rFonts w:ascii="宋体" w:hAnsi="宋体" w:eastAsia="宋体" w:cs="Times New Roman"/>
        </w:rPr>
      </w:pPr>
      <w:r>
        <w:rPr>
          <w:rFonts w:ascii="宋体" w:hAnsi="宋体" w:eastAsia="宋体" w:cs="宋体"/>
        </w:rPr>
        <w:t>5</w:t>
      </w:r>
      <w:r>
        <w:rPr>
          <w:rFonts w:hint="eastAsia" w:ascii="宋体" w:hAnsi="宋体" w:eastAsia="宋体" w:cs="宋体"/>
        </w:rPr>
        <w:t>）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E6599E6">
      <w:pPr>
        <w:spacing w:line="500" w:lineRule="exact"/>
        <w:ind w:firstLine="420" w:firstLineChars="200"/>
        <w:rPr>
          <w:rFonts w:ascii="宋体" w:hAnsi="宋体" w:eastAsia="宋体" w:cs="Times New Roman"/>
        </w:rPr>
      </w:pPr>
      <w:r>
        <w:rPr>
          <w:rFonts w:ascii="宋体" w:hAnsi="宋体" w:eastAsia="宋体" w:cs="宋体"/>
        </w:rPr>
        <w:t>6</w:t>
      </w:r>
      <w:r>
        <w:rPr>
          <w:rFonts w:hint="eastAsia" w:ascii="宋体" w:hAnsi="宋体" w:eastAsia="宋体" w:cs="宋体"/>
        </w:rPr>
        <w:t>）在单价合同工程中供应商采用总价优惠或以总价百分比优惠的方式进行竞标报价的；</w:t>
      </w:r>
    </w:p>
    <w:p w14:paraId="006A182D">
      <w:pPr>
        <w:spacing w:line="500" w:lineRule="exact"/>
        <w:ind w:firstLine="420" w:firstLineChars="200"/>
        <w:rPr>
          <w:rFonts w:ascii="宋体" w:hAnsi="宋体" w:eastAsia="宋体" w:cs="Times New Roman"/>
        </w:rPr>
      </w:pPr>
      <w:r>
        <w:rPr>
          <w:rFonts w:ascii="宋体" w:hAnsi="宋体" w:eastAsia="宋体" w:cs="宋体"/>
        </w:rPr>
        <w:t>7</w:t>
      </w:r>
      <w:r>
        <w:rPr>
          <w:rFonts w:hint="eastAsia" w:ascii="宋体" w:hAnsi="宋体" w:eastAsia="宋体" w:cs="宋体"/>
        </w:rPr>
        <w:t>）响应总报价与已标价工程量清单汇总表不一致的；</w:t>
      </w:r>
    </w:p>
    <w:p w14:paraId="00180A26">
      <w:pPr>
        <w:spacing w:line="500" w:lineRule="exact"/>
        <w:ind w:firstLine="420" w:firstLineChars="200"/>
        <w:rPr>
          <w:rFonts w:ascii="宋体" w:hAnsi="宋体" w:eastAsia="宋体" w:cs="Times New Roman"/>
        </w:rPr>
      </w:pPr>
      <w:r>
        <w:rPr>
          <w:rFonts w:ascii="宋体" w:hAnsi="宋体" w:eastAsia="宋体" w:cs="宋体"/>
        </w:rPr>
        <w:t>8</w:t>
      </w:r>
      <w:r>
        <w:rPr>
          <w:rFonts w:hint="eastAsia" w:ascii="宋体" w:hAnsi="宋体" w:eastAsia="宋体" w:cs="宋体"/>
        </w:rPr>
        <w:t>）安全文明施工费和规费、增值税不按广西区费用定额及造价管理相关文件规定报价的（园林绿化及仿古建筑工程除外）；（注：适用于房屋建筑和市政工程项目，其他类型项目时请删除该条款并调整序号）</w:t>
      </w:r>
    </w:p>
    <w:p w14:paraId="768BA2B8">
      <w:pPr>
        <w:spacing w:line="500" w:lineRule="exact"/>
        <w:ind w:firstLine="420" w:firstLineChars="200"/>
        <w:rPr>
          <w:rFonts w:ascii="宋体" w:hAnsi="宋体" w:eastAsia="宋体" w:cs="Times New Roman"/>
        </w:rPr>
      </w:pPr>
      <w:r>
        <w:rPr>
          <w:rFonts w:ascii="宋体" w:hAnsi="宋体" w:eastAsia="宋体" w:cs="宋体"/>
        </w:rPr>
        <w:t>9</w:t>
      </w:r>
      <w:r>
        <w:rPr>
          <w:rFonts w:hint="eastAsia" w:ascii="宋体" w:hAnsi="宋体" w:eastAsia="宋体" w:cs="宋体"/>
        </w:rPr>
        <w:t>）供应商已标价工程量清单的项目编码（</w:t>
      </w:r>
      <w:r>
        <w:rPr>
          <w:rFonts w:ascii="宋体" w:hAnsi="宋体" w:eastAsia="宋体" w:cs="宋体"/>
        </w:rPr>
        <w:t>12</w:t>
      </w:r>
      <w:r>
        <w:rPr>
          <w:rFonts w:hint="eastAsia" w:ascii="宋体" w:hAnsi="宋体" w:eastAsia="宋体" w:cs="宋体"/>
        </w:rPr>
        <w:t>位）、计量单位、工程量任何一处与工程量清单不一致的；</w:t>
      </w:r>
    </w:p>
    <w:p w14:paraId="04C46133">
      <w:pPr>
        <w:spacing w:line="500" w:lineRule="exact"/>
        <w:ind w:firstLine="420" w:firstLineChars="200"/>
        <w:rPr>
          <w:rFonts w:ascii="宋体" w:hAnsi="宋体" w:eastAsia="宋体" w:cs="Times New Roman"/>
        </w:rPr>
      </w:pPr>
      <w:r>
        <w:rPr>
          <w:rFonts w:ascii="宋体" w:hAnsi="宋体" w:eastAsia="宋体" w:cs="宋体"/>
        </w:rPr>
        <w:t>10</w:t>
      </w:r>
      <w:r>
        <w:rPr>
          <w:rFonts w:hint="eastAsia" w:ascii="宋体" w:hAnsi="宋体" w:eastAsia="宋体" w:cs="宋体"/>
        </w:rPr>
        <w:t>）供应商已标价工程量清单的项目名称或项目特征与工程量清单不一致，磋商小组要求澄清、说明或补正，但供应商拒绝澄清、说明或补正的；</w:t>
      </w:r>
    </w:p>
    <w:p w14:paraId="34FF1A41">
      <w:pPr>
        <w:spacing w:line="500" w:lineRule="exact"/>
        <w:ind w:firstLine="420" w:firstLineChars="200"/>
        <w:rPr>
          <w:rFonts w:ascii="宋体" w:hAnsi="宋体" w:eastAsia="宋体" w:cs="Times New Roman"/>
        </w:rPr>
      </w:pPr>
      <w:r>
        <w:rPr>
          <w:rFonts w:ascii="宋体" w:hAnsi="宋体" w:eastAsia="宋体" w:cs="宋体"/>
        </w:rPr>
        <w:t>11</w:t>
      </w:r>
      <w:r>
        <w:rPr>
          <w:rFonts w:hint="eastAsia" w:ascii="宋体" w:hAnsi="宋体" w:eastAsia="宋体" w:cs="宋体"/>
        </w:rPr>
        <w:t>）设有暂估价、暂列金额的，竞标时未按工程量清单给出的暂估价总价、暂列金额总价计入竞标总报价中的；</w:t>
      </w:r>
    </w:p>
    <w:p w14:paraId="5395E2AD">
      <w:pPr>
        <w:spacing w:line="500" w:lineRule="exact"/>
        <w:ind w:firstLine="420" w:firstLineChars="200"/>
        <w:rPr>
          <w:rFonts w:ascii="宋体" w:hAnsi="宋体" w:eastAsia="宋体" w:cs="Times New Roman"/>
        </w:rPr>
      </w:pPr>
      <w:r>
        <w:rPr>
          <w:rFonts w:ascii="宋体" w:hAnsi="宋体" w:eastAsia="宋体" w:cs="宋体"/>
        </w:rPr>
        <w:t>12</w:t>
      </w:r>
      <w:r>
        <w:rPr>
          <w:rFonts w:hint="eastAsia" w:ascii="宋体" w:hAnsi="宋体" w:eastAsia="宋体" w:cs="宋体"/>
        </w:rPr>
        <w:t>）供应商对工程量清单内容进行增减或对竞标范围进行调整的；</w:t>
      </w:r>
    </w:p>
    <w:p w14:paraId="4A468FAC">
      <w:pPr>
        <w:spacing w:line="500" w:lineRule="exact"/>
        <w:ind w:firstLine="420" w:firstLineChars="200"/>
        <w:rPr>
          <w:rFonts w:ascii="宋体" w:hAnsi="宋体" w:eastAsia="宋体" w:cs="Times New Roman"/>
        </w:rPr>
      </w:pPr>
      <w:r>
        <w:rPr>
          <w:rFonts w:ascii="宋体" w:hAnsi="宋体" w:eastAsia="宋体" w:cs="宋体"/>
        </w:rPr>
        <w:t>13</w:t>
      </w:r>
      <w:r>
        <w:rPr>
          <w:rFonts w:hint="eastAsia" w:ascii="宋体" w:hAnsi="宋体" w:eastAsia="宋体" w:cs="宋体"/>
        </w:rPr>
        <w:t>）响应文件响应的标的数量及单位与竞争性磋商采购文件要求实质性不一致的；</w:t>
      </w:r>
    </w:p>
    <w:p w14:paraId="7A6A2535">
      <w:pPr>
        <w:spacing w:line="500" w:lineRule="exact"/>
        <w:ind w:firstLine="420" w:firstLineChars="200"/>
        <w:rPr>
          <w:rFonts w:ascii="宋体" w:hAnsi="宋体" w:eastAsia="宋体" w:cs="Times New Roman"/>
        </w:rPr>
      </w:pPr>
      <w:r>
        <w:rPr>
          <w:rFonts w:ascii="宋体" w:hAnsi="宋体" w:eastAsia="宋体" w:cs="宋体"/>
        </w:rPr>
        <w:t>14</w:t>
      </w:r>
      <w:r>
        <w:rPr>
          <w:rFonts w:hint="eastAsia" w:ascii="宋体" w:hAnsi="宋体" w:eastAsia="宋体" w:cs="宋体"/>
        </w:rPr>
        <w:t>）磋商小组启动异常低价响应审查后，供应商不能提供书面说明、证明材料，或者提供的书面说明、证明材料不能证明其报价合理性的；</w:t>
      </w:r>
    </w:p>
    <w:p w14:paraId="1E2EE740">
      <w:pPr>
        <w:spacing w:line="500" w:lineRule="exact"/>
        <w:ind w:firstLine="420" w:firstLineChars="200"/>
        <w:rPr>
          <w:rFonts w:ascii="宋体" w:hAnsi="宋体" w:eastAsia="宋体" w:cs="Times New Roman"/>
        </w:rPr>
      </w:pPr>
      <w:r>
        <w:rPr>
          <w:rFonts w:ascii="宋体" w:hAnsi="宋体" w:eastAsia="宋体" w:cs="宋体"/>
        </w:rPr>
        <w:t>15</w:t>
      </w:r>
      <w:r>
        <w:rPr>
          <w:rFonts w:hint="eastAsia" w:ascii="宋体" w:hAnsi="宋体" w:eastAsia="宋体" w:cs="宋体"/>
        </w:rPr>
        <w:t>）未响应磋商文件实质性要求的。</w:t>
      </w:r>
    </w:p>
    <w:p w14:paraId="253A94AB">
      <w:pPr>
        <w:spacing w:line="500" w:lineRule="exact"/>
        <w:ind w:firstLine="420" w:firstLineChars="200"/>
        <w:rPr>
          <w:rFonts w:ascii="宋体" w:hAnsi="宋体" w:eastAsia="宋体" w:cs="Times New Roman"/>
        </w:rPr>
      </w:pPr>
      <w:r>
        <w:rPr>
          <w:rFonts w:ascii="宋体" w:hAnsi="宋体" w:eastAsia="宋体" w:cs="宋体"/>
        </w:rPr>
        <w:t>3.6</w:t>
      </w:r>
      <w:r>
        <w:rPr>
          <w:rFonts w:hint="eastAsia" w:ascii="宋体" w:hAnsi="宋体" w:eastAsia="宋体" w:cs="宋体"/>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w:t>
      </w:r>
      <w:r>
        <w:rPr>
          <w:rFonts w:ascii="宋体" w:hAnsi="宋体" w:eastAsia="宋体" w:cs="宋体"/>
        </w:rPr>
        <w:t>3</w:t>
      </w:r>
      <w:r>
        <w:rPr>
          <w:rFonts w:hint="eastAsia" w:ascii="宋体" w:hAnsi="宋体" w:eastAsia="宋体" w:cs="宋体"/>
        </w:rPr>
        <w:t>家的供应商参加磋商。</w:t>
      </w:r>
    </w:p>
    <w:p w14:paraId="562BCB0E">
      <w:pPr>
        <w:spacing w:line="500" w:lineRule="exact"/>
        <w:ind w:firstLine="420" w:firstLineChars="200"/>
        <w:rPr>
          <w:rFonts w:ascii="宋体" w:hAnsi="宋体" w:eastAsia="宋体" w:cs="Times New Roman"/>
        </w:rPr>
      </w:pPr>
      <w:r>
        <w:rPr>
          <w:rFonts w:ascii="宋体" w:hAnsi="宋体" w:eastAsia="宋体" w:cs="宋体"/>
        </w:rPr>
        <w:t>3.7</w:t>
      </w:r>
      <w:r>
        <w:rPr>
          <w:rFonts w:hint="eastAsia" w:ascii="宋体" w:hAnsi="宋体" w:eastAsia="宋体" w:cs="宋体"/>
        </w:rPr>
        <w:t>非政府购买服务项目，通过符合性审查的合格供应商不足</w:t>
      </w:r>
      <w:r>
        <w:rPr>
          <w:rFonts w:ascii="宋体" w:hAnsi="宋体" w:eastAsia="宋体" w:cs="宋体"/>
        </w:rPr>
        <w:t>3</w:t>
      </w:r>
      <w:r>
        <w:rPr>
          <w:rFonts w:hint="eastAsia" w:ascii="宋体" w:hAnsi="宋体" w:eastAsia="宋体" w:cs="宋体"/>
        </w:rPr>
        <w:t>家的，不得进入磋商环节，采购人或者采购代理机构应当重新开展采购活动。政府购买服务项目，按《财政部关于政府采购竞争性磋商采购方式管理暂行办法有关问题的补充通知》（财库〔</w:t>
      </w:r>
      <w:r>
        <w:rPr>
          <w:rFonts w:ascii="宋体" w:hAnsi="宋体" w:eastAsia="宋体" w:cs="宋体"/>
        </w:rPr>
        <w:t>2015</w:t>
      </w:r>
      <w:r>
        <w:rPr>
          <w:rFonts w:hint="eastAsia" w:ascii="宋体" w:hAnsi="宋体" w:eastAsia="宋体" w:cs="宋体"/>
        </w:rPr>
        <w:t>〕</w:t>
      </w:r>
      <w:r>
        <w:rPr>
          <w:rFonts w:ascii="宋体" w:hAnsi="宋体" w:eastAsia="宋体" w:cs="宋体"/>
        </w:rPr>
        <w:t>124</w:t>
      </w:r>
      <w:r>
        <w:rPr>
          <w:rFonts w:hint="eastAsia" w:ascii="宋体" w:hAnsi="宋体" w:eastAsia="宋体" w:cs="宋体"/>
        </w:rPr>
        <w:t>号）规定，采购过程中通过符合性审查的供应商（社会资本）只有</w:t>
      </w:r>
      <w:r>
        <w:rPr>
          <w:rFonts w:ascii="宋体" w:hAnsi="宋体" w:eastAsia="宋体" w:cs="宋体"/>
        </w:rPr>
        <w:t>2</w:t>
      </w:r>
      <w:r>
        <w:rPr>
          <w:rFonts w:hint="eastAsia" w:ascii="宋体" w:hAnsi="宋体" w:eastAsia="宋体" w:cs="宋体"/>
        </w:rPr>
        <w:t>家的，磋商采购活动可以继续进行。</w:t>
      </w:r>
    </w:p>
    <w:p w14:paraId="60782350">
      <w:pPr>
        <w:spacing w:line="500" w:lineRule="exact"/>
        <w:ind w:firstLine="413" w:firstLineChars="196"/>
        <w:rPr>
          <w:rFonts w:ascii="宋体" w:hAnsi="宋体" w:eastAsia="宋体" w:cs="Times New Roman"/>
          <w:b/>
          <w:bCs/>
        </w:rPr>
      </w:pPr>
      <w:r>
        <w:rPr>
          <w:rFonts w:ascii="宋体" w:hAnsi="宋体" w:eastAsia="宋体" w:cs="宋体"/>
          <w:b/>
          <w:bCs/>
        </w:rPr>
        <w:t>4.</w:t>
      </w:r>
      <w:r>
        <w:rPr>
          <w:rFonts w:hint="eastAsia" w:ascii="宋体" w:hAnsi="宋体" w:eastAsia="宋体" w:cs="宋体"/>
          <w:b/>
          <w:bCs/>
        </w:rPr>
        <w:t>磋商程序</w:t>
      </w:r>
    </w:p>
    <w:p w14:paraId="2329A36C">
      <w:pPr>
        <w:spacing w:line="500" w:lineRule="exact"/>
        <w:ind w:firstLine="420" w:firstLineChars="200"/>
        <w:rPr>
          <w:rFonts w:ascii="宋体" w:hAnsi="宋体" w:eastAsia="宋体" w:cs="Times New Roman"/>
          <w:kern w:val="0"/>
        </w:rPr>
      </w:pPr>
      <w:r>
        <w:rPr>
          <w:rFonts w:ascii="宋体" w:hAnsi="宋体" w:eastAsia="宋体" w:cs="宋体"/>
          <w:kern w:val="0"/>
        </w:rPr>
        <w:t>4.1</w:t>
      </w:r>
      <w:r>
        <w:rPr>
          <w:rFonts w:hint="eastAsia" w:ascii="宋体" w:hAnsi="宋体" w:eastAsia="宋体" w:cs="宋体"/>
          <w:kern w:val="0"/>
        </w:rPr>
        <w:t>磋商小组按照“供应商须知前附表”确定的</w:t>
      </w:r>
      <w:r>
        <w:rPr>
          <w:rFonts w:hint="eastAsia" w:ascii="宋体" w:hAnsi="宋体" w:eastAsia="宋体" w:cs="宋体"/>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C854890">
      <w:pPr>
        <w:spacing w:line="500" w:lineRule="exact"/>
        <w:ind w:firstLine="420" w:firstLineChars="200"/>
        <w:rPr>
          <w:rFonts w:ascii="宋体" w:hAnsi="宋体" w:eastAsia="宋体" w:cs="Times New Roman"/>
        </w:rPr>
      </w:pPr>
      <w:r>
        <w:rPr>
          <w:rFonts w:ascii="宋体" w:hAnsi="宋体" w:eastAsia="宋体" w:cs="宋体"/>
        </w:rPr>
        <w:t>4.2</w:t>
      </w:r>
      <w:r>
        <w:rPr>
          <w:rFonts w:hint="eastAsia" w:ascii="宋体" w:hAnsi="宋体" w:eastAsia="宋体" w:cs="宋体"/>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CB3809A">
      <w:pPr>
        <w:spacing w:line="500" w:lineRule="exact"/>
        <w:ind w:firstLine="420" w:firstLineChars="200"/>
        <w:rPr>
          <w:rFonts w:ascii="宋体" w:hAnsi="宋体" w:eastAsia="宋体" w:cs="Times New Roman"/>
        </w:rPr>
      </w:pPr>
      <w:r>
        <w:rPr>
          <w:rFonts w:ascii="宋体" w:hAnsi="宋体" w:eastAsia="宋体" w:cs="宋体"/>
        </w:rPr>
        <w:t>4.3</w:t>
      </w:r>
      <w:r>
        <w:rPr>
          <w:rFonts w:hint="eastAsia" w:ascii="宋体" w:hAnsi="宋体" w:eastAsia="宋体" w:cs="宋体"/>
        </w:rPr>
        <w:t>对磋商文件作出的实质性变动是磋商文件的有效组成部分，由磋商小组及时以电子澄清函形式同时通知所有参加磋商的供应商。</w:t>
      </w:r>
    </w:p>
    <w:p w14:paraId="3717F3A2">
      <w:pPr>
        <w:spacing w:line="500" w:lineRule="exact"/>
        <w:ind w:firstLine="420" w:firstLineChars="200"/>
        <w:rPr>
          <w:rFonts w:ascii="宋体" w:hAnsi="宋体" w:eastAsia="宋体" w:cs="Times New Roman"/>
        </w:rPr>
      </w:pPr>
      <w:r>
        <w:rPr>
          <w:rFonts w:ascii="宋体" w:hAnsi="宋体" w:eastAsia="宋体" w:cs="宋体"/>
        </w:rPr>
        <w:t>4.4</w:t>
      </w:r>
      <w:r>
        <w:rPr>
          <w:rFonts w:hint="eastAsia" w:ascii="宋体" w:hAnsi="宋体" w:eastAsia="宋体" w:cs="宋体"/>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12B110A">
      <w:pPr>
        <w:spacing w:line="500" w:lineRule="exact"/>
        <w:ind w:firstLine="420" w:firstLineChars="200"/>
        <w:rPr>
          <w:rFonts w:ascii="宋体" w:hAnsi="宋体" w:eastAsia="宋体" w:cs="Times New Roman"/>
        </w:rPr>
      </w:pPr>
      <w:r>
        <w:rPr>
          <w:rFonts w:ascii="宋体" w:hAnsi="宋体" w:eastAsia="宋体" w:cs="宋体"/>
        </w:rPr>
        <w:t>4.5</w:t>
      </w:r>
      <w:r>
        <w:rPr>
          <w:rFonts w:hint="eastAsia" w:ascii="宋体" w:hAnsi="宋体" w:eastAsia="宋体" w:cs="宋体"/>
        </w:rPr>
        <w:t>磋商中，</w:t>
      </w:r>
      <w:r>
        <w:rPr>
          <w:rFonts w:hint="eastAsia" w:ascii="宋体" w:hAnsi="宋体" w:eastAsia="宋体" w:cs="宋体"/>
          <w:spacing w:val="-6"/>
        </w:rPr>
        <w:t>磋商的任何一方不得透露与磋商有关的其他供应商的技术资料、价格和其他信息。</w:t>
      </w:r>
    </w:p>
    <w:p w14:paraId="517CD17C">
      <w:pPr>
        <w:widowControl/>
        <w:tabs>
          <w:tab w:val="left" w:pos="540"/>
        </w:tabs>
        <w:spacing w:line="500" w:lineRule="exact"/>
        <w:ind w:firstLine="420" w:firstLineChars="200"/>
        <w:jc w:val="left"/>
        <w:rPr>
          <w:rFonts w:ascii="宋体" w:hAnsi="宋体" w:eastAsia="宋体" w:cs="Times New Roman"/>
          <w:b/>
          <w:bCs/>
        </w:rPr>
      </w:pPr>
      <w:r>
        <w:rPr>
          <w:rFonts w:ascii="宋体" w:hAnsi="宋体" w:eastAsia="宋体" w:cs="宋体"/>
        </w:rPr>
        <w:t>4.6</w:t>
      </w:r>
      <w:r>
        <w:rPr>
          <w:rFonts w:hint="eastAsia" w:ascii="宋体" w:hAnsi="宋体" w:eastAsia="宋体" w:cs="宋体"/>
        </w:rPr>
        <w:t>磋商小组应对磋商过程和重要磋商内容进行记录，作为评标报告一部分，磋商小组在记录上签字确认。</w:t>
      </w:r>
      <w:r>
        <w:rPr>
          <w:rFonts w:hint="eastAsia" w:ascii="宋体" w:hAnsi="宋体" w:eastAsia="宋体" w:cs="宋体"/>
          <w:b/>
          <w:bCs/>
        </w:rPr>
        <w:t>主要内容包括：</w:t>
      </w:r>
    </w:p>
    <w:p w14:paraId="790BD440">
      <w:pPr>
        <w:pStyle w:val="132"/>
        <w:spacing w:before="0" w:line="500" w:lineRule="exact"/>
        <w:ind w:firstLine="297" w:firstLineChars="150"/>
        <w:rPr>
          <w:rFonts w:ascii="宋体"/>
          <w:spacing w:val="-6"/>
          <w:sz w:val="21"/>
          <w:szCs w:val="21"/>
        </w:rPr>
      </w:pPr>
      <w:r>
        <w:rPr>
          <w:rFonts w:hint="eastAsia" w:ascii="宋体" w:hAnsi="宋体" w:cs="宋体"/>
          <w:spacing w:val="-6"/>
          <w:sz w:val="21"/>
          <w:szCs w:val="21"/>
        </w:rPr>
        <w:t>（</w:t>
      </w:r>
      <w:r>
        <w:rPr>
          <w:rFonts w:ascii="宋体" w:hAnsi="宋体" w:cs="宋体"/>
          <w:spacing w:val="-6"/>
          <w:sz w:val="21"/>
          <w:szCs w:val="21"/>
        </w:rPr>
        <w:t>1</w:t>
      </w:r>
      <w:r>
        <w:rPr>
          <w:rFonts w:hint="eastAsia" w:ascii="宋体" w:hAnsi="宋体" w:cs="宋体"/>
          <w:spacing w:val="-6"/>
          <w:sz w:val="21"/>
          <w:szCs w:val="21"/>
        </w:rPr>
        <w:t>）按照相关规定进行公示的，公示情况说明；</w:t>
      </w:r>
    </w:p>
    <w:p w14:paraId="04D546B3">
      <w:pPr>
        <w:pStyle w:val="132"/>
        <w:spacing w:before="0" w:line="500" w:lineRule="exact"/>
        <w:ind w:firstLine="297" w:firstLineChars="150"/>
        <w:rPr>
          <w:rFonts w:ascii="宋体"/>
          <w:spacing w:val="-6"/>
          <w:sz w:val="21"/>
          <w:szCs w:val="21"/>
        </w:rPr>
      </w:pPr>
      <w:r>
        <w:rPr>
          <w:rFonts w:hint="eastAsia" w:ascii="宋体" w:hAnsi="宋体" w:cs="宋体"/>
          <w:spacing w:val="-6"/>
          <w:sz w:val="21"/>
          <w:szCs w:val="21"/>
        </w:rPr>
        <w:t>（</w:t>
      </w:r>
      <w:r>
        <w:rPr>
          <w:rFonts w:ascii="宋体" w:hAnsi="宋体" w:cs="宋体"/>
          <w:spacing w:val="-6"/>
          <w:sz w:val="21"/>
          <w:szCs w:val="21"/>
        </w:rPr>
        <w:t>2</w:t>
      </w:r>
      <w:r>
        <w:rPr>
          <w:rFonts w:hint="eastAsia" w:ascii="宋体" w:hAnsi="宋体" w:cs="宋体"/>
          <w:spacing w:val="-6"/>
          <w:sz w:val="21"/>
          <w:szCs w:val="21"/>
        </w:rPr>
        <w:t>）磋商日期和地点，磋商人员名单；</w:t>
      </w:r>
    </w:p>
    <w:p w14:paraId="0BE6FFF0">
      <w:pPr>
        <w:pStyle w:val="132"/>
        <w:spacing w:before="0" w:line="500" w:lineRule="exact"/>
        <w:ind w:firstLine="297" w:firstLineChars="150"/>
        <w:rPr>
          <w:rFonts w:ascii="宋体"/>
          <w:spacing w:val="-6"/>
          <w:sz w:val="21"/>
          <w:szCs w:val="21"/>
        </w:rPr>
      </w:pPr>
      <w:r>
        <w:rPr>
          <w:rFonts w:hint="eastAsia" w:ascii="宋体" w:hAnsi="宋体" w:cs="宋体"/>
          <w:spacing w:val="-6"/>
          <w:sz w:val="21"/>
          <w:szCs w:val="21"/>
        </w:rPr>
        <w:t>（</w:t>
      </w:r>
      <w:r>
        <w:rPr>
          <w:rFonts w:ascii="宋体" w:hAnsi="宋体" w:cs="宋体"/>
          <w:spacing w:val="-6"/>
          <w:sz w:val="21"/>
          <w:szCs w:val="21"/>
        </w:rPr>
        <w:t>3</w:t>
      </w:r>
      <w:r>
        <w:rPr>
          <w:rFonts w:hint="eastAsia" w:ascii="宋体" w:hAnsi="宋体" w:cs="宋体"/>
          <w:spacing w:val="-6"/>
          <w:sz w:val="21"/>
          <w:szCs w:val="21"/>
        </w:rPr>
        <w:t>）合同主要条款及价格商定情况。</w:t>
      </w:r>
    </w:p>
    <w:p w14:paraId="2B1FAB08">
      <w:pPr>
        <w:widowControl/>
        <w:tabs>
          <w:tab w:val="left" w:pos="540"/>
        </w:tabs>
        <w:spacing w:line="500" w:lineRule="exact"/>
        <w:ind w:firstLine="420" w:firstLineChars="200"/>
        <w:jc w:val="left"/>
        <w:rPr>
          <w:rFonts w:ascii="宋体" w:hAnsi="宋体" w:eastAsia="宋体" w:cs="Times New Roman"/>
        </w:rPr>
      </w:pPr>
      <w:r>
        <w:rPr>
          <w:rFonts w:ascii="宋体" w:hAnsi="宋体" w:eastAsia="宋体" w:cs="宋体"/>
        </w:rPr>
        <w:t>4.7</w:t>
      </w:r>
      <w:r>
        <w:rPr>
          <w:rFonts w:hint="eastAsia" w:ascii="宋体" w:hAnsi="宋体" w:eastAsia="宋体" w:cs="宋体"/>
        </w:rPr>
        <w:t>磋商过程中重新提交的响应文件，供应商可以在开启前补充、修改。</w:t>
      </w:r>
    </w:p>
    <w:p w14:paraId="46A4ECAE">
      <w:pPr>
        <w:tabs>
          <w:tab w:val="left" w:pos="2835"/>
        </w:tabs>
        <w:spacing w:line="500" w:lineRule="exact"/>
        <w:ind w:firstLine="420" w:firstLineChars="200"/>
        <w:rPr>
          <w:rFonts w:ascii="宋体" w:hAnsi="宋体" w:eastAsia="宋体" w:cs="Times New Roman"/>
        </w:rPr>
      </w:pPr>
      <w:r>
        <w:rPr>
          <w:rFonts w:ascii="宋体" w:hAnsi="宋体" w:eastAsia="宋体" w:cs="宋体"/>
        </w:rPr>
        <w:t>4.8</w:t>
      </w:r>
      <w:r>
        <w:rPr>
          <w:rFonts w:hint="eastAsia" w:ascii="宋体" w:hAnsi="宋体" w:eastAsia="宋体" w:cs="宋体"/>
        </w:rPr>
        <w:t>对磋商过程提交的响应文件进行有效性、完整性和响应程度审查，通过审查的合格供应商不足</w:t>
      </w:r>
      <w:r>
        <w:rPr>
          <w:rFonts w:ascii="宋体" w:hAnsi="宋体" w:eastAsia="宋体" w:cs="宋体"/>
        </w:rPr>
        <w:t>3</w:t>
      </w:r>
      <w:r>
        <w:rPr>
          <w:rFonts w:hint="eastAsia" w:ascii="宋体" w:hAnsi="宋体" w:eastAsia="宋体" w:cs="宋体"/>
        </w:rPr>
        <w:t>家的，采购人或者采购代理机构应当重新开展采购活动。</w:t>
      </w:r>
    </w:p>
    <w:p w14:paraId="34B28419">
      <w:pPr>
        <w:spacing w:line="500" w:lineRule="exact"/>
        <w:ind w:firstLine="413" w:firstLineChars="196"/>
        <w:rPr>
          <w:rFonts w:ascii="宋体" w:hAnsi="宋体" w:eastAsia="宋体" w:cs="Times New Roman"/>
          <w:b/>
          <w:bCs/>
        </w:rPr>
      </w:pPr>
      <w:r>
        <w:rPr>
          <w:rFonts w:ascii="宋体" w:hAnsi="宋体" w:eastAsia="宋体" w:cs="宋体"/>
          <w:b/>
          <w:bCs/>
        </w:rPr>
        <w:t xml:space="preserve">5. </w:t>
      </w:r>
      <w:r>
        <w:rPr>
          <w:rFonts w:hint="eastAsia" w:ascii="宋体" w:hAnsi="宋体" w:eastAsia="宋体" w:cs="宋体"/>
          <w:b/>
          <w:bCs/>
        </w:rPr>
        <w:t>最后报价</w:t>
      </w:r>
    </w:p>
    <w:p w14:paraId="1373400C">
      <w:pPr>
        <w:spacing w:line="500" w:lineRule="exact"/>
        <w:ind w:firstLine="420" w:firstLineChars="200"/>
        <w:rPr>
          <w:rFonts w:ascii="宋体" w:hAnsi="宋体" w:eastAsia="宋体" w:cs="Times New Roman"/>
        </w:rPr>
      </w:pPr>
      <w:r>
        <w:rPr>
          <w:rFonts w:ascii="宋体" w:hAnsi="宋体" w:eastAsia="宋体" w:cs="宋体"/>
        </w:rPr>
        <w:t>5.1</w:t>
      </w:r>
      <w:r>
        <w:rPr>
          <w:rFonts w:hint="eastAsia" w:ascii="宋体" w:hAnsi="宋体" w:eastAsia="宋体" w:cs="宋体"/>
        </w:rPr>
        <w:t>磋商文件能够详细列明采购标的的技术、服务要求的，磋商结束后，由磋商小组要求所有继续参加磋商的供应商在规定时间内密封提交最后报价，除本章第</w:t>
      </w:r>
      <w:r>
        <w:rPr>
          <w:rFonts w:ascii="宋体" w:hAnsi="宋体" w:eastAsia="宋体" w:cs="宋体"/>
        </w:rPr>
        <w:t>5.3</w:t>
      </w:r>
      <w:r>
        <w:rPr>
          <w:rFonts w:hint="eastAsia" w:ascii="宋体" w:hAnsi="宋体" w:eastAsia="宋体" w:cs="宋体"/>
        </w:rPr>
        <w:t>条外，提交最后报价的供应商不得少于</w:t>
      </w:r>
      <w:r>
        <w:rPr>
          <w:rFonts w:ascii="宋体" w:hAnsi="宋体" w:eastAsia="宋体" w:cs="宋体"/>
        </w:rPr>
        <w:t>3</w:t>
      </w:r>
      <w:r>
        <w:rPr>
          <w:rFonts w:hint="eastAsia" w:ascii="宋体" w:hAnsi="宋体" w:eastAsia="宋体" w:cs="宋体"/>
        </w:rPr>
        <w:t>家，否则必须重新采购。</w:t>
      </w:r>
    </w:p>
    <w:p w14:paraId="44FC2D54">
      <w:pPr>
        <w:spacing w:line="500" w:lineRule="exact"/>
        <w:ind w:firstLine="420" w:firstLineChars="200"/>
        <w:rPr>
          <w:rFonts w:ascii="宋体" w:hAnsi="宋体" w:eastAsia="宋体" w:cs="Times New Roman"/>
        </w:rPr>
      </w:pPr>
      <w:r>
        <w:rPr>
          <w:rFonts w:ascii="宋体" w:hAnsi="宋体" w:eastAsia="宋体" w:cs="宋体"/>
        </w:rPr>
        <w:t>5.2</w:t>
      </w:r>
      <w:r>
        <w:rPr>
          <w:rFonts w:hint="eastAsia" w:ascii="宋体" w:hAnsi="宋体" w:eastAsia="宋体" w:cs="宋体"/>
        </w:rPr>
        <w:t>磋商文件不能详细列明采购标的的技术、服务要求，需经磋商由供应商提供最后设计方案或者解决方案的，磋商结束后，由磋商小组按照少数服从多数的原则投票推荐</w:t>
      </w:r>
      <w:r>
        <w:rPr>
          <w:rFonts w:ascii="宋体" w:hAnsi="宋体" w:eastAsia="宋体" w:cs="宋体"/>
        </w:rPr>
        <w:t>3</w:t>
      </w:r>
      <w:r>
        <w:rPr>
          <w:rFonts w:hint="eastAsia" w:ascii="宋体" w:hAnsi="宋体" w:eastAsia="宋体" w:cs="宋体"/>
        </w:rPr>
        <w:t>家以上供应商的设计方案或者解决方案，并要求其在规定时间内密封提交最后报价。</w:t>
      </w:r>
    </w:p>
    <w:p w14:paraId="2574CDA7">
      <w:pPr>
        <w:spacing w:line="500" w:lineRule="exact"/>
        <w:ind w:firstLine="420" w:firstLineChars="200"/>
        <w:rPr>
          <w:rFonts w:ascii="宋体" w:hAnsi="宋体" w:eastAsia="宋体" w:cs="Times New Roman"/>
        </w:rPr>
      </w:pPr>
      <w:r>
        <w:rPr>
          <w:rFonts w:ascii="宋体" w:hAnsi="宋体" w:eastAsia="宋体" w:cs="宋体"/>
        </w:rPr>
        <w:t xml:space="preserve">5.3 </w:t>
      </w:r>
      <w:r>
        <w:rPr>
          <w:rFonts w:hint="eastAsia" w:ascii="宋体" w:hAnsi="宋体" w:eastAsia="宋体" w:cs="宋体"/>
        </w:rPr>
        <w:t>最后报价是供应商响应文件的有效组成部分。符合《政府采购竞争性磋商采购方式管理暂行办法》（财库〔</w:t>
      </w:r>
      <w:r>
        <w:rPr>
          <w:rFonts w:ascii="宋体" w:hAnsi="宋体" w:eastAsia="宋体" w:cs="宋体"/>
        </w:rPr>
        <w:t>2014</w:t>
      </w:r>
      <w:r>
        <w:rPr>
          <w:rFonts w:hint="eastAsia" w:ascii="宋体" w:hAnsi="宋体" w:eastAsia="宋体" w:cs="宋体"/>
        </w:rPr>
        <w:t>〕</w:t>
      </w:r>
      <w:r>
        <w:rPr>
          <w:rFonts w:ascii="宋体" w:hAnsi="宋体" w:eastAsia="宋体" w:cs="宋体"/>
        </w:rPr>
        <w:t>214</w:t>
      </w:r>
      <w:r>
        <w:rPr>
          <w:rFonts w:hint="eastAsia" w:ascii="宋体" w:hAnsi="宋体" w:eastAsia="宋体" w:cs="宋体"/>
        </w:rPr>
        <w:t>号）第三条第四项“市场竞争不充分的科研项目，以及需要扶持的科技成果转化项目”的，提交最后报价的供应商可以为</w:t>
      </w:r>
      <w:r>
        <w:rPr>
          <w:rFonts w:ascii="宋体" w:hAnsi="宋体" w:eastAsia="宋体" w:cs="宋体"/>
        </w:rPr>
        <w:t>2</w:t>
      </w:r>
      <w:r>
        <w:rPr>
          <w:rFonts w:hint="eastAsia" w:ascii="宋体" w:hAnsi="宋体" w:eastAsia="宋体" w:cs="宋体"/>
        </w:rPr>
        <w:t>家。</w:t>
      </w:r>
    </w:p>
    <w:p w14:paraId="11FF90E3">
      <w:pPr>
        <w:spacing w:line="500" w:lineRule="exact"/>
        <w:ind w:firstLine="420" w:firstLineChars="200"/>
        <w:rPr>
          <w:rFonts w:ascii="宋体" w:hAnsi="宋体" w:eastAsia="宋体" w:cs="Times New Roman"/>
        </w:rPr>
      </w:pPr>
      <w:r>
        <w:rPr>
          <w:rFonts w:ascii="宋体" w:hAnsi="宋体" w:eastAsia="宋体" w:cs="宋体"/>
        </w:rPr>
        <w:t>5.4</w:t>
      </w:r>
      <w:r>
        <w:rPr>
          <w:rFonts w:hint="eastAsia" w:ascii="宋体" w:hAnsi="宋体" w:eastAsia="宋体" w:cs="宋体"/>
        </w:rPr>
        <w:t>已经提交响应文件的供应商，在提交最后报价之前，可以根据磋商情况退出磋商，退出磋商的供应商的响应文件按无效响应处理。</w:t>
      </w:r>
    </w:p>
    <w:p w14:paraId="411E3C7B">
      <w:pPr>
        <w:spacing w:line="500" w:lineRule="exact"/>
        <w:ind w:firstLine="420" w:firstLineChars="200"/>
        <w:rPr>
          <w:rFonts w:ascii="宋体" w:hAnsi="宋体" w:eastAsia="宋体" w:cs="Times New Roman"/>
        </w:rPr>
      </w:pPr>
      <w:r>
        <w:rPr>
          <w:rFonts w:ascii="宋体" w:hAnsi="宋体" w:eastAsia="宋体" w:cs="宋体"/>
        </w:rPr>
        <w:t>5.5</w:t>
      </w:r>
      <w:r>
        <w:rPr>
          <w:rFonts w:hint="eastAsia" w:ascii="宋体" w:hAnsi="宋体" w:eastAsia="宋体" w:cs="宋体"/>
        </w:rPr>
        <w:t>供应商未在规定时间内提交最后报价的，视同退出磋商。</w:t>
      </w:r>
    </w:p>
    <w:p w14:paraId="68C68A7B">
      <w:pPr>
        <w:spacing w:line="500" w:lineRule="exact"/>
        <w:ind w:firstLine="420" w:firstLineChars="200"/>
        <w:rPr>
          <w:rFonts w:ascii="宋体" w:hAnsi="宋体" w:eastAsia="宋体" w:cs="Times New Roman"/>
        </w:rPr>
      </w:pPr>
      <w:r>
        <w:rPr>
          <w:rFonts w:ascii="宋体" w:hAnsi="宋体" w:eastAsia="宋体" w:cs="宋体"/>
        </w:rPr>
        <w:t>5.6</w:t>
      </w:r>
      <w:r>
        <w:rPr>
          <w:rFonts w:hint="eastAsia" w:ascii="宋体" w:hAnsi="宋体" w:eastAsia="宋体" w:cs="宋体"/>
        </w:rPr>
        <w:t>磋商小组收齐某一分标最后报价后统一开启，磋商小组对最后报价进行有效性、完整性和响应程度的审查。</w:t>
      </w:r>
    </w:p>
    <w:p w14:paraId="211CFE4D">
      <w:pPr>
        <w:spacing w:line="500" w:lineRule="exact"/>
        <w:ind w:firstLine="420" w:firstLineChars="200"/>
        <w:rPr>
          <w:rFonts w:ascii="宋体" w:hAnsi="宋体" w:eastAsia="宋体" w:cs="宋体"/>
        </w:rPr>
      </w:pPr>
      <w:r>
        <w:rPr>
          <w:rFonts w:ascii="宋体" w:hAnsi="宋体" w:eastAsia="宋体" w:cs="宋体"/>
        </w:rPr>
        <w:t>5.7</w:t>
      </w:r>
      <w:r>
        <w:rPr>
          <w:rFonts w:hint="eastAsia" w:ascii="宋体" w:hAnsi="宋体" w:eastAsia="宋体" w:cs="宋体"/>
        </w:rPr>
        <w:t>最终响应文件的报价出现前后不一致的，按照本章第</w:t>
      </w:r>
      <w:r>
        <w:rPr>
          <w:rFonts w:ascii="宋体" w:hAnsi="宋体" w:eastAsia="宋体" w:cs="宋体"/>
        </w:rPr>
        <w:t>3.4</w:t>
      </w:r>
      <w:r>
        <w:rPr>
          <w:rFonts w:hint="eastAsia" w:ascii="宋体" w:hAnsi="宋体" w:eastAsia="宋体" w:cs="宋体"/>
        </w:rPr>
        <w:t>条的规定修正。</w:t>
      </w:r>
      <w:r>
        <w:rPr>
          <w:rFonts w:ascii="宋体" w:hAnsi="宋体" w:eastAsia="宋体" w:cs="宋体"/>
        </w:rPr>
        <w:t xml:space="preserve"> </w:t>
      </w:r>
    </w:p>
    <w:p w14:paraId="500A101F">
      <w:pPr>
        <w:spacing w:line="500" w:lineRule="exact"/>
        <w:ind w:firstLine="420" w:firstLineChars="200"/>
        <w:rPr>
          <w:rFonts w:ascii="宋体" w:hAnsi="宋体" w:eastAsia="宋体" w:cs="Times New Roman"/>
        </w:rPr>
      </w:pPr>
      <w:r>
        <w:rPr>
          <w:rFonts w:ascii="宋体" w:hAnsi="宋体" w:eastAsia="宋体" w:cs="宋体"/>
        </w:rPr>
        <w:t>5.8</w:t>
      </w:r>
      <w:r>
        <w:rPr>
          <w:rFonts w:hint="eastAsia" w:ascii="宋体" w:hAnsi="宋体" w:eastAsia="宋体" w:cs="宋体"/>
        </w:rPr>
        <w:t>修正后的最终报价出现下列情形的，按无效响应处理：</w:t>
      </w:r>
    </w:p>
    <w:p w14:paraId="513BF9CB">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）供应商不确认的（全流程电子化评标采取在线确认）；</w:t>
      </w:r>
    </w:p>
    <w:p w14:paraId="2CFADC7D">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）经供应商确认修正后的响应报价（包含首次报价、最后报价）超过所竞标分标规定的采购预算金额或者最高限价的（如本项目公布了最高限价）；</w:t>
      </w:r>
    </w:p>
    <w:p w14:paraId="3CC88F31">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）经供应商确认修正后的响应报价（包含首次报价、最后报价）超过分项采购预算金额或者最高限价的（如本项目公布了最高限价）。</w:t>
      </w:r>
    </w:p>
    <w:p w14:paraId="1F6E12CD">
      <w:pPr>
        <w:spacing w:line="500" w:lineRule="exact"/>
        <w:ind w:firstLine="420" w:firstLineChars="200"/>
        <w:rPr>
          <w:rFonts w:ascii="宋体" w:hAnsi="宋体" w:eastAsia="宋体" w:cs="Times New Roman"/>
        </w:rPr>
      </w:pPr>
      <w:r>
        <w:rPr>
          <w:rFonts w:ascii="宋体" w:hAnsi="宋体" w:eastAsia="宋体" w:cs="宋体"/>
        </w:rPr>
        <w:t>5.9</w:t>
      </w:r>
      <w:r>
        <w:rPr>
          <w:rFonts w:hint="eastAsia" w:ascii="宋体" w:hAnsi="宋体" w:eastAsia="宋体" w:cs="宋体"/>
        </w:rPr>
        <w:t>经供应商确认修正后的最后报价作为评审及签订合同的依据。</w:t>
      </w:r>
    </w:p>
    <w:p w14:paraId="780E6D64">
      <w:pPr>
        <w:spacing w:line="500" w:lineRule="exact"/>
        <w:ind w:firstLine="420" w:firstLineChars="200"/>
        <w:rPr>
          <w:rFonts w:ascii="宋体" w:hAnsi="宋体" w:eastAsia="宋体" w:cs="Times New Roman"/>
        </w:rPr>
      </w:pPr>
      <w:r>
        <w:rPr>
          <w:rFonts w:ascii="宋体" w:hAnsi="宋体" w:eastAsia="宋体" w:cs="宋体"/>
        </w:rPr>
        <w:t>5.10</w:t>
      </w:r>
      <w:r>
        <w:rPr>
          <w:rFonts w:hint="eastAsia" w:ascii="宋体" w:hAnsi="宋体" w:eastAsia="宋体" w:cs="宋体"/>
        </w:rPr>
        <w:t>供应商出现最后报价按无效响应处理或者响应文件按无效处理时，磋商小组应当告知有关供应商。</w:t>
      </w:r>
    </w:p>
    <w:p w14:paraId="3286C804">
      <w:pPr>
        <w:spacing w:line="500" w:lineRule="exact"/>
        <w:ind w:firstLine="420" w:firstLineChars="200"/>
        <w:rPr>
          <w:rFonts w:ascii="宋体" w:hAnsi="宋体" w:eastAsia="宋体" w:cs="Times New Roman"/>
        </w:rPr>
      </w:pPr>
      <w:r>
        <w:rPr>
          <w:rFonts w:ascii="宋体" w:hAnsi="宋体" w:eastAsia="宋体" w:cs="宋体"/>
        </w:rPr>
        <w:t>5.11</w:t>
      </w:r>
      <w:r>
        <w:rPr>
          <w:rFonts w:hint="eastAsia" w:ascii="宋体" w:hAnsi="宋体" w:eastAsia="宋体" w:cs="宋体"/>
        </w:rPr>
        <w:t>最后报价结束后，磋商小组不得再与供应商进行任何形式的商谈。</w:t>
      </w:r>
    </w:p>
    <w:p w14:paraId="543F702A">
      <w:pPr>
        <w:spacing w:line="500" w:lineRule="exact"/>
        <w:ind w:firstLine="413" w:firstLineChars="196"/>
        <w:rPr>
          <w:rFonts w:ascii="宋体" w:hAnsi="宋体" w:eastAsia="宋体" w:cs="Times New Roman"/>
          <w:b/>
          <w:bCs/>
        </w:rPr>
      </w:pPr>
      <w:r>
        <w:rPr>
          <w:rFonts w:ascii="宋体" w:hAnsi="宋体" w:eastAsia="宋体" w:cs="宋体"/>
          <w:b/>
          <w:bCs/>
        </w:rPr>
        <w:t>6.</w:t>
      </w:r>
      <w:r>
        <w:rPr>
          <w:rFonts w:hint="eastAsia" w:ascii="宋体" w:hAnsi="宋体" w:eastAsia="宋体" w:cs="宋体"/>
          <w:b/>
          <w:bCs/>
        </w:rPr>
        <w:t>比较与评价</w:t>
      </w:r>
    </w:p>
    <w:p w14:paraId="3A6259B2">
      <w:pPr>
        <w:spacing w:line="500" w:lineRule="exact"/>
        <w:ind w:firstLine="420" w:firstLineChars="200"/>
        <w:rPr>
          <w:rFonts w:ascii="宋体" w:hAnsi="宋体" w:eastAsia="宋体" w:cs="Times New Roman"/>
        </w:rPr>
      </w:pPr>
      <w:r>
        <w:rPr>
          <w:rFonts w:ascii="宋体" w:hAnsi="宋体" w:eastAsia="宋体" w:cs="宋体"/>
        </w:rPr>
        <w:t>6.1</w:t>
      </w:r>
      <w:r>
        <w:rPr>
          <w:rFonts w:hint="eastAsia" w:ascii="宋体" w:hAnsi="宋体" w:eastAsia="宋体" w:cs="宋体"/>
        </w:rPr>
        <w:t>评审方法：综合评分法。</w:t>
      </w:r>
    </w:p>
    <w:p w14:paraId="5924E460">
      <w:pPr>
        <w:spacing w:line="500" w:lineRule="exact"/>
        <w:ind w:firstLine="420" w:firstLineChars="200"/>
        <w:rPr>
          <w:rFonts w:ascii="宋体" w:hAnsi="宋体" w:eastAsia="宋体" w:cs="Times New Roman"/>
        </w:rPr>
      </w:pPr>
      <w:r>
        <w:rPr>
          <w:rFonts w:ascii="宋体" w:hAnsi="宋体" w:eastAsia="宋体" w:cs="宋体"/>
        </w:rPr>
        <w:t>6.2</w:t>
      </w:r>
      <w:r>
        <w:rPr>
          <w:rFonts w:hint="eastAsia" w:ascii="宋体" w:hAnsi="宋体" w:eastAsia="宋体" w:cs="宋体"/>
        </w:rPr>
        <w:t>经磋商确定最终采购需求和提交最后报价的供应商后，由磋商小组采用综合评分法对提交最后报价的供应商的响应文件和最后报价进行综合评分。</w:t>
      </w:r>
    </w:p>
    <w:p w14:paraId="5B9C9C59">
      <w:pPr>
        <w:spacing w:line="500" w:lineRule="exact"/>
        <w:ind w:firstLine="420" w:firstLineChars="200"/>
        <w:rPr>
          <w:rFonts w:ascii="宋体" w:hAnsi="宋体" w:eastAsia="宋体" w:cs="Times New Roman"/>
        </w:rPr>
      </w:pPr>
      <w:r>
        <w:rPr>
          <w:rFonts w:ascii="宋体" w:hAnsi="宋体" w:eastAsia="宋体" w:cs="宋体"/>
        </w:rPr>
        <w:t>6.3</w:t>
      </w:r>
      <w:r>
        <w:rPr>
          <w:rFonts w:hint="eastAsia" w:ascii="宋体" w:hAnsi="宋体" w:eastAsia="宋体" w:cs="宋体"/>
        </w:rPr>
        <w:t>评审时，磋商小组各成员应当独立对每个有效响应的文件进行评价、打分，然后汇总每个供应商每项评分因素的得分。</w:t>
      </w:r>
    </w:p>
    <w:p w14:paraId="56B84C0E">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578E11D">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）磋商小组按照磋商文件中规定的评审标准计算各供应商的报价得分。项目评审过程中，不得去掉最后报价中的最高报价和最低报价。</w:t>
      </w:r>
    </w:p>
    <w:p w14:paraId="3516DF46">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）各供应商的得分为磋商小组所有成员的有效评分的算术平均数。</w:t>
      </w:r>
    </w:p>
    <w:p w14:paraId="255A96F4">
      <w:pPr>
        <w:spacing w:line="500" w:lineRule="exact"/>
        <w:ind w:firstLine="420" w:firstLineChars="200"/>
        <w:rPr>
          <w:rFonts w:cs="Times New Roman"/>
        </w:rPr>
      </w:pPr>
      <w:r>
        <w:rPr>
          <w:rFonts w:ascii="宋体" w:hAnsi="宋体" w:eastAsia="宋体" w:cs="宋体"/>
        </w:rPr>
        <w:t>6.4</w:t>
      </w:r>
      <w:r>
        <w:rPr>
          <w:rFonts w:hint="eastAsia" w:ascii="宋体" w:hAnsi="宋体" w:eastAsia="宋体" w:cs="宋体"/>
        </w:rPr>
        <w:t>评审价为供应商的最后报价进行政策性扣除后的价格，评审价只是作为评审时使用。最终成交供应商的成交金额等于最后报价（如有修正，以确认修正后的最后报价为准）。</w:t>
      </w:r>
    </w:p>
    <w:p w14:paraId="2BF28447">
      <w:pPr>
        <w:spacing w:line="500" w:lineRule="exact"/>
        <w:ind w:firstLine="420" w:firstLineChars="200"/>
        <w:rPr>
          <w:rFonts w:ascii="宋体" w:hAnsi="宋体" w:eastAsia="宋体" w:cs="Times New Roman"/>
        </w:rPr>
      </w:pPr>
      <w:r>
        <w:rPr>
          <w:rFonts w:ascii="宋体" w:hAnsi="宋体" w:eastAsia="宋体" w:cs="宋体"/>
        </w:rPr>
        <w:t>6.5</w:t>
      </w:r>
      <w:r>
        <w:rPr>
          <w:rFonts w:hint="eastAsia" w:ascii="宋体" w:hAnsi="宋体" w:eastAsia="宋体" w:cs="宋体"/>
        </w:rPr>
        <w:t>依据规定《财政部关于推动解决政府采购异常低价问题的通知》（财库〔</w:t>
      </w:r>
      <w:r>
        <w:rPr>
          <w:rFonts w:ascii="宋体" w:hAnsi="宋体" w:eastAsia="宋体" w:cs="宋体"/>
        </w:rPr>
        <w:t>2026</w:t>
      </w:r>
      <w:r>
        <w:rPr>
          <w:rFonts w:hint="eastAsia" w:ascii="宋体" w:hAnsi="宋体" w:eastAsia="宋体" w:cs="宋体"/>
        </w:rPr>
        <w:t>〕</w:t>
      </w:r>
      <w:r>
        <w:rPr>
          <w:rFonts w:ascii="宋体" w:hAnsi="宋体" w:eastAsia="宋体" w:cs="宋体"/>
        </w:rPr>
        <w:t>2</w:t>
      </w:r>
      <w:r>
        <w:rPr>
          <w:rFonts w:hint="eastAsia" w:ascii="宋体" w:hAnsi="宋体" w:eastAsia="宋体" w:cs="宋体"/>
        </w:rPr>
        <w:t>号）规定，政府采购评审中出现以下异常低价情形，磋商小组应当启动异常低价审查程序：</w:t>
      </w:r>
    </w:p>
    <w:p w14:paraId="5FA0F735">
      <w:pPr>
        <w:spacing w:line="500" w:lineRule="exact"/>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）磋商小组在评审中发现下列情形之一的，应当启动异常低价响应审查程序：</w:t>
      </w:r>
    </w:p>
    <w:p w14:paraId="6F5BBD4B">
      <w:pPr>
        <w:spacing w:line="500" w:lineRule="exact"/>
        <w:ind w:firstLine="420" w:firstLineChars="200"/>
        <w:rPr>
          <w:rFonts w:ascii="宋体" w:hAnsi="宋体" w:eastAsia="宋体" w:cs="Times New Roman"/>
        </w:rPr>
      </w:pPr>
      <w:r>
        <w:rPr>
          <w:rFonts w:hint="eastAsia" w:ascii="宋体" w:hAnsi="宋体" w:eastAsia="宋体" w:cs="宋体"/>
        </w:rPr>
        <w:t>①响应报价低于全部通过符合性审查供应商响应报价平均值</w:t>
      </w:r>
      <w:r>
        <w:rPr>
          <w:rFonts w:ascii="宋体" w:hAnsi="宋体" w:eastAsia="宋体" w:cs="宋体"/>
          <w:u w:val="single"/>
        </w:rPr>
        <w:t xml:space="preserve"> 65% </w:t>
      </w:r>
      <w:r>
        <w:rPr>
          <w:rFonts w:hint="eastAsia" w:ascii="宋体" w:hAnsi="宋体" w:eastAsia="宋体" w:cs="宋体"/>
        </w:rPr>
        <w:t>的，即响应报价＜全部通过符合性审查供应商响应报价平均值×</w:t>
      </w:r>
      <w:r>
        <w:rPr>
          <w:rFonts w:ascii="宋体" w:hAnsi="宋体" w:eastAsia="宋体" w:cs="宋体"/>
          <w:u w:val="single"/>
        </w:rPr>
        <w:t xml:space="preserve"> 65% </w:t>
      </w:r>
      <w:r>
        <w:rPr>
          <w:rFonts w:hint="eastAsia" w:ascii="宋体" w:hAnsi="宋体" w:eastAsia="宋体" w:cs="宋体"/>
        </w:rPr>
        <w:t>；</w:t>
      </w:r>
    </w:p>
    <w:p w14:paraId="31DD8853">
      <w:pPr>
        <w:spacing w:line="500" w:lineRule="exact"/>
        <w:ind w:firstLine="420" w:firstLineChars="200"/>
        <w:rPr>
          <w:rFonts w:ascii="宋体" w:hAnsi="宋体" w:eastAsia="宋体" w:cs="Times New Roman"/>
        </w:rPr>
      </w:pPr>
      <w:r>
        <w:rPr>
          <w:rFonts w:hint="eastAsia" w:ascii="宋体" w:hAnsi="宋体" w:eastAsia="宋体" w:cs="宋体"/>
        </w:rPr>
        <w:t>②响应报价低于通过符合性审查的次低报价供应商响应报价</w:t>
      </w:r>
      <w:r>
        <w:rPr>
          <w:rFonts w:ascii="宋体" w:hAnsi="宋体" w:eastAsia="宋体" w:cs="宋体"/>
          <w:u w:val="single"/>
        </w:rPr>
        <w:t xml:space="preserve"> 65% </w:t>
      </w:r>
      <w:r>
        <w:rPr>
          <w:rFonts w:hint="eastAsia" w:ascii="宋体" w:hAnsi="宋体" w:eastAsia="宋体" w:cs="宋体"/>
        </w:rPr>
        <w:t>的，即响应报价＜通过符合性审查的次低报价供应商响应报价×</w:t>
      </w:r>
      <w:r>
        <w:rPr>
          <w:rFonts w:ascii="宋体" w:hAnsi="宋体" w:eastAsia="宋体" w:cs="宋体"/>
          <w:u w:val="single"/>
        </w:rPr>
        <w:t xml:space="preserve"> 65% </w:t>
      </w:r>
      <w:r>
        <w:rPr>
          <w:rFonts w:hint="eastAsia" w:ascii="宋体" w:hAnsi="宋体" w:eastAsia="宋体" w:cs="宋体"/>
        </w:rPr>
        <w:t>；</w:t>
      </w:r>
    </w:p>
    <w:p w14:paraId="553B3D83">
      <w:pPr>
        <w:spacing w:line="500" w:lineRule="exact"/>
        <w:ind w:firstLine="420" w:firstLineChars="200"/>
        <w:rPr>
          <w:rFonts w:ascii="宋体" w:hAnsi="宋体" w:eastAsia="宋体" w:cs="Times New Roman"/>
        </w:rPr>
      </w:pPr>
      <w:r>
        <w:rPr>
          <w:rFonts w:hint="eastAsia" w:ascii="宋体" w:hAnsi="宋体" w:eastAsia="宋体" w:cs="宋体"/>
        </w:rPr>
        <w:t>③响应报价低于采购项目最高限价</w:t>
      </w:r>
      <w:r>
        <w:rPr>
          <w:rFonts w:ascii="宋体" w:hAnsi="宋体" w:eastAsia="宋体" w:cs="宋体"/>
          <w:u w:val="single"/>
        </w:rPr>
        <w:t xml:space="preserve"> 65% </w:t>
      </w:r>
      <w:r>
        <w:rPr>
          <w:rFonts w:hint="eastAsia" w:ascii="宋体" w:hAnsi="宋体" w:eastAsia="宋体" w:cs="宋体"/>
        </w:rPr>
        <w:t>的，即响应报价＜采购项目最高限价×</w:t>
      </w:r>
      <w:r>
        <w:rPr>
          <w:rFonts w:ascii="宋体" w:hAnsi="宋体" w:eastAsia="宋体" w:cs="宋体"/>
          <w:u w:val="single"/>
        </w:rPr>
        <w:t xml:space="preserve"> 65% </w:t>
      </w:r>
      <w:r>
        <w:rPr>
          <w:rFonts w:hint="eastAsia" w:ascii="宋体" w:hAnsi="宋体" w:eastAsia="宋体" w:cs="宋体"/>
        </w:rPr>
        <w:t>；</w:t>
      </w:r>
    </w:p>
    <w:p w14:paraId="327A82B5">
      <w:pPr>
        <w:spacing w:line="500" w:lineRule="exact"/>
        <w:ind w:firstLine="420" w:firstLineChars="200"/>
        <w:rPr>
          <w:rFonts w:ascii="宋体" w:hAnsi="宋体" w:eastAsia="宋体" w:cs="Times New Roman"/>
        </w:rPr>
      </w:pPr>
      <w:r>
        <w:rPr>
          <w:rFonts w:hint="eastAsia" w:ascii="宋体" w:hAnsi="宋体" w:eastAsia="宋体" w:cs="宋体"/>
        </w:rPr>
        <w:t>④磋商小组基于专业判断，认为供应商报价过低，有可能影响产品质量或者不能诚信履约的其他情形。</w:t>
      </w:r>
    </w:p>
    <w:p w14:paraId="06CEF28E">
      <w:pPr>
        <w:spacing w:line="500" w:lineRule="exact"/>
        <w:ind w:firstLine="420" w:firstLineChars="200"/>
        <w:rPr>
          <w:rFonts w:ascii="宋体" w:hAnsi="宋体" w:eastAsia="宋体" w:cs="Times New Roman"/>
          <w:color w:val="FF0000"/>
        </w:rPr>
      </w:pPr>
      <w:r>
        <w:rPr>
          <w:rFonts w:hint="eastAsia" w:ascii="宋体" w:hAnsi="宋体" w:eastAsia="宋体" w:cs="宋体"/>
        </w:rPr>
        <w:t>（</w:t>
      </w:r>
      <w:r>
        <w:rPr>
          <w:rFonts w:ascii="宋体" w:hAnsi="宋体" w:eastAsia="宋体" w:cs="宋体"/>
        </w:rPr>
        <w:t>2</w:t>
      </w:r>
      <w:r>
        <w:rPr>
          <w:rFonts w:hint="eastAsia" w:ascii="宋体" w:hAnsi="宋体" w:eastAsia="宋体" w:cs="宋体"/>
        </w:rPr>
        <w:t>）磋商小组启动异常低价响应审查后，属于前述第</w:t>
      </w:r>
      <w:r>
        <w:rPr>
          <w:rFonts w:ascii="宋体" w:hAnsi="宋体" w:eastAsia="宋体" w:cs="宋体"/>
        </w:rPr>
        <w:t>1</w:t>
      </w:r>
      <w:r>
        <w:rPr>
          <w:rFonts w:hint="eastAsia" w:ascii="宋体" w:hAnsi="宋体" w:eastAsia="宋体" w:cs="宋体"/>
        </w:rPr>
        <w:t>项至第</w:t>
      </w:r>
      <w:r>
        <w:rPr>
          <w:rFonts w:ascii="宋体" w:hAnsi="宋体" w:eastAsia="宋体" w:cs="宋体"/>
        </w:rPr>
        <w:t>4</w:t>
      </w:r>
      <w:r>
        <w:rPr>
          <w:rFonts w:hint="eastAsia" w:ascii="宋体" w:hAnsi="宋体" w:eastAsia="宋体" w:cs="宋体"/>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w:t>
      </w:r>
      <w:r>
        <w:rPr>
          <w:rFonts w:ascii="宋体" w:hAnsi="宋体" w:eastAsia="宋体" w:cs="宋体"/>
        </w:rPr>
        <w:t>30</w:t>
      </w:r>
      <w:r>
        <w:rPr>
          <w:rFonts w:hint="eastAsia" w:ascii="宋体" w:hAnsi="宋体" w:eastAsia="宋体" w:cs="宋体"/>
        </w:rPr>
        <w:t>分钟。其中，属于第③项情形，供应商已随响应文件一并提交相关书面说明及必要的证明材料的，可不再重复提交。</w:t>
      </w:r>
    </w:p>
    <w:p w14:paraId="49D4D5F5">
      <w:pPr>
        <w:spacing w:line="500" w:lineRule="exact"/>
        <w:ind w:firstLine="420" w:firstLineChars="200"/>
        <w:rPr>
          <w:rFonts w:ascii="宋体" w:hAnsi="宋体" w:eastAsia="宋体" w:cs="Times New Roman"/>
        </w:rPr>
      </w:pPr>
      <w:r>
        <w:rPr>
          <w:rFonts w:hint="eastAsia" w:ascii="宋体" w:hAnsi="宋体" w:eastAsia="宋体" w:cs="宋体"/>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0BCDD092">
      <w:pPr>
        <w:spacing w:line="500" w:lineRule="exact"/>
        <w:ind w:firstLine="420" w:firstLineChars="200"/>
        <w:rPr>
          <w:rFonts w:ascii="宋体" w:hAnsi="宋体" w:eastAsia="宋体" w:cs="Times New Roman"/>
        </w:rPr>
      </w:pPr>
      <w:r>
        <w:rPr>
          <w:rFonts w:hint="eastAsia" w:ascii="宋体" w:hAnsi="宋体" w:eastAsia="宋体" w:cs="宋体"/>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3313B8D">
      <w:pPr>
        <w:spacing w:line="500" w:lineRule="exact"/>
        <w:ind w:firstLine="420" w:firstLineChars="200"/>
        <w:rPr>
          <w:rFonts w:ascii="宋体" w:hAnsi="宋体" w:eastAsia="宋体" w:cs="Times New Roman"/>
        </w:rPr>
      </w:pPr>
      <w:r>
        <w:rPr>
          <w:rFonts w:hint="eastAsia" w:ascii="宋体" w:hAnsi="宋体" w:eastAsia="宋体" w:cs="宋体"/>
        </w:rPr>
        <w:t>异常低价响应审查的启动原因、审查意见和审查结果应当在评审报告中记录，并随供应商提供的相关书面说明及证明材料，以及磋商小组有关互联网浏览、查询历史一并归档。</w:t>
      </w:r>
    </w:p>
    <w:p w14:paraId="6C02379F">
      <w:pPr>
        <w:spacing w:line="500" w:lineRule="exact"/>
        <w:ind w:firstLine="420" w:firstLineChars="200"/>
        <w:rPr>
          <w:rFonts w:ascii="宋体" w:hAnsi="宋体" w:eastAsia="宋体" w:cs="Times New Roman"/>
          <w:kern w:val="0"/>
        </w:rPr>
      </w:pPr>
      <w:r>
        <w:rPr>
          <w:rFonts w:ascii="宋体" w:hAnsi="宋体" w:eastAsia="宋体" w:cs="宋体"/>
        </w:rPr>
        <w:t>6.6</w:t>
      </w:r>
      <w:r>
        <w:rPr>
          <w:rFonts w:hint="eastAsia" w:ascii="宋体" w:hAnsi="宋体" w:eastAsia="宋体" w:cs="宋体"/>
        </w:rPr>
        <w:t>由磋商小组根据综合评分情况，按照评审得分由高到低顺序推荐</w:t>
      </w:r>
      <w:r>
        <w:rPr>
          <w:rFonts w:ascii="宋体" w:hAnsi="宋体" w:eastAsia="宋体" w:cs="宋体"/>
        </w:rPr>
        <w:t>3</w:t>
      </w:r>
      <w:r>
        <w:rPr>
          <w:rFonts w:hint="eastAsia" w:ascii="宋体" w:hAnsi="宋体" w:eastAsia="宋体" w:cs="宋体"/>
        </w:rPr>
        <w:t>名以上成交候选供应商，并编写评</w:t>
      </w:r>
      <w:r>
        <w:rPr>
          <w:rFonts w:hint="eastAsia" w:ascii="宋体" w:hAnsi="宋体" w:eastAsia="宋体" w:cs="宋体"/>
          <w:kern w:val="0"/>
        </w:rPr>
        <w:t>审报告。符合本章第</w:t>
      </w:r>
      <w:r>
        <w:rPr>
          <w:rFonts w:ascii="宋体" w:hAnsi="宋体" w:eastAsia="宋体" w:cs="宋体"/>
          <w:kern w:val="0"/>
        </w:rPr>
        <w:t>5.3</w:t>
      </w:r>
      <w:r>
        <w:rPr>
          <w:rFonts w:hint="eastAsia" w:ascii="宋体" w:hAnsi="宋体" w:eastAsia="宋体" w:cs="宋体"/>
          <w:kern w:val="0"/>
        </w:rPr>
        <w:t>条情形的，可以推荐</w:t>
      </w:r>
      <w:r>
        <w:rPr>
          <w:rFonts w:ascii="宋体" w:hAnsi="宋体" w:eastAsia="宋体" w:cs="宋体"/>
          <w:kern w:val="0"/>
        </w:rPr>
        <w:t>2</w:t>
      </w:r>
      <w:r>
        <w:rPr>
          <w:rFonts w:hint="eastAsia" w:ascii="宋体" w:hAnsi="宋体" w:eastAsia="宋体" w:cs="宋体"/>
          <w:kern w:val="0"/>
        </w:rPr>
        <w:t>家成交候选供应商。评审得分相同的，按照最后报价由低到高的顺序推荐。评审得分且最后报价相同的，按照技术指标优劣顺序推荐。</w:t>
      </w:r>
    </w:p>
    <w:p w14:paraId="0DAE8FCE">
      <w:pPr>
        <w:spacing w:line="500" w:lineRule="exact"/>
        <w:ind w:firstLine="420" w:firstLineChars="200"/>
        <w:rPr>
          <w:rFonts w:ascii="宋体" w:hAnsi="宋体" w:eastAsia="宋体" w:cs="Times New Roman"/>
          <w:kern w:val="0"/>
        </w:rPr>
      </w:pPr>
      <w:r>
        <w:rPr>
          <w:rFonts w:ascii="宋体" w:hAnsi="宋体" w:eastAsia="宋体" w:cs="宋体"/>
          <w:kern w:val="0"/>
        </w:rPr>
        <w:t>6.7</w:t>
      </w:r>
      <w:r>
        <w:rPr>
          <w:rFonts w:hint="eastAsia" w:ascii="宋体" w:hAnsi="宋体" w:eastAsia="宋体" w:cs="宋体"/>
          <w:kern w:val="0"/>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5BA9C76">
      <w:pPr>
        <w:spacing w:line="500" w:lineRule="exact"/>
        <w:ind w:firstLine="413" w:firstLineChars="196"/>
        <w:rPr>
          <w:rFonts w:ascii="宋体" w:hAnsi="宋体" w:eastAsia="宋体" w:cs="Times New Roman"/>
          <w:b/>
          <w:bCs/>
        </w:rPr>
      </w:pPr>
      <w:r>
        <w:rPr>
          <w:rFonts w:ascii="宋体" w:hAnsi="宋体" w:eastAsia="宋体" w:cs="宋体"/>
          <w:b/>
          <w:bCs/>
        </w:rPr>
        <w:t>7.</w:t>
      </w:r>
      <w:r>
        <w:rPr>
          <w:rFonts w:hint="eastAsia" w:ascii="宋体" w:hAnsi="宋体" w:eastAsia="宋体" w:cs="宋体"/>
          <w:b/>
          <w:bCs/>
        </w:rPr>
        <w:t>评审复核</w:t>
      </w:r>
    </w:p>
    <w:p w14:paraId="43AC045F">
      <w:pPr>
        <w:spacing w:line="500" w:lineRule="exact"/>
        <w:ind w:firstLine="420" w:firstLineChars="200"/>
        <w:rPr>
          <w:rFonts w:ascii="宋体" w:hAnsi="宋体" w:eastAsia="宋体" w:cs="Times New Roman"/>
        </w:rPr>
      </w:pPr>
      <w:r>
        <w:rPr>
          <w:rFonts w:ascii="宋体" w:hAnsi="宋体" w:eastAsia="宋体" w:cs="宋体"/>
        </w:rPr>
        <w:t>7.1</w:t>
      </w:r>
      <w:r>
        <w:rPr>
          <w:rFonts w:hint="eastAsia" w:ascii="宋体" w:hAnsi="宋体" w:eastAsia="宋体" w:cs="宋体"/>
        </w:rPr>
        <w:t>评审报告签署前，磋商小组要对评审结果进行复核，复核意见要体现在评审报告中。</w:t>
      </w:r>
    </w:p>
    <w:p w14:paraId="0BD56B37">
      <w:pPr>
        <w:widowControl/>
        <w:spacing w:line="500" w:lineRule="exact"/>
        <w:ind w:firstLine="420" w:firstLineChars="200"/>
        <w:jc w:val="left"/>
        <w:rPr>
          <w:rFonts w:ascii="宋体" w:hAnsi="宋体" w:eastAsia="宋体" w:cs="Times New Roman"/>
          <w:kern w:val="0"/>
        </w:rPr>
      </w:pPr>
      <w:r>
        <w:rPr>
          <w:rFonts w:ascii="宋体" w:hAnsi="宋体" w:eastAsia="宋体" w:cs="宋体"/>
          <w:kern w:val="0"/>
        </w:rPr>
        <w:t>7.2</w:t>
      </w:r>
      <w:r>
        <w:rPr>
          <w:rFonts w:hint="eastAsia" w:ascii="宋体" w:hAnsi="宋体" w:eastAsia="宋体" w:cs="宋体"/>
          <w:kern w:val="0"/>
        </w:rPr>
        <w:t>评审结果汇总完成后，采购人、采购代理机构和磋商小组均不得修改评审结果或者要求重新评审，但资格性检查认定错误、分值汇总计算错误、分项评分超出评分标准范围、客观分评分不一致、经磋商小组一致认定评分畸高、畸低的情形除外。出现上述除外情形的，磋商小组应当现场修改评审结果，并在评审报告中明确记载。</w:t>
      </w:r>
    </w:p>
    <w:p w14:paraId="314E5F66">
      <w:pPr>
        <w:spacing w:line="500" w:lineRule="exact"/>
        <w:ind w:firstLine="413" w:firstLineChars="196"/>
        <w:rPr>
          <w:rFonts w:ascii="宋体" w:hAnsi="宋体" w:eastAsia="宋体" w:cs="Times New Roman"/>
          <w:b/>
          <w:bCs/>
        </w:rPr>
      </w:pPr>
      <w:r>
        <w:rPr>
          <w:rFonts w:ascii="宋体" w:hAnsi="宋体" w:eastAsia="宋体" w:cs="宋体"/>
          <w:b/>
          <w:bCs/>
        </w:rPr>
        <w:t>8.</w:t>
      </w:r>
      <w:r>
        <w:rPr>
          <w:rFonts w:hint="eastAsia" w:ascii="宋体" w:hAnsi="宋体" w:eastAsia="宋体" w:cs="宋体"/>
          <w:b/>
          <w:bCs/>
        </w:rPr>
        <w:t>评审标准</w:t>
      </w:r>
    </w:p>
    <w:p w14:paraId="24419A98">
      <w:pPr>
        <w:spacing w:line="500" w:lineRule="exact"/>
        <w:ind w:firstLine="420" w:firstLineChars="200"/>
        <w:rPr>
          <w:rFonts w:ascii="宋体" w:hAnsi="宋体" w:eastAsia="宋体" w:cs="Times New Roman"/>
        </w:rPr>
      </w:pPr>
      <w:r>
        <w:rPr>
          <w:rFonts w:ascii="宋体" w:hAnsi="宋体" w:eastAsia="宋体" w:cs="宋体"/>
        </w:rPr>
        <w:t>8.1</w:t>
      </w:r>
      <w:r>
        <w:rPr>
          <w:rFonts w:hint="eastAsia" w:ascii="宋体" w:hAnsi="宋体" w:eastAsia="宋体" w:cs="宋体"/>
        </w:rPr>
        <w:t>评审依据：磋商小组将以磋商响应文件为评审依据，对供应商的报价、技术、商务等方面内容按百分制打分。（计分方法按四舍五入取至百分位）</w:t>
      </w:r>
      <w:bookmarkStart w:id="85" w:name="PO_TDCUS_ITEM_SM_TABLE_1"/>
    </w:p>
    <w:bookmarkEnd w:id="85"/>
    <w:p w14:paraId="28AFFE96">
      <w:pPr>
        <w:spacing w:line="500" w:lineRule="exact"/>
        <w:ind w:firstLine="420" w:firstLineChars="200"/>
        <w:rPr>
          <w:rFonts w:ascii="宋体" w:hAnsi="宋体" w:eastAsia="宋体" w:cs="Times New Roman"/>
        </w:rPr>
      </w:pPr>
      <w:r>
        <w:rPr>
          <w:rFonts w:ascii="宋体" w:hAnsi="宋体" w:eastAsia="宋体" w:cs="宋体"/>
        </w:rPr>
        <w:t>8.2</w:t>
      </w:r>
      <w:r>
        <w:rPr>
          <w:rFonts w:hint="eastAsia" w:ascii="宋体" w:hAnsi="宋体" w:eastAsia="宋体" w:cs="宋体"/>
        </w:rPr>
        <w:t>商务技术评审因素为客观评分项的，应在评分项目或评分标准中予以标注为“客观分”。对供应商的客观评分项目，各评审专家评分应当一致。</w:t>
      </w:r>
    </w:p>
    <w:p w14:paraId="5A2BD458">
      <w:pPr>
        <w:spacing w:line="500" w:lineRule="exact"/>
        <w:ind w:firstLine="420" w:firstLineChars="200"/>
        <w:rPr>
          <w:rFonts w:ascii="宋体" w:hAnsi="宋体" w:eastAsia="宋体" w:cs="Times New Roman"/>
        </w:rPr>
      </w:pPr>
      <w:r>
        <w:rPr>
          <w:rFonts w:ascii="宋体" w:hAnsi="宋体" w:eastAsia="宋体" w:cs="宋体"/>
        </w:rPr>
        <w:t>8.3.</w:t>
      </w:r>
      <w:r>
        <w:rPr>
          <w:rFonts w:hint="eastAsia" w:ascii="宋体" w:hAnsi="宋体" w:eastAsia="宋体" w:cs="宋体"/>
        </w:rPr>
        <w:t>终止竞争性磋商采购活动</w:t>
      </w:r>
    </w:p>
    <w:p w14:paraId="161D0373">
      <w:pPr>
        <w:autoSpaceDE w:val="0"/>
        <w:autoSpaceDN w:val="0"/>
        <w:adjustRightInd w:val="0"/>
        <w:spacing w:line="500" w:lineRule="exact"/>
        <w:ind w:firstLine="420" w:firstLineChars="200"/>
        <w:jc w:val="left"/>
        <w:rPr>
          <w:rFonts w:ascii="宋体" w:hAnsi="宋体" w:eastAsia="宋体" w:cs="Times New Roman"/>
        </w:rPr>
      </w:pPr>
      <w:r>
        <w:rPr>
          <w:rFonts w:hint="eastAsia" w:ascii="宋体" w:hAnsi="宋体" w:eastAsia="宋体" w:cs="宋体"/>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6F54091">
      <w:pPr>
        <w:spacing w:line="360" w:lineRule="auto"/>
        <w:rPr>
          <w:rFonts w:ascii="宋体" w:hAnsi="宋体" w:eastAsia="宋体" w:cs="Times New Roman"/>
        </w:rPr>
      </w:pPr>
      <w:bookmarkStart w:id="86" w:name="_Toc80205935"/>
    </w:p>
    <w:tbl>
      <w:tblPr>
        <w:tblStyle w:val="44"/>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940"/>
        <w:gridCol w:w="703"/>
        <w:gridCol w:w="6"/>
        <w:gridCol w:w="1559"/>
        <w:gridCol w:w="5418"/>
      </w:tblGrid>
      <w:tr w14:paraId="71A9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8" w:type="dxa"/>
            <w:vAlign w:val="center"/>
          </w:tcPr>
          <w:p w14:paraId="7A763306">
            <w:pPr>
              <w:widowControl/>
              <w:spacing w:line="500" w:lineRule="exact"/>
              <w:jc w:val="center"/>
              <w:rPr>
                <w:rFonts w:ascii="宋体" w:hAnsi="宋体" w:eastAsia="宋体" w:cs="Times New Roman"/>
                <w:b/>
                <w:bCs/>
                <w:kern w:val="0"/>
              </w:rPr>
            </w:pPr>
            <w:r>
              <w:rPr>
                <w:rFonts w:hint="eastAsia" w:ascii="宋体" w:hAnsi="宋体" w:eastAsia="宋体" w:cs="宋体"/>
                <w:b/>
                <w:bCs/>
                <w:kern w:val="0"/>
              </w:rPr>
              <w:t>序号</w:t>
            </w:r>
          </w:p>
        </w:tc>
        <w:tc>
          <w:tcPr>
            <w:tcW w:w="940" w:type="dxa"/>
            <w:vAlign w:val="center"/>
          </w:tcPr>
          <w:p w14:paraId="11890253">
            <w:pPr>
              <w:widowControl/>
              <w:spacing w:line="500" w:lineRule="exact"/>
              <w:jc w:val="center"/>
              <w:rPr>
                <w:rFonts w:ascii="宋体" w:hAnsi="宋体" w:eastAsia="宋体" w:cs="Times New Roman"/>
                <w:b/>
                <w:bCs/>
                <w:kern w:val="0"/>
              </w:rPr>
            </w:pPr>
            <w:r>
              <w:rPr>
                <w:rFonts w:hint="eastAsia" w:ascii="宋体" w:hAnsi="宋体" w:eastAsia="宋体" w:cs="宋体"/>
                <w:b/>
                <w:bCs/>
                <w:kern w:val="0"/>
              </w:rPr>
              <w:t>评审因素</w:t>
            </w:r>
          </w:p>
        </w:tc>
        <w:tc>
          <w:tcPr>
            <w:tcW w:w="709" w:type="dxa"/>
            <w:gridSpan w:val="2"/>
            <w:vAlign w:val="center"/>
          </w:tcPr>
          <w:p w14:paraId="6BE92785">
            <w:pPr>
              <w:widowControl/>
              <w:spacing w:line="500" w:lineRule="exact"/>
              <w:jc w:val="center"/>
              <w:rPr>
                <w:rFonts w:ascii="宋体" w:hAnsi="宋体" w:eastAsia="宋体" w:cs="Times New Roman"/>
                <w:b/>
                <w:bCs/>
                <w:kern w:val="0"/>
              </w:rPr>
            </w:pPr>
            <w:r>
              <w:rPr>
                <w:rFonts w:hint="eastAsia" w:ascii="宋体" w:hAnsi="宋体" w:eastAsia="宋体" w:cs="宋体"/>
                <w:b/>
                <w:bCs/>
                <w:kern w:val="0"/>
              </w:rPr>
              <w:t>分值</w:t>
            </w:r>
          </w:p>
        </w:tc>
        <w:tc>
          <w:tcPr>
            <w:tcW w:w="6977" w:type="dxa"/>
            <w:gridSpan w:val="2"/>
            <w:vAlign w:val="center"/>
          </w:tcPr>
          <w:p w14:paraId="659B400B">
            <w:pPr>
              <w:widowControl/>
              <w:spacing w:line="500" w:lineRule="exact"/>
              <w:jc w:val="center"/>
              <w:rPr>
                <w:rFonts w:ascii="宋体" w:hAnsi="宋体" w:eastAsia="宋体" w:cs="Times New Roman"/>
                <w:b/>
                <w:bCs/>
                <w:kern w:val="0"/>
              </w:rPr>
            </w:pPr>
            <w:r>
              <w:rPr>
                <w:rFonts w:hint="eastAsia" w:ascii="宋体" w:hAnsi="宋体" w:eastAsia="宋体" w:cs="宋体"/>
                <w:b/>
                <w:bCs/>
                <w:kern w:val="0"/>
              </w:rPr>
              <w:t>评标标准</w:t>
            </w:r>
          </w:p>
        </w:tc>
      </w:tr>
      <w:tr w14:paraId="0C2B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8" w:type="dxa"/>
            <w:vAlign w:val="center"/>
          </w:tcPr>
          <w:p w14:paraId="6DA2F396">
            <w:pPr>
              <w:widowControl/>
              <w:spacing w:line="500" w:lineRule="exact"/>
              <w:jc w:val="center"/>
              <w:rPr>
                <w:rFonts w:ascii="宋体" w:hAnsi="宋体" w:eastAsia="宋体" w:cs="宋体"/>
                <w:kern w:val="0"/>
              </w:rPr>
            </w:pPr>
            <w:r>
              <w:rPr>
                <w:rFonts w:ascii="宋体" w:hAnsi="宋体" w:eastAsia="宋体" w:cs="宋体"/>
                <w:kern w:val="0"/>
              </w:rPr>
              <w:t>1</w:t>
            </w:r>
          </w:p>
        </w:tc>
        <w:tc>
          <w:tcPr>
            <w:tcW w:w="940" w:type="dxa"/>
            <w:vAlign w:val="center"/>
          </w:tcPr>
          <w:p w14:paraId="5D714873">
            <w:pPr>
              <w:widowControl/>
              <w:spacing w:line="500" w:lineRule="exact"/>
              <w:jc w:val="center"/>
              <w:rPr>
                <w:rFonts w:ascii="宋体" w:hAnsi="宋体" w:eastAsia="宋体" w:cs="Times New Roman"/>
                <w:kern w:val="0"/>
              </w:rPr>
            </w:pPr>
            <w:r>
              <w:rPr>
                <w:rFonts w:hint="eastAsia" w:ascii="宋体" w:hAnsi="宋体" w:eastAsia="宋体" w:cs="宋体"/>
                <w:kern w:val="0"/>
              </w:rPr>
              <w:t>价格分</w:t>
            </w:r>
          </w:p>
        </w:tc>
        <w:tc>
          <w:tcPr>
            <w:tcW w:w="709" w:type="dxa"/>
            <w:gridSpan w:val="2"/>
            <w:vAlign w:val="center"/>
          </w:tcPr>
          <w:p w14:paraId="5AC2FF22">
            <w:pPr>
              <w:pStyle w:val="23"/>
              <w:spacing w:line="500" w:lineRule="exact"/>
              <w:jc w:val="left"/>
              <w:rPr>
                <w:rFonts w:hAnsi="宋体" w:cs="Times New Roman"/>
                <w:kern w:val="2"/>
                <w:sz w:val="21"/>
                <w:szCs w:val="21"/>
              </w:rPr>
            </w:pPr>
            <w:r>
              <w:rPr>
                <w:rFonts w:hAnsi="宋体"/>
                <w:kern w:val="2"/>
                <w:sz w:val="21"/>
                <w:szCs w:val="21"/>
              </w:rPr>
              <w:t>20</w:t>
            </w:r>
            <w:r>
              <w:rPr>
                <w:rFonts w:hint="eastAsia" w:hAnsi="宋体"/>
                <w:kern w:val="2"/>
                <w:sz w:val="21"/>
                <w:szCs w:val="21"/>
              </w:rPr>
              <w:t>分</w:t>
            </w:r>
          </w:p>
        </w:tc>
        <w:tc>
          <w:tcPr>
            <w:tcW w:w="6977" w:type="dxa"/>
            <w:gridSpan w:val="2"/>
            <w:vAlign w:val="center"/>
          </w:tcPr>
          <w:p w14:paraId="04ABC595">
            <w:pPr>
              <w:spacing w:line="360" w:lineRule="auto"/>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评审价为供应商的最后报价进行政策性扣除后的价格，评审价只是作为评审时使用。最终成交供应商的成交金额等于最后报价（如有修正，以确认修正后的最后报价为准）。</w:t>
            </w:r>
          </w:p>
          <w:p w14:paraId="13225DD1">
            <w:pPr>
              <w:spacing w:line="360" w:lineRule="auto"/>
              <w:ind w:firstLine="420" w:firstLineChars="200"/>
              <w:rPr>
                <w:rFonts w:ascii="宋体" w:hAnsi="宋体" w:eastAsia="宋体" w:cs="Times New Roman"/>
              </w:rPr>
            </w:pPr>
            <w:r>
              <w:rPr>
                <w:rFonts w:ascii="宋体" w:hAnsi="宋体" w:eastAsia="宋体" w:cs="宋体"/>
              </w:rPr>
              <w:t xml:space="preserve">2. </w:t>
            </w:r>
            <w:r>
              <w:rPr>
                <w:rFonts w:hint="eastAsia" w:ascii="宋体" w:hAnsi="宋体" w:eastAsia="宋体" w:cs="宋体"/>
              </w:rPr>
              <w:t>本项目为专门面对中小企业项目，供应商应为符合《政府采购促进中小企业发展管理办法》（财库﹝</w:t>
            </w:r>
            <w:r>
              <w:rPr>
                <w:rFonts w:ascii="宋体" w:hAnsi="宋体" w:eastAsia="宋体" w:cs="宋体"/>
              </w:rPr>
              <w:t>2020</w:t>
            </w:r>
            <w:r>
              <w:rPr>
                <w:rFonts w:hint="eastAsia" w:ascii="宋体" w:hAnsi="宋体" w:eastAsia="宋体" w:cs="宋体"/>
              </w:rPr>
              <w:t>﹞</w:t>
            </w:r>
            <w:r>
              <w:rPr>
                <w:rFonts w:ascii="宋体" w:hAnsi="宋体" w:eastAsia="宋体" w:cs="宋体"/>
              </w:rPr>
              <w:t xml:space="preserve">46 </w:t>
            </w:r>
            <w:r>
              <w:rPr>
                <w:rFonts w:hint="eastAsia" w:ascii="宋体" w:hAnsi="宋体" w:eastAsia="宋体" w:cs="宋体"/>
              </w:rPr>
              <w:t>号）、《关于政府采购支持监狱企业发展有关问题的通知》</w:t>
            </w:r>
            <w:r>
              <w:rPr>
                <w:rFonts w:ascii="宋体" w:hAnsi="宋体" w:eastAsia="宋体" w:cs="宋体"/>
              </w:rPr>
              <w:t>(</w:t>
            </w:r>
            <w:r>
              <w:rPr>
                <w:rFonts w:hint="eastAsia" w:ascii="宋体" w:hAnsi="宋体" w:eastAsia="宋体" w:cs="宋体"/>
              </w:rPr>
              <w:t>财库〔</w:t>
            </w:r>
            <w:r>
              <w:rPr>
                <w:rFonts w:ascii="宋体" w:hAnsi="宋体" w:eastAsia="宋体" w:cs="宋体"/>
              </w:rPr>
              <w:t>2014</w:t>
            </w:r>
            <w:r>
              <w:rPr>
                <w:rFonts w:hint="eastAsia" w:ascii="宋体" w:hAnsi="宋体" w:eastAsia="宋体" w:cs="宋体"/>
              </w:rPr>
              <w:t>〕</w:t>
            </w:r>
            <w:r>
              <w:rPr>
                <w:rFonts w:ascii="宋体" w:hAnsi="宋体" w:eastAsia="宋体" w:cs="宋体"/>
              </w:rPr>
              <w:t xml:space="preserve">68 </w:t>
            </w:r>
            <w:r>
              <w:rPr>
                <w:rFonts w:hint="eastAsia" w:ascii="宋体" w:hAnsi="宋体" w:eastAsia="宋体" w:cs="宋体"/>
              </w:rPr>
              <w:t>号</w:t>
            </w:r>
            <w:r>
              <w:rPr>
                <w:rFonts w:ascii="宋体" w:hAnsi="宋体" w:eastAsia="宋体" w:cs="宋体"/>
              </w:rPr>
              <w:t>)</w:t>
            </w:r>
            <w:r>
              <w:rPr>
                <w:rFonts w:hint="eastAsia" w:ascii="宋体" w:hAnsi="宋体" w:eastAsia="宋体" w:cs="宋体"/>
              </w:rPr>
              <w:t>、《关于促进残疾人就业政府采购政策的通知》</w:t>
            </w:r>
            <w:r>
              <w:rPr>
                <w:rFonts w:ascii="宋体" w:hAnsi="宋体" w:eastAsia="宋体" w:cs="宋体"/>
              </w:rPr>
              <w:t>(</w:t>
            </w:r>
            <w:r>
              <w:rPr>
                <w:rFonts w:hint="eastAsia" w:ascii="宋体" w:hAnsi="宋体" w:eastAsia="宋体" w:cs="宋体"/>
              </w:rPr>
              <w:t>财库〔</w:t>
            </w:r>
            <w:r>
              <w:rPr>
                <w:rFonts w:ascii="宋体" w:hAnsi="宋体" w:eastAsia="宋体" w:cs="宋体"/>
              </w:rPr>
              <w:t>2017</w:t>
            </w:r>
            <w:r>
              <w:rPr>
                <w:rFonts w:hint="eastAsia" w:ascii="宋体" w:hAnsi="宋体" w:eastAsia="宋体" w:cs="宋体"/>
              </w:rPr>
              <w:t>〕</w:t>
            </w:r>
            <w:r>
              <w:rPr>
                <w:rFonts w:ascii="宋体" w:hAnsi="宋体" w:eastAsia="宋体" w:cs="宋体"/>
              </w:rPr>
              <w:t xml:space="preserve">141 </w:t>
            </w:r>
            <w:r>
              <w:rPr>
                <w:rFonts w:hint="eastAsia" w:ascii="宋体" w:hAnsi="宋体" w:eastAsia="宋体" w:cs="宋体"/>
              </w:rPr>
              <w:t>号</w:t>
            </w:r>
            <w:r>
              <w:rPr>
                <w:rFonts w:ascii="宋体" w:hAnsi="宋体" w:eastAsia="宋体" w:cs="宋体"/>
              </w:rPr>
              <w:t>)</w:t>
            </w:r>
            <w:r>
              <w:rPr>
                <w:rFonts w:hint="eastAsia" w:ascii="宋体" w:hAnsi="宋体" w:eastAsia="宋体" w:cs="宋体"/>
              </w:rPr>
              <w:t>等规定的条件的中小微企业、或监狱企业、或残疾人福利性单位。按照《政府采购促进中小企业发展管理办法》（财库〔</w:t>
            </w:r>
            <w:r>
              <w:rPr>
                <w:rFonts w:ascii="宋体" w:hAnsi="宋体" w:eastAsia="宋体" w:cs="宋体"/>
              </w:rPr>
              <w:t>2020</w:t>
            </w:r>
            <w:r>
              <w:rPr>
                <w:rFonts w:hint="eastAsia" w:ascii="宋体" w:hAnsi="宋体" w:eastAsia="宋体" w:cs="宋体"/>
              </w:rPr>
              <w:t>〕</w:t>
            </w:r>
            <w:r>
              <w:rPr>
                <w:rFonts w:ascii="宋体" w:hAnsi="宋体" w:eastAsia="宋体" w:cs="宋体"/>
              </w:rPr>
              <w:t xml:space="preserve">46 </w:t>
            </w:r>
            <w:r>
              <w:rPr>
                <w:rFonts w:hint="eastAsia" w:ascii="宋体" w:hAnsi="宋体" w:eastAsia="宋体" w:cs="宋体"/>
              </w:rPr>
              <w:t>号）规定，中小企业、监狱企业、残疾人福利性单位不再执行价格评审优惠的扶持政策。</w:t>
            </w:r>
          </w:p>
          <w:p w14:paraId="37B7309A">
            <w:pPr>
              <w:spacing w:line="360" w:lineRule="auto"/>
              <w:ind w:firstLine="420" w:firstLineChars="200"/>
              <w:rPr>
                <w:rFonts w:ascii="宋体" w:hAnsi="宋体" w:eastAsia="宋体" w:cs="Times New Roman"/>
              </w:rPr>
            </w:pPr>
            <w:r>
              <w:rPr>
                <w:rFonts w:hint="eastAsia" w:ascii="宋体" w:hAnsi="宋体" w:eastAsia="宋体" w:cs="宋体"/>
              </w:rPr>
              <w:t>本项目属于建筑业，中型、小型或微型企业划分标准按照《关于印发中小企业划型标准规定的通知》（工信中联企业〔</w:t>
            </w:r>
            <w:r>
              <w:rPr>
                <w:rFonts w:ascii="宋体" w:hAnsi="宋体" w:eastAsia="宋体" w:cs="宋体"/>
              </w:rPr>
              <w:t>2011</w:t>
            </w:r>
            <w:r>
              <w:rPr>
                <w:rFonts w:hint="eastAsia" w:ascii="宋体" w:hAnsi="宋体" w:eastAsia="宋体" w:cs="宋体"/>
              </w:rPr>
              <w:t>〕</w:t>
            </w:r>
            <w:r>
              <w:rPr>
                <w:rFonts w:ascii="宋体" w:hAnsi="宋体" w:eastAsia="宋体" w:cs="宋体"/>
              </w:rPr>
              <w:t>300</w:t>
            </w:r>
            <w:r>
              <w:rPr>
                <w:rFonts w:hint="eastAsia" w:ascii="宋体" w:hAnsi="宋体" w:eastAsia="宋体" w:cs="宋体"/>
              </w:rPr>
              <w:t>号）文件执行。</w:t>
            </w:r>
          </w:p>
          <w:p w14:paraId="583A13C8">
            <w:pPr>
              <w:spacing w:line="360" w:lineRule="auto"/>
              <w:ind w:firstLine="420" w:firstLineChars="200"/>
              <w:rPr>
                <w:rFonts w:ascii="宋体" w:hAnsi="宋体" w:eastAsia="宋体" w:cs="Times New Roman"/>
              </w:rPr>
            </w:pPr>
            <w:r>
              <w:rPr>
                <w:rFonts w:ascii="宋体" w:hAnsi="宋体" w:eastAsia="宋体" w:cs="宋体"/>
              </w:rPr>
              <w:t>3.</w:t>
            </w:r>
            <w:r>
              <w:rPr>
                <w:rFonts w:hint="eastAsia" w:ascii="宋体" w:hAnsi="宋体" w:eastAsia="宋体" w:cs="宋体"/>
              </w:rPr>
              <w:t>以进入比较与评价环节的最低的评审价为基准价，基准价得分为</w:t>
            </w:r>
            <w:r>
              <w:rPr>
                <w:rFonts w:ascii="宋体" w:hAnsi="宋体" w:eastAsia="宋体" w:cs="宋体"/>
              </w:rPr>
              <w:t>20</w:t>
            </w:r>
            <w:r>
              <w:rPr>
                <w:rFonts w:hint="eastAsia" w:ascii="宋体" w:hAnsi="宋体" w:eastAsia="宋体" w:cs="宋体"/>
              </w:rPr>
              <w:t>分。</w:t>
            </w:r>
          </w:p>
          <w:p w14:paraId="5691F90E">
            <w:pPr>
              <w:spacing w:line="360" w:lineRule="auto"/>
              <w:ind w:firstLine="420" w:firstLineChars="200"/>
              <w:rPr>
                <w:rFonts w:ascii="宋体" w:hAnsi="宋体" w:eastAsia="宋体" w:cs="Times New Roman"/>
              </w:rPr>
            </w:pPr>
            <w:r>
              <w:rPr>
                <w:rFonts w:ascii="宋体" w:hAnsi="宋体" w:eastAsia="宋体" w:cs="宋体"/>
              </w:rPr>
              <w:t>4.</w:t>
            </w:r>
            <w:r>
              <w:rPr>
                <w:rFonts w:hint="eastAsia" w:ascii="宋体" w:hAnsi="宋体" w:eastAsia="宋体" w:cs="宋体"/>
              </w:rPr>
              <w:t>价格分计算公式：报价得分＝（基准价</w:t>
            </w:r>
            <w:r>
              <w:rPr>
                <w:rFonts w:ascii="宋体" w:hAnsi="宋体" w:eastAsia="宋体" w:cs="宋体"/>
              </w:rPr>
              <w:t>/</w:t>
            </w:r>
            <w:r>
              <w:rPr>
                <w:rFonts w:hint="eastAsia" w:ascii="宋体" w:hAnsi="宋体" w:eastAsia="宋体" w:cs="宋体"/>
              </w:rPr>
              <w:t>某供应商最后报价）×</w:t>
            </w:r>
            <w:r>
              <w:rPr>
                <w:rFonts w:ascii="宋体" w:hAnsi="宋体" w:eastAsia="宋体" w:cs="宋体"/>
              </w:rPr>
              <w:t>20</w:t>
            </w:r>
            <w:r>
              <w:rPr>
                <w:rFonts w:hint="eastAsia" w:ascii="宋体" w:hAnsi="宋体" w:eastAsia="宋体" w:cs="宋体"/>
              </w:rPr>
              <w:t>分</w:t>
            </w:r>
          </w:p>
        </w:tc>
      </w:tr>
      <w:tr w14:paraId="632A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8" w:type="dxa"/>
            <w:vMerge w:val="restart"/>
            <w:vAlign w:val="center"/>
          </w:tcPr>
          <w:p w14:paraId="115199F8">
            <w:pPr>
              <w:widowControl/>
              <w:spacing w:line="500" w:lineRule="exact"/>
              <w:jc w:val="center"/>
              <w:rPr>
                <w:rFonts w:ascii="宋体" w:hAnsi="宋体" w:eastAsia="宋体" w:cs="宋体"/>
                <w:kern w:val="0"/>
              </w:rPr>
            </w:pPr>
            <w:r>
              <w:rPr>
                <w:rFonts w:ascii="宋体" w:hAnsi="宋体" w:eastAsia="宋体" w:cs="宋体"/>
                <w:kern w:val="0"/>
              </w:rPr>
              <w:t>2</w:t>
            </w:r>
          </w:p>
        </w:tc>
        <w:tc>
          <w:tcPr>
            <w:tcW w:w="940" w:type="dxa"/>
            <w:vMerge w:val="restart"/>
            <w:vAlign w:val="center"/>
          </w:tcPr>
          <w:p w14:paraId="4500B2A7">
            <w:pPr>
              <w:widowControl/>
              <w:spacing w:line="500" w:lineRule="exact"/>
              <w:jc w:val="center"/>
              <w:rPr>
                <w:rFonts w:ascii="宋体" w:hAnsi="宋体" w:eastAsia="宋体" w:cs="Times New Roman"/>
                <w:kern w:val="0"/>
              </w:rPr>
            </w:pPr>
            <w:r>
              <w:rPr>
                <w:rFonts w:hint="eastAsia" w:ascii="宋体" w:hAnsi="宋体" w:eastAsia="宋体" w:cs="宋体"/>
                <w:kern w:val="0"/>
              </w:rPr>
              <w:t>项目实施方案</w:t>
            </w:r>
          </w:p>
        </w:tc>
        <w:tc>
          <w:tcPr>
            <w:tcW w:w="709" w:type="dxa"/>
            <w:gridSpan w:val="2"/>
            <w:vMerge w:val="restart"/>
            <w:vAlign w:val="center"/>
          </w:tcPr>
          <w:p w14:paraId="70633882">
            <w:pPr>
              <w:widowControl/>
              <w:spacing w:line="500" w:lineRule="exact"/>
              <w:jc w:val="center"/>
              <w:rPr>
                <w:rFonts w:ascii="宋体" w:hAnsi="宋体" w:eastAsia="宋体" w:cs="Times New Roman"/>
                <w:kern w:val="0"/>
              </w:rPr>
            </w:pPr>
            <w:r>
              <w:rPr>
                <w:rFonts w:ascii="宋体" w:hAnsi="宋体" w:eastAsia="宋体" w:cs="宋体"/>
                <w:kern w:val="0"/>
              </w:rPr>
              <w:t>70</w:t>
            </w:r>
            <w:r>
              <w:rPr>
                <w:rFonts w:hint="eastAsia" w:ascii="宋体" w:hAnsi="宋体" w:eastAsia="宋体" w:cs="宋体"/>
                <w:kern w:val="0"/>
              </w:rPr>
              <w:t>分</w:t>
            </w:r>
          </w:p>
        </w:tc>
        <w:tc>
          <w:tcPr>
            <w:tcW w:w="1559" w:type="dxa"/>
            <w:vAlign w:val="center"/>
          </w:tcPr>
          <w:p w14:paraId="18279F80">
            <w:pPr>
              <w:autoSpaceDE w:val="0"/>
              <w:autoSpaceDN w:val="0"/>
              <w:adjustRightInd w:val="0"/>
              <w:spacing w:line="500" w:lineRule="exact"/>
              <w:jc w:val="left"/>
              <w:rPr>
                <w:rFonts w:ascii="宋体" w:eastAsia="宋体" w:cs="Times New Roman"/>
                <w:kern w:val="0"/>
              </w:rPr>
            </w:pPr>
            <w:r>
              <w:rPr>
                <w:rFonts w:ascii="宋体" w:hAnsi="宋体" w:eastAsia="宋体" w:cs="宋体"/>
                <w:kern w:val="0"/>
              </w:rPr>
              <w:t>2.1</w:t>
            </w:r>
            <w:r>
              <w:rPr>
                <w:rFonts w:hint="eastAsia" w:ascii="宋体" w:hAnsi="宋体" w:eastAsia="宋体" w:cs="宋体"/>
                <w:kern w:val="0"/>
              </w:rPr>
              <w:t>内容完整性和编制水平（</w:t>
            </w:r>
            <w:r>
              <w:rPr>
                <w:rFonts w:ascii="宋体" w:hAnsi="宋体" w:eastAsia="宋体" w:cs="宋体"/>
                <w:kern w:val="0"/>
              </w:rPr>
              <w:t>10</w:t>
            </w:r>
            <w:r>
              <w:rPr>
                <w:rFonts w:hint="eastAsia" w:ascii="宋体" w:hAnsi="宋体" w:eastAsia="宋体" w:cs="宋体"/>
                <w:kern w:val="0"/>
              </w:rPr>
              <w:t>分）</w:t>
            </w:r>
          </w:p>
        </w:tc>
        <w:tc>
          <w:tcPr>
            <w:tcW w:w="5418" w:type="dxa"/>
            <w:vAlign w:val="center"/>
          </w:tcPr>
          <w:p w14:paraId="4979A56A">
            <w:pPr>
              <w:pStyle w:val="23"/>
              <w:spacing w:line="360" w:lineRule="auto"/>
              <w:rPr>
                <w:rFonts w:hAnsi="宋体" w:cs="Times New Roman"/>
                <w:sz w:val="21"/>
                <w:szCs w:val="21"/>
              </w:rPr>
            </w:pPr>
            <w:r>
              <w:rPr>
                <w:rFonts w:hint="eastAsia" w:hAnsi="宋体"/>
                <w:sz w:val="21"/>
                <w:szCs w:val="21"/>
              </w:rPr>
              <w:t>一档</w:t>
            </w:r>
            <w:r>
              <w:rPr>
                <w:rFonts w:hAnsi="宋体"/>
                <w:sz w:val="21"/>
                <w:szCs w:val="21"/>
              </w:rPr>
              <w:t>(10</w:t>
            </w:r>
            <w:r>
              <w:rPr>
                <w:rFonts w:hint="eastAsia" w:hAnsi="宋体"/>
                <w:sz w:val="21"/>
                <w:szCs w:val="21"/>
              </w:rPr>
              <w:t>分）</w:t>
            </w:r>
            <w:r>
              <w:rPr>
                <w:rFonts w:hAnsi="宋体"/>
                <w:sz w:val="21"/>
                <w:szCs w:val="21"/>
              </w:rPr>
              <w:t>:</w:t>
            </w:r>
            <w:r>
              <w:rPr>
                <w:rFonts w:hint="eastAsia" w:hAnsi="宋体"/>
                <w:sz w:val="21"/>
                <w:szCs w:val="21"/>
              </w:rPr>
              <w:t>施工组织设计内容完整、清晰，编制合理，熟悉项目具体情况，对项目进度的多种风险预见全面，风险应对措施积极，能提供多种保障措施，项目管理方案最为详细、完整、具有可操作性，编制水平高。</w:t>
            </w:r>
          </w:p>
          <w:p w14:paraId="72C153CD">
            <w:pPr>
              <w:pStyle w:val="23"/>
              <w:spacing w:line="360" w:lineRule="auto"/>
              <w:rPr>
                <w:rFonts w:hAnsi="宋体" w:cs="Times New Roman"/>
                <w:sz w:val="21"/>
                <w:szCs w:val="21"/>
              </w:rPr>
            </w:pPr>
            <w:r>
              <w:rPr>
                <w:rFonts w:hint="eastAsia" w:hAnsi="宋体"/>
                <w:sz w:val="21"/>
                <w:szCs w:val="21"/>
              </w:rPr>
              <w:t>二档</w:t>
            </w:r>
            <w:r>
              <w:rPr>
                <w:rFonts w:hAnsi="宋体"/>
                <w:sz w:val="21"/>
                <w:szCs w:val="21"/>
              </w:rPr>
              <w:t>(7</w:t>
            </w:r>
            <w:r>
              <w:rPr>
                <w:rFonts w:hint="eastAsia" w:hAnsi="宋体"/>
                <w:sz w:val="21"/>
                <w:szCs w:val="21"/>
              </w:rPr>
              <w:t>分）</w:t>
            </w:r>
            <w:r>
              <w:rPr>
                <w:rFonts w:hAnsi="宋体"/>
                <w:sz w:val="21"/>
                <w:szCs w:val="21"/>
              </w:rPr>
              <w:t>:</w:t>
            </w:r>
            <w:r>
              <w:rPr>
                <w:rFonts w:hint="eastAsia" w:hAnsi="宋体"/>
                <w:sz w:val="21"/>
                <w:szCs w:val="21"/>
              </w:rPr>
              <w:t>施工组织设计内容较完整、编制较合理，熟悉项目具体情况，对项目进度的多种风险预见较全面，能提供多种保障措施，项目管理方案较为详细、完整、具有可操作性，编制水平较高。</w:t>
            </w:r>
          </w:p>
          <w:p w14:paraId="2E7AA3C7">
            <w:pPr>
              <w:pStyle w:val="23"/>
              <w:spacing w:line="360" w:lineRule="auto"/>
              <w:rPr>
                <w:rFonts w:hAnsi="宋体" w:cs="Times New Roman"/>
                <w:sz w:val="21"/>
                <w:szCs w:val="21"/>
              </w:rPr>
            </w:pPr>
            <w:r>
              <w:rPr>
                <w:rFonts w:hint="eastAsia" w:hAnsi="宋体"/>
                <w:sz w:val="21"/>
                <w:szCs w:val="21"/>
              </w:rPr>
              <w:t>三档</w:t>
            </w:r>
            <w:r>
              <w:rPr>
                <w:rFonts w:hAnsi="宋体"/>
                <w:sz w:val="21"/>
                <w:szCs w:val="21"/>
              </w:rPr>
              <w:t>(4</w:t>
            </w:r>
            <w:r>
              <w:rPr>
                <w:rFonts w:hint="eastAsia" w:hAnsi="宋体"/>
                <w:sz w:val="21"/>
                <w:szCs w:val="21"/>
              </w:rPr>
              <w:t>分）</w:t>
            </w:r>
            <w:r>
              <w:rPr>
                <w:rFonts w:hAnsi="宋体"/>
                <w:sz w:val="21"/>
                <w:szCs w:val="21"/>
              </w:rPr>
              <w:t>:</w:t>
            </w:r>
            <w:r>
              <w:rPr>
                <w:rFonts w:hint="eastAsia" w:hAnsi="宋体"/>
                <w:sz w:val="21"/>
                <w:szCs w:val="21"/>
              </w:rPr>
              <w:t>施工组织设计内容基本完整、基本清晰，编制基本合理。</w:t>
            </w:r>
          </w:p>
          <w:p w14:paraId="0E1251FF">
            <w:pPr>
              <w:pStyle w:val="23"/>
              <w:spacing w:line="360" w:lineRule="auto"/>
              <w:rPr>
                <w:rFonts w:hAnsi="宋体" w:cs="Times New Roman"/>
                <w:sz w:val="21"/>
                <w:szCs w:val="21"/>
              </w:rPr>
            </w:pPr>
            <w:r>
              <w:rPr>
                <w:rFonts w:hint="eastAsia" w:hAnsi="宋体"/>
                <w:sz w:val="21"/>
                <w:szCs w:val="21"/>
              </w:rPr>
              <w:t>四档</w:t>
            </w:r>
            <w:r>
              <w:rPr>
                <w:rFonts w:hAnsi="宋体"/>
                <w:sz w:val="21"/>
                <w:szCs w:val="21"/>
              </w:rPr>
              <w:t>(1</w:t>
            </w:r>
            <w:r>
              <w:rPr>
                <w:rFonts w:hint="eastAsia" w:hAnsi="宋体"/>
                <w:sz w:val="21"/>
                <w:szCs w:val="21"/>
              </w:rPr>
              <w:t>分）</w:t>
            </w:r>
            <w:r>
              <w:rPr>
                <w:rFonts w:hAnsi="宋体"/>
                <w:sz w:val="21"/>
                <w:szCs w:val="21"/>
              </w:rPr>
              <w:t>:</w:t>
            </w:r>
            <w:r>
              <w:rPr>
                <w:rFonts w:hint="eastAsia" w:hAnsi="宋体"/>
                <w:sz w:val="21"/>
                <w:szCs w:val="21"/>
              </w:rPr>
              <w:t>施工组织设计内容不完整，有一定的措施但内容不符合项目实际情况。</w:t>
            </w:r>
          </w:p>
        </w:tc>
      </w:tr>
      <w:tr w14:paraId="00B9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8" w:type="dxa"/>
            <w:vMerge w:val="continue"/>
            <w:vAlign w:val="center"/>
          </w:tcPr>
          <w:p w14:paraId="26F46432">
            <w:pPr>
              <w:widowControl/>
              <w:spacing w:line="500" w:lineRule="exact"/>
              <w:jc w:val="center"/>
              <w:rPr>
                <w:rFonts w:ascii="宋体" w:hAnsi="宋体" w:eastAsia="宋体" w:cs="Times New Roman"/>
                <w:kern w:val="0"/>
              </w:rPr>
            </w:pPr>
          </w:p>
        </w:tc>
        <w:tc>
          <w:tcPr>
            <w:tcW w:w="940" w:type="dxa"/>
            <w:vMerge w:val="continue"/>
            <w:vAlign w:val="center"/>
          </w:tcPr>
          <w:p w14:paraId="64EB972E">
            <w:pPr>
              <w:widowControl/>
              <w:spacing w:line="500" w:lineRule="exact"/>
              <w:jc w:val="center"/>
              <w:rPr>
                <w:rFonts w:ascii="宋体" w:hAnsi="宋体" w:eastAsia="宋体" w:cs="Times New Roman"/>
                <w:kern w:val="0"/>
              </w:rPr>
            </w:pPr>
          </w:p>
        </w:tc>
        <w:tc>
          <w:tcPr>
            <w:tcW w:w="709" w:type="dxa"/>
            <w:gridSpan w:val="2"/>
            <w:vMerge w:val="continue"/>
            <w:vAlign w:val="center"/>
          </w:tcPr>
          <w:p w14:paraId="5FFEB9AF">
            <w:pPr>
              <w:widowControl/>
              <w:spacing w:line="500" w:lineRule="exact"/>
              <w:jc w:val="center"/>
              <w:rPr>
                <w:rFonts w:ascii="宋体" w:hAnsi="宋体" w:eastAsia="宋体" w:cs="Times New Roman"/>
                <w:kern w:val="0"/>
              </w:rPr>
            </w:pPr>
          </w:p>
        </w:tc>
        <w:tc>
          <w:tcPr>
            <w:tcW w:w="1559" w:type="dxa"/>
            <w:vAlign w:val="center"/>
          </w:tcPr>
          <w:p w14:paraId="36316CB4">
            <w:pPr>
              <w:autoSpaceDE w:val="0"/>
              <w:autoSpaceDN w:val="0"/>
              <w:adjustRightInd w:val="0"/>
              <w:spacing w:line="500" w:lineRule="exact"/>
              <w:jc w:val="left"/>
              <w:rPr>
                <w:rFonts w:ascii="宋体" w:hAnsi="宋体" w:eastAsia="宋体" w:cs="Times New Roman"/>
                <w:kern w:val="0"/>
              </w:rPr>
            </w:pPr>
            <w:r>
              <w:rPr>
                <w:rFonts w:ascii="宋体" w:hAnsi="宋体" w:eastAsia="宋体" w:cs="宋体"/>
                <w:kern w:val="0"/>
              </w:rPr>
              <w:t>2.2</w:t>
            </w:r>
            <w:r>
              <w:rPr>
                <w:rFonts w:hint="eastAsia" w:ascii="宋体" w:hAnsi="宋体" w:eastAsia="宋体" w:cs="宋体"/>
                <w:kern w:val="0"/>
              </w:rPr>
              <w:t>施工方案与技术措施（</w:t>
            </w:r>
            <w:r>
              <w:rPr>
                <w:rFonts w:ascii="宋体" w:hAnsi="宋体" w:eastAsia="宋体" w:cs="宋体"/>
                <w:kern w:val="0"/>
              </w:rPr>
              <w:t xml:space="preserve">10 </w:t>
            </w:r>
            <w:r>
              <w:rPr>
                <w:rFonts w:hint="eastAsia" w:ascii="宋体" w:hAnsi="宋体" w:eastAsia="宋体" w:cs="宋体"/>
                <w:kern w:val="0"/>
              </w:rPr>
              <w:t>分）</w:t>
            </w:r>
          </w:p>
        </w:tc>
        <w:tc>
          <w:tcPr>
            <w:tcW w:w="5418" w:type="dxa"/>
            <w:vAlign w:val="center"/>
          </w:tcPr>
          <w:p w14:paraId="63A1750A">
            <w:pPr>
              <w:widowControl/>
              <w:spacing w:line="500" w:lineRule="exact"/>
              <w:rPr>
                <w:rFonts w:ascii="宋体" w:hAnsi="宋体" w:eastAsia="宋体" w:cs="Times New Roman"/>
                <w:kern w:val="0"/>
              </w:rPr>
            </w:pPr>
            <w:r>
              <w:rPr>
                <w:rFonts w:hint="eastAsia" w:ascii="宋体" w:hAnsi="宋体" w:eastAsia="宋体" w:cs="宋体"/>
                <w:kern w:val="0"/>
              </w:rPr>
              <w:t>一档</w:t>
            </w:r>
            <w:r>
              <w:rPr>
                <w:rFonts w:ascii="宋体" w:hAnsi="宋体" w:eastAsia="宋体" w:cs="宋体"/>
                <w:kern w:val="0"/>
              </w:rPr>
              <w:t>(10</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有项目总体概述，表达清晰、完整、合理</w:t>
            </w:r>
            <w:r>
              <w:rPr>
                <w:rFonts w:ascii="宋体" w:hAnsi="宋体" w:eastAsia="宋体" w:cs="宋体"/>
                <w:kern w:val="0"/>
              </w:rPr>
              <w:t>;</w:t>
            </w:r>
            <w:r>
              <w:rPr>
                <w:rFonts w:hint="eastAsia" w:ascii="宋体" w:hAnsi="宋体" w:eastAsia="宋体" w:cs="宋体"/>
                <w:kern w:val="0"/>
              </w:rPr>
              <w:t>有分部分项工程描述、施工段划分、施工现场图片，各主要分部施工方法符合项目实际，须有详尽的施工方案，工艺先进、方法科学合理、可行，能很好的指导具体施工并确保安全</w:t>
            </w:r>
            <w:r>
              <w:rPr>
                <w:rFonts w:ascii="宋体" w:hAnsi="宋体" w:eastAsia="宋体" w:cs="宋体"/>
                <w:kern w:val="0"/>
              </w:rPr>
              <w:t>;</w:t>
            </w:r>
            <w:r>
              <w:rPr>
                <w:rFonts w:hint="eastAsia" w:ascii="宋体" w:hAnsi="宋体" w:eastAsia="宋体" w:cs="宋体"/>
                <w:kern w:val="0"/>
              </w:rPr>
              <w:t>施工段划分呼应总体表述，划分清晰、合理，符合规范要求。</w:t>
            </w:r>
          </w:p>
          <w:p w14:paraId="16D0090A">
            <w:pPr>
              <w:widowControl/>
              <w:spacing w:line="500" w:lineRule="exact"/>
              <w:rPr>
                <w:rFonts w:ascii="宋体" w:hAnsi="宋体" w:eastAsia="宋体" w:cs="Times New Roman"/>
                <w:kern w:val="0"/>
              </w:rPr>
            </w:pPr>
            <w:r>
              <w:rPr>
                <w:rFonts w:hint="eastAsia" w:ascii="宋体" w:hAnsi="宋体" w:eastAsia="宋体" w:cs="宋体"/>
                <w:kern w:val="0"/>
              </w:rPr>
              <w:t>二档</w:t>
            </w:r>
            <w:r>
              <w:rPr>
                <w:rFonts w:ascii="宋体" w:hAnsi="宋体" w:eastAsia="宋体" w:cs="宋体"/>
                <w:kern w:val="0"/>
              </w:rPr>
              <w:t>(7</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有项目总体概述，表达较清晰、完整、合理</w:t>
            </w:r>
            <w:r>
              <w:rPr>
                <w:rFonts w:ascii="宋体" w:hAnsi="宋体" w:eastAsia="宋体" w:cs="宋体"/>
                <w:kern w:val="0"/>
              </w:rPr>
              <w:t>;</w:t>
            </w:r>
            <w:r>
              <w:rPr>
                <w:rFonts w:hint="eastAsia" w:ascii="宋体" w:hAnsi="宋体" w:eastAsia="宋体" w:cs="宋体"/>
                <w:kern w:val="0"/>
              </w:rPr>
              <w:t>有分部分项工程描述、施工段划分、施工现场图片，各主要分部施工方法符合项目实际，须有详尽的施工方案，工艺成熟、方法科学合理、可行，能较好的指导具体施工并确保安全</w:t>
            </w:r>
            <w:r>
              <w:rPr>
                <w:rFonts w:ascii="宋体" w:hAnsi="宋体" w:eastAsia="宋体" w:cs="宋体"/>
                <w:kern w:val="0"/>
              </w:rPr>
              <w:t>;</w:t>
            </w:r>
            <w:r>
              <w:rPr>
                <w:rFonts w:hint="eastAsia" w:ascii="宋体" w:hAnsi="宋体" w:eastAsia="宋体" w:cs="宋体"/>
                <w:kern w:val="0"/>
              </w:rPr>
              <w:t>施工段划分呼应总体表述，划分清晰、合理，符合规范要求。</w:t>
            </w:r>
          </w:p>
          <w:p w14:paraId="00BB1EB6">
            <w:pPr>
              <w:widowControl/>
              <w:spacing w:line="500" w:lineRule="exact"/>
              <w:rPr>
                <w:rFonts w:ascii="宋体" w:hAnsi="宋体" w:eastAsia="宋体" w:cs="Times New Roman"/>
                <w:kern w:val="0"/>
              </w:rPr>
            </w:pPr>
            <w:r>
              <w:rPr>
                <w:rFonts w:hint="eastAsia" w:ascii="宋体" w:hAnsi="宋体" w:eastAsia="宋体" w:cs="宋体"/>
                <w:kern w:val="0"/>
              </w:rPr>
              <w:t>三档</w:t>
            </w:r>
            <w:r>
              <w:rPr>
                <w:rFonts w:ascii="宋体" w:hAnsi="宋体" w:eastAsia="宋体" w:cs="宋体"/>
                <w:kern w:val="0"/>
              </w:rPr>
              <w:t>(4</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有项目总体概述，表达基本清晰、完整、合理</w:t>
            </w:r>
            <w:r>
              <w:rPr>
                <w:rFonts w:ascii="宋体" w:hAnsi="宋体" w:eastAsia="宋体" w:cs="宋体"/>
                <w:kern w:val="0"/>
              </w:rPr>
              <w:t>;</w:t>
            </w:r>
            <w:r>
              <w:rPr>
                <w:rFonts w:hint="eastAsia" w:ascii="宋体" w:hAnsi="宋体" w:eastAsia="宋体" w:cs="宋体"/>
                <w:kern w:val="0"/>
              </w:rPr>
              <w:t>有分部分项工程描述，各主要分部施工方法基本符合项目实际，施工方案一般，工艺一般、方法基本合理、可行，基本能指导具体施工并确保安全。</w:t>
            </w:r>
          </w:p>
          <w:p w14:paraId="2F0CDF1C">
            <w:pPr>
              <w:widowControl/>
              <w:spacing w:line="500" w:lineRule="exact"/>
              <w:rPr>
                <w:rFonts w:ascii="宋体" w:hAnsi="宋体" w:eastAsia="宋体" w:cs="Times New Roman"/>
                <w:kern w:val="0"/>
              </w:rPr>
            </w:pPr>
            <w:r>
              <w:rPr>
                <w:rFonts w:hint="eastAsia" w:ascii="宋体" w:hAnsi="宋体" w:eastAsia="宋体" w:cs="宋体"/>
                <w:kern w:val="0"/>
              </w:rPr>
              <w:t>四档</w:t>
            </w:r>
            <w:r>
              <w:rPr>
                <w:rFonts w:ascii="宋体" w:hAnsi="宋体" w:eastAsia="宋体" w:cs="宋体"/>
                <w:kern w:val="0"/>
              </w:rPr>
              <w:t>(1</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各主要分部施工方法针对性差，施工技术方案差，工艺落后、方法不合理，不能指导具体施工和确保安全。</w:t>
            </w:r>
          </w:p>
        </w:tc>
      </w:tr>
      <w:tr w14:paraId="1E38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8" w:type="dxa"/>
            <w:vMerge w:val="continue"/>
            <w:vAlign w:val="center"/>
          </w:tcPr>
          <w:p w14:paraId="135FC4D3">
            <w:pPr>
              <w:pStyle w:val="23"/>
              <w:spacing w:line="500" w:lineRule="exact"/>
              <w:jc w:val="center"/>
              <w:rPr>
                <w:rFonts w:hAnsi="宋体" w:cs="Times New Roman"/>
                <w:kern w:val="2"/>
                <w:sz w:val="21"/>
                <w:szCs w:val="21"/>
              </w:rPr>
            </w:pPr>
          </w:p>
        </w:tc>
        <w:tc>
          <w:tcPr>
            <w:tcW w:w="940" w:type="dxa"/>
            <w:vMerge w:val="continue"/>
            <w:vAlign w:val="center"/>
          </w:tcPr>
          <w:p w14:paraId="0C6E8FD8">
            <w:pPr>
              <w:pStyle w:val="23"/>
              <w:spacing w:line="500" w:lineRule="exact"/>
              <w:jc w:val="center"/>
              <w:rPr>
                <w:rFonts w:hAnsi="宋体" w:cs="Times New Roman"/>
                <w:kern w:val="2"/>
                <w:sz w:val="21"/>
                <w:szCs w:val="21"/>
              </w:rPr>
            </w:pPr>
          </w:p>
        </w:tc>
        <w:tc>
          <w:tcPr>
            <w:tcW w:w="709" w:type="dxa"/>
            <w:gridSpan w:val="2"/>
            <w:vMerge w:val="continue"/>
            <w:vAlign w:val="center"/>
          </w:tcPr>
          <w:p w14:paraId="189531CC">
            <w:pPr>
              <w:autoSpaceDE w:val="0"/>
              <w:autoSpaceDN w:val="0"/>
              <w:adjustRightInd w:val="0"/>
              <w:spacing w:line="500" w:lineRule="exact"/>
              <w:jc w:val="left"/>
              <w:rPr>
                <w:rFonts w:ascii="宋体" w:hAnsi="宋体" w:eastAsia="宋体" w:cs="Times New Roman"/>
              </w:rPr>
            </w:pPr>
          </w:p>
        </w:tc>
        <w:tc>
          <w:tcPr>
            <w:tcW w:w="1559" w:type="dxa"/>
            <w:vAlign w:val="center"/>
          </w:tcPr>
          <w:p w14:paraId="739F27BA">
            <w:pPr>
              <w:autoSpaceDE w:val="0"/>
              <w:autoSpaceDN w:val="0"/>
              <w:adjustRightInd w:val="0"/>
              <w:spacing w:line="500" w:lineRule="exact"/>
              <w:jc w:val="left"/>
              <w:rPr>
                <w:rFonts w:ascii="宋体" w:hAnsi="宋体" w:eastAsia="宋体" w:cs="Times New Roman"/>
              </w:rPr>
            </w:pPr>
            <w:r>
              <w:rPr>
                <w:rFonts w:ascii="宋体" w:hAnsi="宋体" w:eastAsia="宋体" w:cs="宋体"/>
              </w:rPr>
              <w:t>2.3</w:t>
            </w:r>
            <w:r>
              <w:rPr>
                <w:rFonts w:hint="eastAsia" w:ascii="宋体" w:hAnsi="宋体" w:eastAsia="宋体" w:cs="宋体"/>
              </w:rPr>
              <w:t>质量管理体系与措施</w:t>
            </w:r>
            <w:r>
              <w:rPr>
                <w:rFonts w:hint="eastAsia" w:ascii="宋体" w:hAnsi="宋体" w:eastAsia="宋体" w:cs="宋体"/>
                <w:kern w:val="0"/>
              </w:rPr>
              <w:t>（</w:t>
            </w:r>
            <w:r>
              <w:rPr>
                <w:rFonts w:ascii="宋体" w:hAnsi="宋体" w:eastAsia="宋体" w:cs="宋体"/>
                <w:kern w:val="0"/>
              </w:rPr>
              <w:t>10</w:t>
            </w:r>
            <w:r>
              <w:rPr>
                <w:rFonts w:hint="eastAsia" w:ascii="宋体" w:hAnsi="宋体" w:eastAsia="宋体" w:cs="宋体"/>
                <w:kern w:val="0"/>
              </w:rPr>
              <w:t>分）</w:t>
            </w:r>
          </w:p>
        </w:tc>
        <w:tc>
          <w:tcPr>
            <w:tcW w:w="5418" w:type="dxa"/>
            <w:vAlign w:val="center"/>
          </w:tcPr>
          <w:p w14:paraId="36C3426F">
            <w:pPr>
              <w:spacing w:line="500" w:lineRule="exact"/>
              <w:jc w:val="left"/>
              <w:rPr>
                <w:rFonts w:ascii="宋体" w:hAnsi="宋体" w:eastAsia="宋体" w:cs="Times New Roman"/>
                <w:kern w:val="0"/>
              </w:rPr>
            </w:pPr>
            <w:r>
              <w:rPr>
                <w:rFonts w:hint="eastAsia" w:ascii="宋体" w:hAnsi="宋体" w:eastAsia="宋体" w:cs="宋体"/>
                <w:kern w:val="0"/>
              </w:rPr>
              <w:t>一档</w:t>
            </w:r>
            <w:r>
              <w:rPr>
                <w:rFonts w:ascii="宋体" w:hAnsi="宋体" w:eastAsia="宋体" w:cs="宋体"/>
                <w:kern w:val="0"/>
              </w:rPr>
              <w:t>(10</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有专门的质量技术管理班子和制度，且人员配备合理，制度健全。有质量目标分解，且分解科学合理。有主要工序质量技术保证措施和手段、施工质量检验制度、施工质量教育培训制度、自控体系完整，能有效保证技术质量，完全能达到承诺的质量标准。</w:t>
            </w:r>
          </w:p>
          <w:p w14:paraId="76B63F87">
            <w:pPr>
              <w:spacing w:line="500" w:lineRule="exact"/>
              <w:jc w:val="left"/>
              <w:rPr>
                <w:rFonts w:ascii="宋体" w:hAnsi="宋体" w:eastAsia="宋体" w:cs="Times New Roman"/>
                <w:kern w:val="0"/>
              </w:rPr>
            </w:pPr>
            <w:r>
              <w:rPr>
                <w:rFonts w:hint="eastAsia" w:ascii="宋体" w:hAnsi="宋体" w:eastAsia="宋体" w:cs="宋体"/>
                <w:kern w:val="0"/>
              </w:rPr>
              <w:t>二档</w:t>
            </w:r>
            <w:r>
              <w:rPr>
                <w:rFonts w:ascii="宋体" w:hAnsi="宋体" w:eastAsia="宋体" w:cs="宋体"/>
                <w:kern w:val="0"/>
              </w:rPr>
              <w:t>(7</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有专门的质量技术管理班子和制度，且人员配备基本合理，制度较健全。有质量目标分解，且分解科学合理。有主要工序较好的质量技术保证措施和手段、施工质量检验制度、施工质量教育培训制度、自控体系较完整，基本能有效保证技术质量，能达到承诺的质量标准。</w:t>
            </w:r>
          </w:p>
          <w:p w14:paraId="71A14E04">
            <w:pPr>
              <w:spacing w:line="500" w:lineRule="exact"/>
              <w:jc w:val="left"/>
              <w:rPr>
                <w:rFonts w:ascii="宋体" w:hAnsi="宋体" w:eastAsia="宋体" w:cs="Times New Roman"/>
                <w:kern w:val="0"/>
              </w:rPr>
            </w:pPr>
            <w:r>
              <w:rPr>
                <w:rFonts w:hint="eastAsia" w:ascii="宋体" w:hAnsi="宋体" w:eastAsia="宋体" w:cs="宋体"/>
                <w:kern w:val="0"/>
              </w:rPr>
              <w:t>三档</w:t>
            </w:r>
            <w:r>
              <w:rPr>
                <w:rFonts w:ascii="宋体" w:hAnsi="宋体" w:eastAsia="宋体" w:cs="宋体"/>
                <w:kern w:val="0"/>
              </w:rPr>
              <w:t>(4</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有专门的质量技术管理班子和制度，且人员配备基本合理，制度基本健全。有主要工序基本的质量技术保证措施和手段</w:t>
            </w:r>
            <w:r>
              <w:rPr>
                <w:rFonts w:ascii="宋体" w:hAnsi="宋体" w:eastAsia="宋体" w:cs="宋体"/>
                <w:kern w:val="0"/>
              </w:rPr>
              <w:t>,</w:t>
            </w:r>
            <w:r>
              <w:rPr>
                <w:rFonts w:hint="eastAsia" w:ascii="宋体" w:hAnsi="宋体" w:eastAsia="宋体" w:cs="宋体"/>
                <w:kern w:val="0"/>
              </w:rPr>
              <w:t>自控体系较完整，基本能有效保证技术质量，基本达到承诺的质量标准。</w:t>
            </w:r>
          </w:p>
          <w:p w14:paraId="5204C9B1">
            <w:pPr>
              <w:spacing w:line="500" w:lineRule="exact"/>
              <w:jc w:val="left"/>
              <w:rPr>
                <w:rFonts w:ascii="宋体" w:hAnsi="宋体" w:eastAsia="宋体" w:cs="Times New Roman"/>
              </w:rPr>
            </w:pPr>
            <w:r>
              <w:rPr>
                <w:rFonts w:hint="eastAsia" w:ascii="宋体" w:hAnsi="宋体" w:eastAsia="宋体" w:cs="宋体"/>
                <w:kern w:val="0"/>
              </w:rPr>
              <w:t>四档</w:t>
            </w:r>
            <w:r>
              <w:rPr>
                <w:rFonts w:ascii="宋体" w:hAnsi="宋体" w:eastAsia="宋体" w:cs="宋体"/>
                <w:kern w:val="0"/>
              </w:rPr>
              <w:t>(1</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没有专门的质量技术管理班子和制度，且人员配备不合理，制度不健全。没有主要工序质量技术保证措施和手段，自控体系不完整，不能有效保证技术质量，不能达到承诺的质量标准。</w:t>
            </w:r>
          </w:p>
        </w:tc>
      </w:tr>
      <w:tr w14:paraId="5181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8" w:type="dxa"/>
            <w:vMerge w:val="continue"/>
            <w:vAlign w:val="center"/>
          </w:tcPr>
          <w:p w14:paraId="4904031B">
            <w:pPr>
              <w:pStyle w:val="23"/>
              <w:spacing w:line="500" w:lineRule="exact"/>
              <w:jc w:val="center"/>
              <w:rPr>
                <w:rFonts w:hAnsi="宋体" w:cs="Times New Roman"/>
                <w:kern w:val="2"/>
                <w:sz w:val="21"/>
                <w:szCs w:val="21"/>
              </w:rPr>
            </w:pPr>
          </w:p>
        </w:tc>
        <w:tc>
          <w:tcPr>
            <w:tcW w:w="940" w:type="dxa"/>
            <w:vMerge w:val="continue"/>
            <w:vAlign w:val="center"/>
          </w:tcPr>
          <w:p w14:paraId="2CC4292C">
            <w:pPr>
              <w:pStyle w:val="23"/>
              <w:spacing w:line="500" w:lineRule="exact"/>
              <w:jc w:val="center"/>
              <w:rPr>
                <w:rFonts w:hAnsi="宋体" w:cs="Times New Roman"/>
                <w:kern w:val="2"/>
                <w:sz w:val="21"/>
                <w:szCs w:val="21"/>
              </w:rPr>
            </w:pPr>
          </w:p>
        </w:tc>
        <w:tc>
          <w:tcPr>
            <w:tcW w:w="709" w:type="dxa"/>
            <w:gridSpan w:val="2"/>
            <w:vMerge w:val="continue"/>
            <w:vAlign w:val="center"/>
          </w:tcPr>
          <w:p w14:paraId="6761462C">
            <w:pPr>
              <w:autoSpaceDE w:val="0"/>
              <w:autoSpaceDN w:val="0"/>
              <w:adjustRightInd w:val="0"/>
              <w:spacing w:line="500" w:lineRule="exact"/>
              <w:jc w:val="left"/>
              <w:rPr>
                <w:rFonts w:ascii="宋体" w:hAnsi="宋体" w:eastAsia="宋体" w:cs="Times New Roman"/>
              </w:rPr>
            </w:pPr>
          </w:p>
        </w:tc>
        <w:tc>
          <w:tcPr>
            <w:tcW w:w="1559" w:type="dxa"/>
            <w:vAlign w:val="center"/>
          </w:tcPr>
          <w:p w14:paraId="3BEBD89B">
            <w:pPr>
              <w:autoSpaceDE w:val="0"/>
              <w:autoSpaceDN w:val="0"/>
              <w:adjustRightInd w:val="0"/>
              <w:spacing w:line="500" w:lineRule="exact"/>
              <w:jc w:val="left"/>
              <w:rPr>
                <w:rFonts w:ascii="宋体" w:hAnsi="宋体" w:eastAsia="宋体" w:cs="Times New Roman"/>
              </w:rPr>
            </w:pPr>
            <w:r>
              <w:rPr>
                <w:rFonts w:ascii="宋体" w:hAnsi="宋体" w:eastAsia="宋体" w:cs="宋体"/>
              </w:rPr>
              <w:t>2.4</w:t>
            </w:r>
            <w:r>
              <w:rPr>
                <w:rFonts w:hint="eastAsia" w:ascii="宋体" w:hAnsi="宋体" w:eastAsia="宋体" w:cs="宋体"/>
              </w:rPr>
              <w:t>安全管理体系与措施</w:t>
            </w:r>
            <w:r>
              <w:rPr>
                <w:rFonts w:hint="eastAsia" w:ascii="宋体" w:hAnsi="宋体" w:eastAsia="宋体" w:cs="宋体"/>
                <w:kern w:val="0"/>
              </w:rPr>
              <w:t>（</w:t>
            </w:r>
            <w:r>
              <w:rPr>
                <w:rFonts w:ascii="宋体" w:hAnsi="宋体" w:eastAsia="宋体" w:cs="宋体"/>
                <w:kern w:val="0"/>
              </w:rPr>
              <w:t xml:space="preserve">10 </w:t>
            </w:r>
            <w:r>
              <w:rPr>
                <w:rFonts w:hint="eastAsia" w:ascii="宋体" w:hAnsi="宋体" w:eastAsia="宋体" w:cs="宋体"/>
                <w:kern w:val="0"/>
              </w:rPr>
              <w:t>分）</w:t>
            </w:r>
          </w:p>
        </w:tc>
        <w:tc>
          <w:tcPr>
            <w:tcW w:w="5418" w:type="dxa"/>
            <w:vAlign w:val="center"/>
          </w:tcPr>
          <w:p w14:paraId="77D40111">
            <w:pPr>
              <w:spacing w:line="500" w:lineRule="exact"/>
              <w:jc w:val="left"/>
              <w:rPr>
                <w:rFonts w:ascii="宋体" w:hAnsi="宋体" w:eastAsia="宋体" w:cs="Times New Roman"/>
                <w:kern w:val="0"/>
              </w:rPr>
            </w:pPr>
            <w:r>
              <w:rPr>
                <w:rFonts w:hint="eastAsia" w:ascii="宋体" w:hAnsi="宋体" w:eastAsia="宋体" w:cs="宋体"/>
                <w:kern w:val="0"/>
              </w:rPr>
              <w:t>一档</w:t>
            </w:r>
            <w:r>
              <w:rPr>
                <w:rFonts w:ascii="宋体" w:hAnsi="宋体" w:eastAsia="宋体" w:cs="宋体"/>
                <w:kern w:val="0"/>
              </w:rPr>
              <w:t>(10</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安全生产和文明施工目标明确，安全生产和文明施工管理体系健全，有专门的安全管理人员和制度及承诺、安全生产责任制度、安全生产教育培训制度、且人员配备合理，各道工序安全技术措施针对性强，确保工程质量的技术组织措施符合实际且满足有关安全技术标准要求。施工现场临时用电方案、现场防火、应急救援、社会治安安全措施得力。</w:t>
            </w:r>
          </w:p>
          <w:p w14:paraId="12EDA552">
            <w:pPr>
              <w:spacing w:line="500" w:lineRule="exact"/>
              <w:jc w:val="left"/>
              <w:rPr>
                <w:rFonts w:ascii="宋体" w:hAnsi="宋体" w:eastAsia="宋体" w:cs="Times New Roman"/>
                <w:kern w:val="0"/>
              </w:rPr>
            </w:pPr>
            <w:r>
              <w:rPr>
                <w:rFonts w:hint="eastAsia" w:ascii="宋体" w:hAnsi="宋体" w:eastAsia="宋体" w:cs="宋体"/>
                <w:kern w:val="0"/>
              </w:rPr>
              <w:t>二档</w:t>
            </w:r>
            <w:r>
              <w:rPr>
                <w:rFonts w:ascii="宋体" w:hAnsi="宋体" w:eastAsia="宋体" w:cs="宋体"/>
                <w:kern w:val="0"/>
              </w:rPr>
              <w:t>(7</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安全生产和文明施工目标基本明确，安全生产和文明施工管理体系健全，有专门的安全管理人员和制度、安全生产责任制度、安全生产教育培训制度、且人员配备合理，各道工序安全技术措施针对性一般，确保工程质量的技术组织措施符合实际且基本满足有关安全技术标准要求。施工现场临时用电方案、现场防火、应急救援、社会治安安全措施一般。</w:t>
            </w:r>
          </w:p>
          <w:p w14:paraId="6E7919BE">
            <w:pPr>
              <w:spacing w:line="500" w:lineRule="exact"/>
              <w:jc w:val="left"/>
              <w:rPr>
                <w:rFonts w:ascii="宋体" w:hAnsi="宋体" w:eastAsia="宋体" w:cs="Times New Roman"/>
                <w:kern w:val="0"/>
              </w:rPr>
            </w:pPr>
            <w:r>
              <w:rPr>
                <w:rFonts w:hint="eastAsia" w:ascii="宋体" w:hAnsi="宋体" w:eastAsia="宋体" w:cs="宋体"/>
                <w:kern w:val="0"/>
              </w:rPr>
              <w:t>三档</w:t>
            </w:r>
            <w:r>
              <w:rPr>
                <w:rFonts w:ascii="宋体" w:hAnsi="宋体" w:eastAsia="宋体" w:cs="宋体"/>
                <w:kern w:val="0"/>
              </w:rPr>
              <w:t>(4</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安全生产和文明施工目标基本明确，安全生产和文明施工管理体系基本健全，有专门的安全管理人员和制度，且人员配备基本合理，各道工序安全技术措施针对性</w:t>
            </w:r>
            <w:r>
              <w:rPr>
                <w:rFonts w:ascii="宋体" w:hAnsi="宋体" w:eastAsia="宋体" w:cs="宋体"/>
                <w:kern w:val="0"/>
              </w:rPr>
              <w:t>- -</w:t>
            </w:r>
            <w:r>
              <w:rPr>
                <w:rFonts w:hint="eastAsia" w:ascii="宋体" w:hAnsi="宋体" w:eastAsia="宋体" w:cs="宋体"/>
                <w:kern w:val="0"/>
              </w:rPr>
              <w:t>般，确保工程质量的技术组织措基本符合实际且基本满足有关安全技术标准要求。现场防火、应急救援、社会治安安全措施得力一般。</w:t>
            </w:r>
          </w:p>
          <w:p w14:paraId="0B31C3F7">
            <w:pPr>
              <w:spacing w:line="500" w:lineRule="exact"/>
              <w:jc w:val="left"/>
              <w:rPr>
                <w:rFonts w:ascii="宋体" w:hAnsi="宋体" w:eastAsia="宋体" w:cs="Times New Roman"/>
              </w:rPr>
            </w:pPr>
            <w:r>
              <w:rPr>
                <w:rFonts w:hint="eastAsia" w:ascii="宋体" w:hAnsi="宋体" w:eastAsia="宋体" w:cs="宋体"/>
                <w:kern w:val="0"/>
              </w:rPr>
              <w:t>四档</w:t>
            </w:r>
            <w:r>
              <w:rPr>
                <w:rFonts w:ascii="宋体" w:hAnsi="宋体" w:eastAsia="宋体" w:cs="宋体"/>
                <w:kern w:val="0"/>
              </w:rPr>
              <w:t>(1</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安全生产和文明施工目标不明确，安全生产和文明施工管理体系不健全，有专门的安全管理人员和制度，人员配备不合理</w:t>
            </w:r>
            <w:r>
              <w:rPr>
                <w:rFonts w:ascii="宋体" w:hAnsi="宋体" w:eastAsia="宋体" w:cs="宋体"/>
                <w:kern w:val="0"/>
              </w:rPr>
              <w:t>,</w:t>
            </w:r>
            <w:r>
              <w:rPr>
                <w:rFonts w:hint="eastAsia" w:ascii="宋体" w:hAnsi="宋体" w:eastAsia="宋体" w:cs="宋体"/>
                <w:kern w:val="0"/>
              </w:rPr>
              <w:t>制度不健全，各道工序安全技术措施无针对性，不满足有关安全技术标准要求。现场防火、应急救援、社会治安安全措施不得力，无承诺。</w:t>
            </w:r>
          </w:p>
        </w:tc>
      </w:tr>
      <w:tr w14:paraId="79F4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8" w:type="dxa"/>
            <w:vMerge w:val="continue"/>
            <w:vAlign w:val="center"/>
          </w:tcPr>
          <w:p w14:paraId="04A3800A">
            <w:pPr>
              <w:pStyle w:val="23"/>
              <w:spacing w:line="500" w:lineRule="exact"/>
              <w:jc w:val="center"/>
              <w:rPr>
                <w:rFonts w:hAnsi="宋体" w:cs="Times New Roman"/>
                <w:kern w:val="2"/>
                <w:sz w:val="21"/>
                <w:szCs w:val="21"/>
              </w:rPr>
            </w:pPr>
          </w:p>
        </w:tc>
        <w:tc>
          <w:tcPr>
            <w:tcW w:w="940" w:type="dxa"/>
            <w:vMerge w:val="continue"/>
            <w:vAlign w:val="center"/>
          </w:tcPr>
          <w:p w14:paraId="1D64ABFD">
            <w:pPr>
              <w:pStyle w:val="23"/>
              <w:spacing w:line="500" w:lineRule="exact"/>
              <w:jc w:val="center"/>
              <w:rPr>
                <w:rFonts w:hAnsi="宋体" w:cs="Times New Roman"/>
                <w:kern w:val="2"/>
                <w:sz w:val="21"/>
                <w:szCs w:val="21"/>
              </w:rPr>
            </w:pPr>
          </w:p>
        </w:tc>
        <w:tc>
          <w:tcPr>
            <w:tcW w:w="709" w:type="dxa"/>
            <w:gridSpan w:val="2"/>
            <w:vMerge w:val="continue"/>
            <w:vAlign w:val="center"/>
          </w:tcPr>
          <w:p w14:paraId="28ADA94D">
            <w:pPr>
              <w:autoSpaceDE w:val="0"/>
              <w:autoSpaceDN w:val="0"/>
              <w:adjustRightInd w:val="0"/>
              <w:spacing w:line="500" w:lineRule="exact"/>
              <w:jc w:val="left"/>
              <w:rPr>
                <w:rFonts w:ascii="宋体" w:hAnsi="宋体" w:eastAsia="宋体" w:cs="Times New Roman"/>
              </w:rPr>
            </w:pPr>
          </w:p>
        </w:tc>
        <w:tc>
          <w:tcPr>
            <w:tcW w:w="1559" w:type="dxa"/>
            <w:vAlign w:val="center"/>
          </w:tcPr>
          <w:p w14:paraId="376E8F09">
            <w:pPr>
              <w:autoSpaceDE w:val="0"/>
              <w:autoSpaceDN w:val="0"/>
              <w:adjustRightInd w:val="0"/>
              <w:spacing w:line="500" w:lineRule="exact"/>
              <w:jc w:val="left"/>
              <w:rPr>
                <w:rFonts w:ascii="宋体" w:hAnsi="宋体" w:eastAsia="宋体" w:cs="Times New Roman"/>
              </w:rPr>
            </w:pPr>
            <w:r>
              <w:rPr>
                <w:rFonts w:ascii="宋体" w:hAnsi="宋体" w:eastAsia="宋体" w:cs="宋体"/>
              </w:rPr>
              <w:t>2.5</w:t>
            </w:r>
            <w:r>
              <w:rPr>
                <w:rFonts w:hint="eastAsia" w:ascii="宋体" w:hAnsi="宋体" w:eastAsia="宋体" w:cs="宋体"/>
              </w:rPr>
              <w:t>环境保护管理体系与措施</w:t>
            </w:r>
            <w:r>
              <w:rPr>
                <w:rFonts w:hint="eastAsia" w:ascii="宋体" w:hAnsi="宋体" w:eastAsia="宋体" w:cs="宋体"/>
                <w:kern w:val="0"/>
              </w:rPr>
              <w:t>（</w:t>
            </w:r>
            <w:r>
              <w:rPr>
                <w:rFonts w:ascii="宋体" w:hAnsi="宋体" w:eastAsia="宋体" w:cs="宋体"/>
                <w:kern w:val="0"/>
              </w:rPr>
              <w:t>10</w:t>
            </w:r>
            <w:r>
              <w:rPr>
                <w:rFonts w:hint="eastAsia" w:ascii="宋体" w:hAnsi="宋体" w:eastAsia="宋体" w:cs="宋体"/>
                <w:kern w:val="0"/>
              </w:rPr>
              <w:t>分）</w:t>
            </w:r>
          </w:p>
        </w:tc>
        <w:tc>
          <w:tcPr>
            <w:tcW w:w="5418" w:type="dxa"/>
            <w:vAlign w:val="center"/>
          </w:tcPr>
          <w:p w14:paraId="01AD974A">
            <w:pPr>
              <w:spacing w:line="500" w:lineRule="exact"/>
              <w:jc w:val="left"/>
              <w:rPr>
                <w:rFonts w:ascii="宋体" w:hAnsi="宋体" w:eastAsia="宋体" w:cs="Times New Roman"/>
                <w:kern w:val="0"/>
              </w:rPr>
            </w:pPr>
            <w:r>
              <w:rPr>
                <w:rFonts w:hint="eastAsia" w:ascii="宋体" w:hAnsi="宋体" w:eastAsia="宋体" w:cs="宋体"/>
                <w:kern w:val="0"/>
              </w:rPr>
              <w:t>一档</w:t>
            </w:r>
            <w:r>
              <w:rPr>
                <w:rFonts w:ascii="宋体" w:hAnsi="宋体" w:eastAsia="宋体" w:cs="宋体"/>
                <w:kern w:val="0"/>
              </w:rPr>
              <w:t>(10</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环境保护目标非常明确，环境保护管理体系健全</w:t>
            </w:r>
            <w:r>
              <w:rPr>
                <w:rFonts w:ascii="宋体" w:hAnsi="宋体" w:eastAsia="宋体" w:cs="宋体"/>
                <w:kern w:val="0"/>
              </w:rPr>
              <w:t>,</w:t>
            </w:r>
            <w:r>
              <w:rPr>
                <w:rFonts w:hint="eastAsia" w:ascii="宋体" w:hAnsi="宋体" w:eastAsia="宋体" w:cs="宋体"/>
                <w:kern w:val="0"/>
              </w:rPr>
              <w:t>预防和控制措施</w:t>
            </w:r>
            <w:r>
              <w:rPr>
                <w:rFonts w:ascii="宋体" w:hAnsi="宋体" w:eastAsia="宋体" w:cs="宋体"/>
                <w:kern w:val="0"/>
              </w:rPr>
              <w:t>(</w:t>
            </w:r>
            <w:r>
              <w:rPr>
                <w:rFonts w:hint="eastAsia" w:ascii="宋体" w:hAnsi="宋体" w:eastAsia="宋体" w:cs="宋体"/>
                <w:kern w:val="0"/>
              </w:rPr>
              <w:t>包括大气、水、噪声、固体废物、人群等环保工程</w:t>
            </w:r>
            <w:r>
              <w:rPr>
                <w:rFonts w:ascii="宋体" w:hAnsi="宋体" w:eastAsia="宋体" w:cs="宋体"/>
                <w:kern w:val="0"/>
              </w:rPr>
              <w:t>)</w:t>
            </w:r>
            <w:r>
              <w:rPr>
                <w:rFonts w:hint="eastAsia" w:ascii="宋体" w:hAnsi="宋体" w:eastAsia="宋体" w:cs="宋体"/>
                <w:kern w:val="0"/>
              </w:rPr>
              <w:t>具有针对性、内容全面、可行。</w:t>
            </w:r>
          </w:p>
          <w:p w14:paraId="1B1B55CA">
            <w:pPr>
              <w:spacing w:line="500" w:lineRule="exact"/>
              <w:jc w:val="left"/>
              <w:rPr>
                <w:rFonts w:ascii="宋体" w:hAnsi="宋体" w:eastAsia="宋体" w:cs="Times New Roman"/>
                <w:kern w:val="0"/>
              </w:rPr>
            </w:pPr>
            <w:r>
              <w:rPr>
                <w:rFonts w:hint="eastAsia" w:ascii="宋体" w:hAnsi="宋体" w:eastAsia="宋体" w:cs="宋体"/>
                <w:kern w:val="0"/>
              </w:rPr>
              <w:t>二档</w:t>
            </w:r>
            <w:r>
              <w:rPr>
                <w:rFonts w:ascii="宋体" w:hAnsi="宋体" w:eastAsia="宋体" w:cs="宋体"/>
                <w:kern w:val="0"/>
              </w:rPr>
              <w:t>(7</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环境保护目标明确，环境保护管理体系健全</w:t>
            </w:r>
            <w:r>
              <w:rPr>
                <w:rFonts w:ascii="宋体" w:hAnsi="宋体" w:eastAsia="宋体" w:cs="宋体"/>
                <w:kern w:val="0"/>
              </w:rPr>
              <w:t>,</w:t>
            </w:r>
            <w:r>
              <w:rPr>
                <w:rFonts w:hint="eastAsia" w:ascii="宋体" w:hAnsi="宋体" w:eastAsia="宋体" w:cs="宋体"/>
                <w:kern w:val="0"/>
              </w:rPr>
              <w:t>预防和控制措施</w:t>
            </w:r>
            <w:r>
              <w:rPr>
                <w:rFonts w:ascii="宋体" w:hAnsi="宋体" w:eastAsia="宋体" w:cs="宋体"/>
                <w:kern w:val="0"/>
              </w:rPr>
              <w:t>(</w:t>
            </w:r>
            <w:r>
              <w:rPr>
                <w:rFonts w:hint="eastAsia" w:ascii="宋体" w:hAnsi="宋体" w:eastAsia="宋体" w:cs="宋体"/>
                <w:kern w:val="0"/>
              </w:rPr>
              <w:t>包括大气、水、噪声、固体废物、人群等环保工程</w:t>
            </w:r>
            <w:r>
              <w:rPr>
                <w:rFonts w:ascii="宋体" w:hAnsi="宋体" w:eastAsia="宋体" w:cs="宋体"/>
                <w:kern w:val="0"/>
              </w:rPr>
              <w:t>)</w:t>
            </w:r>
            <w:r>
              <w:rPr>
                <w:rFonts w:hint="eastAsia" w:ascii="宋体" w:hAnsi="宋体" w:eastAsia="宋体" w:cs="宋体"/>
                <w:kern w:val="0"/>
              </w:rPr>
              <w:t>具有针对性、内容全面、可行。</w:t>
            </w:r>
          </w:p>
          <w:p w14:paraId="1D9D9663">
            <w:pPr>
              <w:spacing w:line="500" w:lineRule="exact"/>
              <w:jc w:val="left"/>
              <w:rPr>
                <w:rFonts w:ascii="宋体" w:hAnsi="宋体" w:eastAsia="宋体" w:cs="Times New Roman"/>
                <w:kern w:val="0"/>
              </w:rPr>
            </w:pPr>
            <w:r>
              <w:rPr>
                <w:rFonts w:hint="eastAsia" w:ascii="宋体" w:hAnsi="宋体" w:eastAsia="宋体" w:cs="宋体"/>
                <w:kern w:val="0"/>
              </w:rPr>
              <w:t>三档</w:t>
            </w:r>
            <w:r>
              <w:rPr>
                <w:rFonts w:ascii="宋体" w:hAnsi="宋体" w:eastAsia="宋体" w:cs="宋体"/>
                <w:kern w:val="0"/>
              </w:rPr>
              <w:t>(4</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环境保护目标基本明确，环境保护管理体系基本健全，预防和控制措施</w:t>
            </w:r>
            <w:r>
              <w:rPr>
                <w:rFonts w:ascii="宋体" w:hAnsi="宋体" w:eastAsia="宋体" w:cs="宋体"/>
                <w:kern w:val="0"/>
              </w:rPr>
              <w:t>(</w:t>
            </w:r>
            <w:r>
              <w:rPr>
                <w:rFonts w:hint="eastAsia" w:ascii="宋体" w:hAnsi="宋体" w:eastAsia="宋体" w:cs="宋体"/>
                <w:kern w:val="0"/>
              </w:rPr>
              <w:t>包括大气、水、噪声、固体废物、人群等环保工程</w:t>
            </w:r>
            <w:r>
              <w:rPr>
                <w:rFonts w:ascii="宋体" w:hAnsi="宋体" w:eastAsia="宋体" w:cs="宋体"/>
                <w:kern w:val="0"/>
              </w:rPr>
              <w:t>)</w:t>
            </w:r>
            <w:r>
              <w:rPr>
                <w:rFonts w:hint="eastAsia" w:ascii="宋体" w:hAnsi="宋体" w:eastAsia="宋体" w:cs="宋体"/>
                <w:kern w:val="0"/>
              </w:rPr>
              <w:t>有一定针对性、内容基本全面、基本可行。</w:t>
            </w:r>
          </w:p>
          <w:p w14:paraId="47189A50">
            <w:pPr>
              <w:spacing w:line="500" w:lineRule="exact"/>
              <w:jc w:val="left"/>
              <w:rPr>
                <w:rFonts w:ascii="宋体" w:hAnsi="宋体" w:eastAsia="宋体" w:cs="Times New Roman"/>
              </w:rPr>
            </w:pPr>
            <w:r>
              <w:rPr>
                <w:rFonts w:hint="eastAsia" w:ascii="宋体" w:hAnsi="宋体" w:eastAsia="宋体" w:cs="宋体"/>
                <w:kern w:val="0"/>
              </w:rPr>
              <w:t>四档</w:t>
            </w:r>
            <w:r>
              <w:rPr>
                <w:rFonts w:ascii="宋体" w:hAnsi="宋体" w:eastAsia="宋体" w:cs="宋体"/>
                <w:kern w:val="0"/>
              </w:rPr>
              <w:t>(1</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环境保护目标不明确，环境保护管理体系不健全</w:t>
            </w:r>
            <w:r>
              <w:rPr>
                <w:rFonts w:ascii="宋体" w:hAnsi="宋体" w:eastAsia="宋体" w:cs="宋体"/>
                <w:kern w:val="0"/>
              </w:rPr>
              <w:t>,</w:t>
            </w:r>
            <w:r>
              <w:rPr>
                <w:rFonts w:hint="eastAsia" w:ascii="宋体" w:hAnsi="宋体" w:eastAsia="宋体" w:cs="宋体"/>
                <w:kern w:val="0"/>
              </w:rPr>
              <w:t>预防和控制措施</w:t>
            </w:r>
            <w:r>
              <w:rPr>
                <w:rFonts w:ascii="宋体" w:hAnsi="宋体" w:eastAsia="宋体" w:cs="宋体"/>
                <w:kern w:val="0"/>
              </w:rPr>
              <w:t>(</w:t>
            </w:r>
            <w:r>
              <w:rPr>
                <w:rFonts w:hint="eastAsia" w:ascii="宋体" w:hAnsi="宋体" w:eastAsia="宋体" w:cs="宋体"/>
                <w:kern w:val="0"/>
              </w:rPr>
              <w:t>包括大气、水、噪声、固体废物、人群等环保工程</w:t>
            </w:r>
            <w:r>
              <w:rPr>
                <w:rFonts w:ascii="宋体" w:hAnsi="宋体" w:eastAsia="宋体" w:cs="宋体"/>
                <w:kern w:val="0"/>
              </w:rPr>
              <w:t>)</w:t>
            </w:r>
            <w:r>
              <w:rPr>
                <w:rFonts w:hint="eastAsia" w:ascii="宋体" w:hAnsi="宋体" w:eastAsia="宋体" w:cs="宋体"/>
                <w:kern w:val="0"/>
              </w:rPr>
              <w:t>无针对性、不可行。</w:t>
            </w:r>
          </w:p>
        </w:tc>
      </w:tr>
      <w:tr w14:paraId="6F8A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8" w:type="dxa"/>
            <w:vMerge w:val="continue"/>
            <w:vAlign w:val="center"/>
          </w:tcPr>
          <w:p w14:paraId="2A1240DF">
            <w:pPr>
              <w:pStyle w:val="23"/>
              <w:spacing w:line="500" w:lineRule="exact"/>
              <w:jc w:val="center"/>
              <w:rPr>
                <w:rFonts w:hAnsi="宋体" w:cs="Times New Roman"/>
                <w:kern w:val="2"/>
                <w:sz w:val="21"/>
                <w:szCs w:val="21"/>
              </w:rPr>
            </w:pPr>
          </w:p>
        </w:tc>
        <w:tc>
          <w:tcPr>
            <w:tcW w:w="940" w:type="dxa"/>
            <w:vMerge w:val="continue"/>
            <w:vAlign w:val="center"/>
          </w:tcPr>
          <w:p w14:paraId="264794E4">
            <w:pPr>
              <w:pStyle w:val="23"/>
              <w:spacing w:line="500" w:lineRule="exact"/>
              <w:jc w:val="center"/>
              <w:rPr>
                <w:rFonts w:hAnsi="宋体" w:cs="Times New Roman"/>
                <w:kern w:val="2"/>
                <w:sz w:val="21"/>
                <w:szCs w:val="21"/>
              </w:rPr>
            </w:pPr>
          </w:p>
        </w:tc>
        <w:tc>
          <w:tcPr>
            <w:tcW w:w="709" w:type="dxa"/>
            <w:gridSpan w:val="2"/>
            <w:vMerge w:val="continue"/>
            <w:vAlign w:val="center"/>
          </w:tcPr>
          <w:p w14:paraId="10AF344E">
            <w:pPr>
              <w:autoSpaceDE w:val="0"/>
              <w:autoSpaceDN w:val="0"/>
              <w:adjustRightInd w:val="0"/>
              <w:spacing w:line="500" w:lineRule="exact"/>
              <w:jc w:val="left"/>
              <w:rPr>
                <w:rFonts w:ascii="宋体" w:hAnsi="宋体" w:eastAsia="宋体" w:cs="Times New Roman"/>
              </w:rPr>
            </w:pPr>
          </w:p>
        </w:tc>
        <w:tc>
          <w:tcPr>
            <w:tcW w:w="1559" w:type="dxa"/>
            <w:vAlign w:val="center"/>
          </w:tcPr>
          <w:p w14:paraId="02011698">
            <w:pPr>
              <w:autoSpaceDE w:val="0"/>
              <w:autoSpaceDN w:val="0"/>
              <w:adjustRightInd w:val="0"/>
              <w:spacing w:line="500" w:lineRule="exact"/>
              <w:jc w:val="left"/>
              <w:rPr>
                <w:rFonts w:ascii="宋体" w:hAnsi="宋体" w:eastAsia="宋体" w:cs="Times New Roman"/>
              </w:rPr>
            </w:pPr>
            <w:r>
              <w:rPr>
                <w:rFonts w:ascii="宋体" w:hAnsi="宋体" w:eastAsia="宋体" w:cs="宋体"/>
              </w:rPr>
              <w:t>2.6</w:t>
            </w:r>
            <w:r>
              <w:rPr>
                <w:rFonts w:hint="eastAsia" w:ascii="宋体" w:hAnsi="宋体" w:eastAsia="宋体" w:cs="宋体"/>
              </w:rPr>
              <w:t>工程进度计划与措施</w:t>
            </w:r>
            <w:r>
              <w:rPr>
                <w:rFonts w:hint="eastAsia" w:ascii="宋体" w:hAnsi="宋体" w:eastAsia="宋体" w:cs="宋体"/>
                <w:kern w:val="0"/>
              </w:rPr>
              <w:t>（</w:t>
            </w:r>
            <w:r>
              <w:rPr>
                <w:rFonts w:ascii="宋体" w:hAnsi="宋体" w:eastAsia="宋体" w:cs="宋体"/>
                <w:kern w:val="0"/>
              </w:rPr>
              <w:t xml:space="preserve">10 </w:t>
            </w:r>
            <w:r>
              <w:rPr>
                <w:rFonts w:hint="eastAsia" w:ascii="宋体" w:hAnsi="宋体" w:eastAsia="宋体" w:cs="宋体"/>
                <w:kern w:val="0"/>
              </w:rPr>
              <w:t>分）</w:t>
            </w:r>
          </w:p>
        </w:tc>
        <w:tc>
          <w:tcPr>
            <w:tcW w:w="5418" w:type="dxa"/>
            <w:vAlign w:val="center"/>
          </w:tcPr>
          <w:p w14:paraId="2CBAD079">
            <w:pPr>
              <w:autoSpaceDE w:val="0"/>
              <w:autoSpaceDN w:val="0"/>
              <w:adjustRightInd w:val="0"/>
              <w:spacing w:line="500" w:lineRule="exact"/>
              <w:jc w:val="left"/>
              <w:rPr>
                <w:rFonts w:ascii="宋体" w:hAnsi="宋体" w:eastAsia="宋体" w:cs="Times New Roman"/>
                <w:kern w:val="0"/>
              </w:rPr>
            </w:pPr>
            <w:r>
              <w:rPr>
                <w:rFonts w:hint="eastAsia" w:ascii="宋体" w:hAnsi="宋体" w:eastAsia="宋体" w:cs="宋体"/>
                <w:kern w:val="0"/>
              </w:rPr>
              <w:t>一档</w:t>
            </w:r>
            <w:r>
              <w:rPr>
                <w:rFonts w:ascii="宋体" w:hAnsi="宋体" w:eastAsia="宋体" w:cs="宋体"/>
                <w:kern w:val="0"/>
              </w:rPr>
              <w:t>(10</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施工总体进度计划得当，进度计划网络图清晰合理，各项计划图表编制完善，在施工工艺、施工方法、材料选用、劳动力安排、技术等方面有保证工期的具体措施及承诺且措施得当。有控制工期的施工进度计划、三班倒加班措施。安排科学合理，符合本项目施工实际要求。</w:t>
            </w:r>
          </w:p>
          <w:p w14:paraId="26C0D3C0">
            <w:pPr>
              <w:autoSpaceDE w:val="0"/>
              <w:autoSpaceDN w:val="0"/>
              <w:adjustRightInd w:val="0"/>
              <w:spacing w:line="500" w:lineRule="exact"/>
              <w:jc w:val="left"/>
              <w:rPr>
                <w:rFonts w:ascii="宋体" w:hAnsi="宋体" w:eastAsia="宋体" w:cs="Times New Roman"/>
                <w:kern w:val="0"/>
              </w:rPr>
            </w:pPr>
            <w:r>
              <w:rPr>
                <w:rFonts w:hint="eastAsia" w:ascii="宋体" w:hAnsi="宋体" w:eastAsia="宋体" w:cs="宋体"/>
                <w:kern w:val="0"/>
              </w:rPr>
              <w:t>二档</w:t>
            </w:r>
            <w:r>
              <w:rPr>
                <w:rFonts w:ascii="宋体" w:hAnsi="宋体" w:eastAsia="宋体" w:cs="宋体"/>
                <w:kern w:val="0"/>
              </w:rPr>
              <w:t>(7</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施工总体进度计划得当，进度计划网络图较为清晰合理，各项计划图表编制相对完善，在施工工艺、施工方法、材料选用、劳动力安排、技术等方面有较好的保证工期的具体措施且措施比较得当。有控制工期的施工进度计划、三班倒加班措施。有施工总进度表或施工网络图，安排基本科学合理，基本符合本项目施工实际要求。</w:t>
            </w:r>
          </w:p>
          <w:p w14:paraId="5D064AA2">
            <w:pPr>
              <w:autoSpaceDE w:val="0"/>
              <w:autoSpaceDN w:val="0"/>
              <w:adjustRightInd w:val="0"/>
              <w:spacing w:line="500" w:lineRule="exact"/>
              <w:jc w:val="left"/>
              <w:rPr>
                <w:rFonts w:ascii="宋体" w:hAnsi="宋体" w:eastAsia="宋体" w:cs="Times New Roman"/>
                <w:kern w:val="0"/>
              </w:rPr>
            </w:pPr>
            <w:r>
              <w:rPr>
                <w:rFonts w:hint="eastAsia" w:ascii="宋体" w:hAnsi="宋体" w:eastAsia="宋体" w:cs="宋体"/>
                <w:kern w:val="0"/>
              </w:rPr>
              <w:t>三档</w:t>
            </w:r>
            <w:r>
              <w:rPr>
                <w:rFonts w:ascii="宋体" w:hAnsi="宋体" w:eastAsia="宋体" w:cs="宋体"/>
                <w:kern w:val="0"/>
              </w:rPr>
              <w:t>(4</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施工总体进度计划基本得当，进度计划网络图基本合理，在施工工艺、施工方法、材料选用、劳动力安排、技术等方面有基本的保证工期的具体措施且措施基本得当。有控制工期的施工进度计划。有施工总进度表或施工网络图，各项计划图表编制基本合理，安排基本合理，基本符合本项目施工实际要求。</w:t>
            </w:r>
          </w:p>
          <w:p w14:paraId="2A3DBCE8">
            <w:pPr>
              <w:autoSpaceDE w:val="0"/>
              <w:autoSpaceDN w:val="0"/>
              <w:adjustRightInd w:val="0"/>
              <w:spacing w:line="500" w:lineRule="exact"/>
              <w:jc w:val="left"/>
              <w:rPr>
                <w:rFonts w:ascii="宋体" w:hAnsi="宋体" w:eastAsia="宋体" w:cs="Times New Roman"/>
              </w:rPr>
            </w:pPr>
            <w:r>
              <w:rPr>
                <w:rFonts w:hint="eastAsia" w:ascii="宋体" w:hAnsi="宋体" w:eastAsia="宋体" w:cs="宋体"/>
                <w:kern w:val="0"/>
              </w:rPr>
              <w:t>四档</w:t>
            </w:r>
            <w:r>
              <w:rPr>
                <w:rFonts w:ascii="宋体" w:hAnsi="宋体" w:eastAsia="宋体" w:cs="宋体"/>
                <w:kern w:val="0"/>
              </w:rPr>
              <w:t>(1</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施工总体进度计划不得当</w:t>
            </w:r>
            <w:r>
              <w:rPr>
                <w:rFonts w:ascii="宋体" w:hAnsi="宋体" w:eastAsia="宋体" w:cs="宋体"/>
                <w:kern w:val="0"/>
              </w:rPr>
              <w:t>,</w:t>
            </w:r>
            <w:r>
              <w:rPr>
                <w:rFonts w:hint="eastAsia" w:ascii="宋体" w:hAnsi="宋体" w:eastAsia="宋体" w:cs="宋体"/>
                <w:kern w:val="0"/>
              </w:rPr>
              <w:t>进度计划网络图不合理</w:t>
            </w:r>
            <w:r>
              <w:rPr>
                <w:rFonts w:ascii="宋体" w:hAnsi="宋体" w:eastAsia="宋体" w:cs="宋体"/>
                <w:kern w:val="0"/>
              </w:rPr>
              <w:t>,</w:t>
            </w:r>
            <w:r>
              <w:rPr>
                <w:rFonts w:hint="eastAsia" w:ascii="宋体" w:hAnsi="宋体" w:eastAsia="宋体" w:cs="宋体"/>
                <w:kern w:val="0"/>
              </w:rPr>
              <w:t>在施工工艺、施工方法、材料选用、劳动力安排、技术等方面没有保证工期的具体措施且措施不当，无承诺。没有控制工期的施工进度计划。没有施工总进度表或施工网络图，各项计划图表编制不完善，安排不科学合理，不符合本项目施工实际要求。</w:t>
            </w:r>
          </w:p>
        </w:tc>
      </w:tr>
      <w:tr w14:paraId="179B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8" w:type="dxa"/>
            <w:vMerge w:val="continue"/>
            <w:vAlign w:val="center"/>
          </w:tcPr>
          <w:p w14:paraId="7CD0CF9E">
            <w:pPr>
              <w:pStyle w:val="23"/>
              <w:spacing w:line="500" w:lineRule="exact"/>
              <w:jc w:val="center"/>
              <w:rPr>
                <w:rFonts w:hAnsi="宋体" w:cs="Times New Roman"/>
                <w:kern w:val="2"/>
                <w:sz w:val="21"/>
                <w:szCs w:val="21"/>
              </w:rPr>
            </w:pPr>
          </w:p>
        </w:tc>
        <w:tc>
          <w:tcPr>
            <w:tcW w:w="940" w:type="dxa"/>
            <w:vMerge w:val="continue"/>
            <w:vAlign w:val="center"/>
          </w:tcPr>
          <w:p w14:paraId="36BD525D">
            <w:pPr>
              <w:pStyle w:val="23"/>
              <w:spacing w:line="500" w:lineRule="exact"/>
              <w:jc w:val="center"/>
              <w:rPr>
                <w:rFonts w:hAnsi="宋体" w:cs="Times New Roman"/>
                <w:kern w:val="2"/>
                <w:sz w:val="21"/>
                <w:szCs w:val="21"/>
              </w:rPr>
            </w:pPr>
          </w:p>
        </w:tc>
        <w:tc>
          <w:tcPr>
            <w:tcW w:w="709" w:type="dxa"/>
            <w:gridSpan w:val="2"/>
            <w:vMerge w:val="continue"/>
            <w:vAlign w:val="center"/>
          </w:tcPr>
          <w:p w14:paraId="78DFCDA2">
            <w:pPr>
              <w:autoSpaceDE w:val="0"/>
              <w:autoSpaceDN w:val="0"/>
              <w:adjustRightInd w:val="0"/>
              <w:spacing w:line="500" w:lineRule="exact"/>
              <w:jc w:val="left"/>
              <w:rPr>
                <w:rFonts w:ascii="宋体" w:hAnsi="宋体" w:eastAsia="宋体" w:cs="Times New Roman"/>
              </w:rPr>
            </w:pPr>
          </w:p>
        </w:tc>
        <w:tc>
          <w:tcPr>
            <w:tcW w:w="1559" w:type="dxa"/>
            <w:vAlign w:val="center"/>
          </w:tcPr>
          <w:p w14:paraId="2E2D07E9">
            <w:pPr>
              <w:autoSpaceDE w:val="0"/>
              <w:autoSpaceDN w:val="0"/>
              <w:adjustRightInd w:val="0"/>
              <w:spacing w:line="500" w:lineRule="exact"/>
              <w:jc w:val="left"/>
              <w:rPr>
                <w:rFonts w:ascii="宋体" w:hAnsi="宋体" w:eastAsia="宋体" w:cs="Times New Roman"/>
              </w:rPr>
            </w:pPr>
            <w:r>
              <w:rPr>
                <w:rFonts w:ascii="宋体" w:hAnsi="宋体" w:eastAsia="宋体" w:cs="宋体"/>
              </w:rPr>
              <w:t>2.7</w:t>
            </w:r>
            <w:r>
              <w:rPr>
                <w:rFonts w:hint="eastAsia" w:ascii="宋体" w:hAnsi="宋体" w:eastAsia="宋体" w:cs="宋体"/>
              </w:rPr>
              <w:t>资源配置计划</w:t>
            </w:r>
            <w:r>
              <w:rPr>
                <w:rFonts w:hint="eastAsia" w:ascii="宋体" w:hAnsi="宋体" w:eastAsia="宋体" w:cs="宋体"/>
                <w:kern w:val="0"/>
              </w:rPr>
              <w:t>（</w:t>
            </w:r>
            <w:r>
              <w:rPr>
                <w:rFonts w:ascii="宋体" w:hAnsi="宋体" w:eastAsia="宋体" w:cs="宋体"/>
                <w:kern w:val="0"/>
              </w:rPr>
              <w:t>10</w:t>
            </w:r>
            <w:r>
              <w:rPr>
                <w:rFonts w:hint="eastAsia" w:ascii="宋体" w:hAnsi="宋体" w:eastAsia="宋体" w:cs="宋体"/>
                <w:kern w:val="0"/>
              </w:rPr>
              <w:t>分）</w:t>
            </w:r>
          </w:p>
        </w:tc>
        <w:tc>
          <w:tcPr>
            <w:tcW w:w="5418" w:type="dxa"/>
            <w:vAlign w:val="center"/>
          </w:tcPr>
          <w:p w14:paraId="71B200E4">
            <w:pPr>
              <w:spacing w:line="500" w:lineRule="exact"/>
              <w:jc w:val="left"/>
              <w:rPr>
                <w:rFonts w:ascii="宋体" w:hAnsi="宋体" w:eastAsia="宋体" w:cs="Times New Roman"/>
                <w:kern w:val="0"/>
              </w:rPr>
            </w:pPr>
            <w:r>
              <w:rPr>
                <w:rFonts w:hint="eastAsia" w:ascii="宋体" w:hAnsi="宋体" w:eastAsia="宋体" w:cs="宋体"/>
                <w:kern w:val="0"/>
              </w:rPr>
              <w:t>一档</w:t>
            </w:r>
            <w:r>
              <w:rPr>
                <w:rFonts w:ascii="宋体" w:hAnsi="宋体" w:eastAsia="宋体" w:cs="宋体"/>
                <w:kern w:val="0"/>
              </w:rPr>
              <w:t>(10</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各类施工及拟投入试验设备的配备类型、进场时间与施工组织设计相符，设备数量合理、类型齐全，有保证设备良好运行工况的措施，优于施工需要。各类人员的配备专业、进场时间与施工组织设计相符、安排合理，人员数量、专业技能优于施工要求，有保证施工人员相对稳定的措施。</w:t>
            </w:r>
          </w:p>
          <w:p w14:paraId="5A0CBC07">
            <w:pPr>
              <w:spacing w:line="500" w:lineRule="exact"/>
              <w:jc w:val="left"/>
              <w:rPr>
                <w:rFonts w:ascii="宋体" w:hAnsi="宋体" w:eastAsia="宋体" w:cs="Times New Roman"/>
                <w:kern w:val="0"/>
              </w:rPr>
            </w:pPr>
            <w:r>
              <w:rPr>
                <w:rFonts w:hint="eastAsia" w:ascii="宋体" w:hAnsi="宋体" w:eastAsia="宋体" w:cs="宋体"/>
                <w:kern w:val="0"/>
              </w:rPr>
              <w:t>二档</w:t>
            </w:r>
            <w:r>
              <w:rPr>
                <w:rFonts w:ascii="宋体" w:hAnsi="宋体" w:eastAsia="宋体" w:cs="宋体"/>
                <w:kern w:val="0"/>
              </w:rPr>
              <w:t>(7</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各类施工及试验设备的配备类型、进场时间与施工组织设计相符，设备数量合理、类型齐全，满足施工需要。各类人员的配备专业、进场时间与施工组织设计相符、安排有效，人员数量、专业技能满足施工要求。</w:t>
            </w:r>
          </w:p>
          <w:p w14:paraId="76B7346C">
            <w:pPr>
              <w:spacing w:line="500" w:lineRule="exact"/>
              <w:jc w:val="left"/>
              <w:rPr>
                <w:rFonts w:ascii="宋体" w:hAnsi="宋体" w:eastAsia="宋体" w:cs="Times New Roman"/>
                <w:kern w:val="0"/>
              </w:rPr>
            </w:pPr>
            <w:r>
              <w:rPr>
                <w:rFonts w:hint="eastAsia" w:ascii="宋体" w:hAnsi="宋体" w:eastAsia="宋体" w:cs="宋体"/>
                <w:kern w:val="0"/>
              </w:rPr>
              <w:t>三档</w:t>
            </w:r>
            <w:r>
              <w:rPr>
                <w:rFonts w:ascii="宋体" w:hAnsi="宋体" w:eastAsia="宋体" w:cs="宋体"/>
                <w:kern w:val="0"/>
              </w:rPr>
              <w:t>(4</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各类施工及试验设备的配备类型、进场时间与施工组织设计基本相符，设备数量基本合理、类型基本齐全，基本满足施工需要。各类人员的配备专业、进场时间与施工组织设计基本相符、安排有效，人员数量、专业技能基本满足施工要求。</w:t>
            </w:r>
          </w:p>
          <w:p w14:paraId="2D7962E0">
            <w:pPr>
              <w:spacing w:line="500" w:lineRule="exact"/>
              <w:jc w:val="left"/>
              <w:rPr>
                <w:rFonts w:ascii="宋体" w:hAnsi="宋体" w:eastAsia="宋体" w:cs="Times New Roman"/>
              </w:rPr>
            </w:pPr>
            <w:r>
              <w:rPr>
                <w:rFonts w:hint="eastAsia" w:ascii="宋体" w:hAnsi="宋体" w:eastAsia="宋体" w:cs="宋体"/>
                <w:kern w:val="0"/>
              </w:rPr>
              <w:t>四档</w:t>
            </w:r>
            <w:r>
              <w:rPr>
                <w:rFonts w:ascii="宋体" w:hAnsi="宋体" w:eastAsia="宋体" w:cs="宋体"/>
                <w:kern w:val="0"/>
              </w:rPr>
              <w:t>(1</w:t>
            </w:r>
            <w:r>
              <w:rPr>
                <w:rFonts w:hint="eastAsia" w:ascii="宋体" w:hAnsi="宋体" w:eastAsia="宋体" w:cs="宋体"/>
                <w:kern w:val="0"/>
              </w:rPr>
              <w:t>分）</w:t>
            </w:r>
            <w:r>
              <w:rPr>
                <w:rFonts w:ascii="宋体" w:hAnsi="宋体" w:eastAsia="宋体" w:cs="宋体"/>
                <w:kern w:val="0"/>
              </w:rPr>
              <w:t>:</w:t>
            </w:r>
            <w:r>
              <w:rPr>
                <w:rFonts w:hint="eastAsia" w:ascii="宋体" w:hAnsi="宋体" w:eastAsia="宋体" w:cs="宋体"/>
                <w:kern w:val="0"/>
              </w:rPr>
              <w:t>各类施工及试验设备的配备类型、进场时间与施工组织设计不相符，设备数量不合理、类型不齐全，不满足施工需要。各类人员的配备专业、进场时间与施工组织设计不相符、安排不合理，人员数量、专业技能不满足施工要求。</w:t>
            </w:r>
          </w:p>
        </w:tc>
      </w:tr>
      <w:tr w14:paraId="0BAA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8" w:type="dxa"/>
            <w:vAlign w:val="center"/>
          </w:tcPr>
          <w:p w14:paraId="7503488B">
            <w:pPr>
              <w:widowControl/>
              <w:spacing w:line="500" w:lineRule="exact"/>
              <w:jc w:val="center"/>
              <w:rPr>
                <w:rFonts w:ascii="宋体" w:hAnsi="宋体" w:eastAsia="宋体" w:cs="宋体"/>
                <w:kern w:val="0"/>
              </w:rPr>
            </w:pPr>
            <w:r>
              <w:rPr>
                <w:rFonts w:ascii="宋体" w:hAnsi="宋体" w:eastAsia="宋体" w:cs="宋体"/>
                <w:kern w:val="0"/>
              </w:rPr>
              <w:t>3</w:t>
            </w:r>
          </w:p>
        </w:tc>
        <w:tc>
          <w:tcPr>
            <w:tcW w:w="940" w:type="dxa"/>
            <w:vAlign w:val="center"/>
          </w:tcPr>
          <w:p w14:paraId="146DF603">
            <w:pPr>
              <w:widowControl/>
              <w:spacing w:line="500" w:lineRule="exact"/>
              <w:jc w:val="center"/>
              <w:rPr>
                <w:rFonts w:ascii="宋体" w:hAnsi="宋体" w:eastAsia="宋体" w:cs="Times New Roman"/>
              </w:rPr>
            </w:pPr>
            <w:r>
              <w:rPr>
                <w:rFonts w:hint="eastAsia" w:ascii="宋体" w:hAnsi="宋体" w:eastAsia="宋体" w:cs="宋体"/>
              </w:rPr>
              <w:t>业绩</w:t>
            </w:r>
          </w:p>
        </w:tc>
        <w:tc>
          <w:tcPr>
            <w:tcW w:w="703" w:type="dxa"/>
            <w:vAlign w:val="center"/>
          </w:tcPr>
          <w:p w14:paraId="74DFF831">
            <w:pPr>
              <w:widowControl/>
              <w:spacing w:line="500" w:lineRule="exact"/>
              <w:jc w:val="left"/>
              <w:rPr>
                <w:rFonts w:ascii="宋体" w:hAnsi="宋体" w:eastAsia="宋体" w:cs="Times New Roman"/>
                <w:kern w:val="0"/>
              </w:rPr>
            </w:pPr>
            <w:r>
              <w:rPr>
                <w:rFonts w:ascii="宋体" w:hAnsi="宋体" w:eastAsia="宋体" w:cs="宋体"/>
                <w:kern w:val="0"/>
              </w:rPr>
              <w:t>10</w:t>
            </w:r>
            <w:r>
              <w:rPr>
                <w:rFonts w:hint="eastAsia" w:ascii="宋体" w:hAnsi="宋体" w:eastAsia="宋体" w:cs="宋体"/>
                <w:kern w:val="0"/>
              </w:rPr>
              <w:t>分</w:t>
            </w:r>
          </w:p>
        </w:tc>
        <w:tc>
          <w:tcPr>
            <w:tcW w:w="6983" w:type="dxa"/>
            <w:gridSpan w:val="3"/>
            <w:vAlign w:val="center"/>
          </w:tcPr>
          <w:p w14:paraId="1F40293F">
            <w:pPr>
              <w:autoSpaceDE w:val="0"/>
              <w:autoSpaceDN w:val="0"/>
              <w:adjustRightInd w:val="0"/>
              <w:spacing w:line="500" w:lineRule="exact"/>
              <w:jc w:val="left"/>
              <w:rPr>
                <w:rFonts w:ascii="宋体" w:hAnsi="宋体" w:eastAsia="宋体" w:cs="Times New Roman"/>
                <w:kern w:val="0"/>
              </w:rPr>
            </w:pPr>
            <w:r>
              <w:rPr>
                <w:rFonts w:hint="eastAsia" w:ascii="宋体" w:hAnsi="宋体" w:eastAsia="宋体" w:cs="宋体"/>
                <w:kern w:val="0"/>
              </w:rPr>
              <w:t>自</w:t>
            </w:r>
            <w:r>
              <w:rPr>
                <w:rFonts w:ascii="宋体" w:hAnsi="宋体" w:eastAsia="宋体" w:cs="宋体"/>
                <w:kern w:val="0"/>
              </w:rPr>
              <w:t>2023</w:t>
            </w:r>
            <w:r>
              <w:rPr>
                <w:rFonts w:hint="eastAsia" w:ascii="宋体" w:hAnsi="宋体" w:eastAsia="宋体" w:cs="宋体"/>
                <w:kern w:val="0"/>
              </w:rPr>
              <w:t>年</w:t>
            </w:r>
            <w:r>
              <w:rPr>
                <w:rFonts w:ascii="宋体" w:hAnsi="宋体" w:eastAsia="宋体" w:cs="宋体"/>
                <w:kern w:val="0"/>
              </w:rPr>
              <w:t>3</w:t>
            </w:r>
            <w:r>
              <w:rPr>
                <w:rFonts w:hint="eastAsia" w:ascii="宋体" w:hAnsi="宋体" w:eastAsia="宋体" w:cs="宋体"/>
                <w:kern w:val="0"/>
              </w:rPr>
              <w:t>月</w:t>
            </w:r>
            <w:r>
              <w:rPr>
                <w:rFonts w:ascii="宋体" w:hAnsi="宋体" w:eastAsia="宋体" w:cs="宋体"/>
                <w:kern w:val="0"/>
              </w:rPr>
              <w:t xml:space="preserve">1 </w:t>
            </w:r>
            <w:r>
              <w:rPr>
                <w:rFonts w:hint="eastAsia" w:ascii="宋体" w:hAnsi="宋体" w:eastAsia="宋体" w:cs="宋体"/>
                <w:kern w:val="0"/>
              </w:rPr>
              <w:t>日至响应截止日供应商具有类似项目，每具有一项得</w:t>
            </w:r>
            <w:r>
              <w:rPr>
                <w:rFonts w:ascii="宋体" w:hAnsi="宋体" w:eastAsia="宋体" w:cs="宋体"/>
                <w:kern w:val="0"/>
              </w:rPr>
              <w:t>5</w:t>
            </w:r>
            <w:r>
              <w:rPr>
                <w:rFonts w:hint="eastAsia" w:ascii="宋体" w:hAnsi="宋体" w:eastAsia="宋体" w:cs="宋体"/>
                <w:kern w:val="0"/>
              </w:rPr>
              <w:t>分，满分得</w:t>
            </w:r>
            <w:r>
              <w:rPr>
                <w:rFonts w:ascii="宋体" w:hAnsi="宋体" w:eastAsia="宋体" w:cs="宋体"/>
                <w:kern w:val="0"/>
              </w:rPr>
              <w:t>10</w:t>
            </w:r>
            <w:r>
              <w:rPr>
                <w:rFonts w:hint="eastAsia" w:ascii="宋体" w:hAnsi="宋体" w:eastAsia="宋体" w:cs="宋体"/>
                <w:kern w:val="0"/>
              </w:rPr>
              <w:t>分。</w:t>
            </w:r>
          </w:p>
          <w:p w14:paraId="32B88880">
            <w:pPr>
              <w:autoSpaceDE w:val="0"/>
              <w:autoSpaceDN w:val="0"/>
              <w:adjustRightInd w:val="0"/>
              <w:spacing w:line="500" w:lineRule="exact"/>
              <w:jc w:val="left"/>
              <w:rPr>
                <w:rFonts w:ascii="宋体" w:hAnsi="宋体" w:eastAsia="宋体" w:cs="Times New Roman"/>
                <w:kern w:val="0"/>
              </w:rPr>
            </w:pPr>
            <w:r>
              <w:rPr>
                <w:rFonts w:hint="eastAsia" w:ascii="宋体" w:hAnsi="宋体" w:eastAsia="宋体" w:cs="宋体"/>
                <w:kern w:val="0"/>
              </w:rPr>
              <w:t>备注：完成的类似工程需同时附以下两种材料：①成交（中标）通知书或合同协议书；②工程完工验收鉴定书或工程竣工验收鉴定书。（时间以工程完工验收或竣工验收鉴定书标明的验收日期为准）。</w:t>
            </w:r>
          </w:p>
          <w:p w14:paraId="57E400EF">
            <w:pPr>
              <w:autoSpaceDE w:val="0"/>
              <w:autoSpaceDN w:val="0"/>
              <w:adjustRightInd w:val="0"/>
              <w:spacing w:line="500" w:lineRule="exact"/>
              <w:jc w:val="left"/>
              <w:rPr>
                <w:rFonts w:ascii="宋体" w:hAnsi="宋体" w:eastAsia="宋体" w:cs="Times New Roman"/>
                <w:kern w:val="0"/>
              </w:rPr>
            </w:pPr>
            <w:r>
              <w:rPr>
                <w:rFonts w:hint="eastAsia" w:ascii="宋体" w:hAnsi="宋体" w:eastAsia="宋体" w:cs="宋体"/>
                <w:kern w:val="0"/>
              </w:rPr>
              <w:t>正在施工的和新承接的类似工程需同时附以下两种材料：①成交（中标）通知书；②合同协议书；。</w:t>
            </w:r>
          </w:p>
        </w:tc>
      </w:tr>
      <w:tr w14:paraId="3115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94" w:type="dxa"/>
            <w:gridSpan w:val="6"/>
            <w:vAlign w:val="center"/>
          </w:tcPr>
          <w:p w14:paraId="623BF121">
            <w:pPr>
              <w:widowControl/>
              <w:spacing w:line="500" w:lineRule="exact"/>
              <w:jc w:val="center"/>
              <w:rPr>
                <w:rFonts w:ascii="宋体" w:hAnsi="宋体" w:eastAsia="宋体" w:cs="Times New Roman"/>
                <w:kern w:val="0"/>
              </w:rPr>
            </w:pPr>
            <w:r>
              <w:rPr>
                <w:rFonts w:hint="eastAsia" w:ascii="宋体" w:hAnsi="宋体" w:eastAsia="宋体" w:cs="宋体"/>
              </w:rPr>
              <w:t>总得分＝</w:t>
            </w:r>
            <w:r>
              <w:rPr>
                <w:rFonts w:ascii="宋体" w:hAnsi="宋体" w:eastAsia="宋体" w:cs="宋体"/>
              </w:rPr>
              <w:t>1</w:t>
            </w:r>
            <w:r>
              <w:rPr>
                <w:rFonts w:hint="eastAsia" w:ascii="宋体" w:hAnsi="宋体" w:eastAsia="宋体" w:cs="宋体"/>
              </w:rPr>
              <w:t>＋</w:t>
            </w:r>
            <w:r>
              <w:rPr>
                <w:rFonts w:ascii="宋体" w:hAnsi="宋体" w:eastAsia="宋体" w:cs="宋体"/>
              </w:rPr>
              <w:t>2</w:t>
            </w:r>
            <w:r>
              <w:rPr>
                <w:rFonts w:hint="eastAsia" w:ascii="宋体" w:hAnsi="宋体" w:eastAsia="宋体" w:cs="宋体"/>
              </w:rPr>
              <w:t>＋</w:t>
            </w:r>
            <w:r>
              <w:rPr>
                <w:rFonts w:ascii="宋体" w:hAnsi="宋体" w:eastAsia="宋体" w:cs="宋体"/>
              </w:rPr>
              <w:t>3=</w:t>
            </w:r>
            <w:r>
              <w:rPr>
                <w:rFonts w:hint="eastAsia" w:ascii="宋体" w:hAnsi="宋体" w:eastAsia="宋体" w:cs="宋体"/>
                <w:kern w:val="0"/>
              </w:rPr>
              <w:t>满分</w:t>
            </w:r>
            <w:r>
              <w:rPr>
                <w:rFonts w:ascii="宋体" w:hAnsi="宋体" w:eastAsia="宋体" w:cs="宋体"/>
                <w:kern w:val="0"/>
              </w:rPr>
              <w:t>100</w:t>
            </w:r>
            <w:r>
              <w:rPr>
                <w:rFonts w:hint="eastAsia" w:ascii="宋体" w:hAnsi="宋体" w:eastAsia="宋体" w:cs="宋体"/>
                <w:kern w:val="0"/>
              </w:rPr>
              <w:t>分</w:t>
            </w:r>
          </w:p>
        </w:tc>
      </w:tr>
    </w:tbl>
    <w:p w14:paraId="7F594B19">
      <w:pPr>
        <w:rPr>
          <w:rFonts w:cs="Times New Roman"/>
        </w:rPr>
      </w:pPr>
    </w:p>
    <w:p w14:paraId="72C65E9E">
      <w:pPr>
        <w:rPr>
          <w:rFonts w:cs="Times New Roman"/>
        </w:rPr>
      </w:pPr>
    </w:p>
    <w:p w14:paraId="2429DA46">
      <w:pPr>
        <w:widowControl/>
        <w:jc w:val="left"/>
        <w:rPr>
          <w:rFonts w:ascii="宋体" w:hAnsi="宋体" w:eastAsia="宋体" w:cs="Times New Roman"/>
          <w:b/>
          <w:bCs/>
          <w:sz w:val="30"/>
          <w:szCs w:val="30"/>
        </w:rPr>
      </w:pPr>
      <w:bookmarkStart w:id="87" w:name="_Toc110327561"/>
      <w:r>
        <w:rPr>
          <w:rFonts w:ascii="宋体" w:hAnsi="宋体" w:eastAsia="宋体" w:cs="Times New Roman"/>
          <w:b/>
          <w:bCs/>
          <w:sz w:val="30"/>
          <w:szCs w:val="30"/>
        </w:rPr>
        <w:br w:type="page"/>
      </w:r>
    </w:p>
    <w:p w14:paraId="1F8DBC48">
      <w:pPr>
        <w:jc w:val="center"/>
        <w:outlineLvl w:val="1"/>
        <w:rPr>
          <w:rFonts w:ascii="宋体" w:hAnsi="宋体" w:eastAsia="宋体" w:cs="Times New Roman"/>
          <w:b/>
          <w:bCs/>
          <w:sz w:val="30"/>
          <w:szCs w:val="30"/>
        </w:rPr>
      </w:pPr>
      <w:bookmarkStart w:id="88" w:name="_Toc14475"/>
      <w:bookmarkStart w:id="89" w:name="_Toc144977172"/>
      <w:r>
        <w:rPr>
          <w:rFonts w:hint="eastAsia" w:ascii="宋体" w:hAnsi="宋体" w:eastAsia="宋体" w:cs="宋体"/>
          <w:b/>
          <w:bCs/>
          <w:sz w:val="30"/>
          <w:szCs w:val="30"/>
        </w:rPr>
        <w:t>第二节</w:t>
      </w:r>
      <w:r>
        <w:rPr>
          <w:rFonts w:ascii="宋体" w:hAnsi="宋体" w:eastAsia="宋体" w:cs="宋体"/>
          <w:b/>
          <w:bCs/>
          <w:sz w:val="30"/>
          <w:szCs w:val="30"/>
        </w:rPr>
        <w:t xml:space="preserve"> </w:t>
      </w:r>
      <w:r>
        <w:rPr>
          <w:rFonts w:hint="eastAsia" w:ascii="宋体" w:hAnsi="宋体" w:eastAsia="宋体" w:cs="宋体"/>
          <w:b/>
          <w:bCs/>
          <w:sz w:val="30"/>
          <w:szCs w:val="30"/>
        </w:rPr>
        <w:t>评标报告</w:t>
      </w:r>
      <w:bookmarkEnd w:id="87"/>
      <w:bookmarkEnd w:id="88"/>
      <w:bookmarkEnd w:id="89"/>
    </w:p>
    <w:p w14:paraId="43C998E0">
      <w:pPr>
        <w:spacing w:line="500" w:lineRule="exact"/>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成交标准</w:t>
      </w:r>
    </w:p>
    <w:p w14:paraId="022F0657">
      <w:pPr>
        <w:spacing w:line="500" w:lineRule="exact"/>
        <w:ind w:firstLine="420" w:firstLineChars="200"/>
        <w:rPr>
          <w:rFonts w:ascii="宋体" w:hAnsi="宋体" w:eastAsia="宋体" w:cs="Times New Roman"/>
        </w:rPr>
      </w:pPr>
      <w:r>
        <w:rPr>
          <w:rFonts w:hint="eastAsia" w:ascii="宋体" w:hAnsi="宋体" w:eastAsia="宋体" w:cs="宋体"/>
        </w:rPr>
        <w:t>由磋商小组根据综合评分情况，按照评审得分由高到低顺序推荐</w:t>
      </w:r>
      <w:r>
        <w:rPr>
          <w:rFonts w:ascii="宋体" w:hAnsi="宋体" w:eastAsia="宋体" w:cs="宋体"/>
        </w:rPr>
        <w:t>3</w:t>
      </w:r>
      <w:r>
        <w:rPr>
          <w:rFonts w:hint="eastAsia" w:ascii="宋体" w:hAnsi="宋体" w:eastAsia="宋体" w:cs="宋体"/>
        </w:rPr>
        <w:t>名以上成交候选供应商</w:t>
      </w:r>
      <w:r>
        <w:rPr>
          <w:rFonts w:ascii="宋体" w:hAnsi="宋体" w:eastAsia="宋体" w:cs="宋体"/>
        </w:rPr>
        <w:t>,</w:t>
      </w:r>
      <w:r>
        <w:rPr>
          <w:rFonts w:hint="eastAsia" w:ascii="宋体" w:hAnsi="宋体" w:eastAsia="宋体" w:cs="宋体"/>
        </w:rPr>
        <w:t>并在线编写电子评审报告。符合本章第一节第</w:t>
      </w:r>
      <w:r>
        <w:rPr>
          <w:rFonts w:ascii="宋体" w:hAnsi="宋体" w:eastAsia="宋体" w:cs="宋体"/>
        </w:rPr>
        <w:t>5.3</w:t>
      </w:r>
      <w:r>
        <w:rPr>
          <w:rFonts w:hint="eastAsia" w:ascii="宋体" w:hAnsi="宋体" w:eastAsia="宋体" w:cs="宋体"/>
        </w:rPr>
        <w:t>条情形的，可以推荐</w:t>
      </w:r>
      <w:r>
        <w:rPr>
          <w:rFonts w:ascii="宋体" w:hAnsi="宋体" w:eastAsia="宋体" w:cs="宋体"/>
        </w:rPr>
        <w:t>2</w:t>
      </w:r>
      <w:r>
        <w:rPr>
          <w:rFonts w:hint="eastAsia" w:ascii="宋体" w:hAnsi="宋体" w:eastAsia="宋体" w:cs="宋体"/>
        </w:rPr>
        <w:t>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eastAsia="宋体" w:cs="宋体"/>
          <w:kern w:val="0"/>
        </w:rPr>
        <w:t>商务分</w:t>
      </w:r>
      <w:r>
        <w:rPr>
          <w:rFonts w:hint="eastAsia" w:ascii="宋体" w:hAnsi="宋体" w:eastAsia="宋体" w:cs="宋体"/>
        </w:rPr>
        <w:t>由高到低排序）。评审得分、最后报价（不计算价格折扣）、技术得分、</w:t>
      </w:r>
      <w:r>
        <w:rPr>
          <w:rFonts w:hint="eastAsia" w:ascii="宋体" w:eastAsia="宋体" w:cs="宋体"/>
          <w:kern w:val="0"/>
        </w:rPr>
        <w:t>商务分</w:t>
      </w:r>
      <w:r>
        <w:rPr>
          <w:rFonts w:hint="eastAsia" w:ascii="宋体" w:hAnsi="宋体" w:eastAsia="宋体" w:cs="宋体"/>
        </w:rPr>
        <w:t>分均相同的，由磋商小组随机抽取推荐。</w:t>
      </w:r>
    </w:p>
    <w:p w14:paraId="5B8DA4DD">
      <w:pPr>
        <w:spacing w:line="500" w:lineRule="exact"/>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评标争议事项处理</w:t>
      </w:r>
    </w:p>
    <w:p w14:paraId="243265E2">
      <w:pPr>
        <w:pStyle w:val="132"/>
        <w:spacing w:before="0" w:line="500" w:lineRule="exact"/>
        <w:ind w:firstLine="31680"/>
        <w:rPr>
          <w:rFonts w:ascii="宋体"/>
          <w:sz w:val="21"/>
          <w:szCs w:val="21"/>
        </w:rPr>
      </w:pPr>
      <w:r>
        <w:rPr>
          <w:rFonts w:hint="eastAsia" w:ascii="宋体" w:hAnsi="宋体" w:cs="宋体"/>
          <w:sz w:val="21"/>
          <w:szCs w:val="21"/>
        </w:rPr>
        <w:t>磋商小组成员对需要共同认定的事项存在争议的，应当按照少数服从多数的原则作出结论。持不同意见的磋商小组成员应当在评标报告上签署不同意见及理由，否则视为同意评标报告。</w:t>
      </w:r>
    </w:p>
    <w:p w14:paraId="49E46349">
      <w:pPr>
        <w:pStyle w:val="132"/>
        <w:spacing w:before="0"/>
        <w:ind w:firstLine="31680"/>
        <w:rPr>
          <w:rFonts w:ascii="宋体"/>
          <w:sz w:val="21"/>
          <w:szCs w:val="21"/>
        </w:rPr>
      </w:pPr>
    </w:p>
    <w:p w14:paraId="5E4DD81E">
      <w:pPr>
        <w:pStyle w:val="132"/>
        <w:spacing w:before="0"/>
        <w:ind w:firstLine="31680"/>
        <w:rPr>
          <w:rFonts w:ascii="宋体"/>
          <w:sz w:val="21"/>
          <w:szCs w:val="21"/>
        </w:rPr>
      </w:pPr>
    </w:p>
    <w:p w14:paraId="2A9264A2">
      <w:pPr>
        <w:jc w:val="center"/>
        <w:outlineLvl w:val="1"/>
        <w:rPr>
          <w:rFonts w:ascii="宋体" w:hAnsi="宋体" w:eastAsia="宋体" w:cs="Times New Roman"/>
          <w:b/>
          <w:bCs/>
          <w:sz w:val="30"/>
          <w:szCs w:val="30"/>
        </w:rPr>
      </w:pPr>
      <w:bookmarkStart w:id="90" w:name="_Toc144977173"/>
      <w:bookmarkStart w:id="91" w:name="_Toc110327562"/>
      <w:bookmarkStart w:id="92" w:name="_Toc80205936"/>
      <w:bookmarkStart w:id="93" w:name="_Toc15337"/>
      <w:r>
        <w:rPr>
          <w:rFonts w:hint="eastAsia" w:ascii="宋体" w:hAnsi="宋体" w:eastAsia="宋体" w:cs="宋体"/>
          <w:b/>
          <w:bCs/>
          <w:sz w:val="30"/>
          <w:szCs w:val="30"/>
        </w:rPr>
        <w:t>第三节</w:t>
      </w:r>
      <w:r>
        <w:rPr>
          <w:rFonts w:ascii="宋体" w:hAnsi="宋体" w:eastAsia="宋体" w:cs="宋体"/>
          <w:b/>
          <w:bCs/>
          <w:sz w:val="30"/>
          <w:szCs w:val="30"/>
        </w:rPr>
        <w:t xml:space="preserve"> </w:t>
      </w:r>
      <w:r>
        <w:rPr>
          <w:rFonts w:hint="eastAsia" w:ascii="宋体" w:hAnsi="宋体" w:eastAsia="宋体" w:cs="宋体"/>
          <w:b/>
          <w:bCs/>
          <w:sz w:val="30"/>
          <w:szCs w:val="30"/>
        </w:rPr>
        <w:t>评审过程的保密与录像</w:t>
      </w:r>
      <w:bookmarkEnd w:id="90"/>
      <w:bookmarkEnd w:id="91"/>
      <w:bookmarkEnd w:id="92"/>
      <w:bookmarkEnd w:id="93"/>
    </w:p>
    <w:p w14:paraId="254BCFD9">
      <w:pPr>
        <w:spacing w:line="500" w:lineRule="exact"/>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保密。</w:t>
      </w:r>
    </w:p>
    <w:p w14:paraId="4A8F5217">
      <w:pPr>
        <w:widowControl/>
        <w:spacing w:line="500" w:lineRule="exact"/>
        <w:ind w:firstLine="420" w:firstLineChars="200"/>
        <w:rPr>
          <w:rFonts w:ascii="宋体" w:hAnsi="宋体" w:eastAsia="宋体" w:cs="Times New Roman"/>
        </w:rPr>
      </w:pPr>
      <w:r>
        <w:rPr>
          <w:rFonts w:hint="eastAsia" w:ascii="宋体" w:hAnsi="宋体" w:eastAsia="宋体" w:cs="宋体"/>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AFF2EDF">
      <w:pPr>
        <w:widowControl/>
        <w:spacing w:line="500" w:lineRule="exact"/>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录音录像。</w:t>
      </w:r>
    </w:p>
    <w:p w14:paraId="7A52FE3B">
      <w:pPr>
        <w:spacing w:line="500" w:lineRule="exact"/>
        <w:ind w:firstLine="420" w:firstLineChars="200"/>
        <w:rPr>
          <w:rFonts w:ascii="宋体" w:hAnsi="宋体" w:eastAsia="宋体" w:cs="Times New Roman"/>
        </w:rPr>
      </w:pPr>
      <w:r>
        <w:rPr>
          <w:rFonts w:hint="eastAsia" w:ascii="宋体" w:hAnsi="宋体" w:eastAsia="宋体" w:cs="宋体"/>
        </w:rPr>
        <w:t>采购代理机构对评审工作现场及操作屏幕进行全过程录音录像，录音录像资料作为采购项目文件随其他文件一并存档。</w:t>
      </w:r>
    </w:p>
    <w:p w14:paraId="0828BDA4">
      <w:pPr>
        <w:spacing w:line="400" w:lineRule="exact"/>
        <w:ind w:firstLine="420" w:firstLineChars="200"/>
        <w:rPr>
          <w:rFonts w:ascii="宋体" w:hAnsi="宋体" w:eastAsia="宋体" w:cs="Times New Roman"/>
        </w:rPr>
      </w:pPr>
    </w:p>
    <w:p w14:paraId="364B06C1">
      <w:pPr>
        <w:rPr>
          <w:rFonts w:cs="Times New Roman"/>
        </w:rPr>
      </w:pPr>
    </w:p>
    <w:p w14:paraId="480A4806">
      <w:pPr>
        <w:rPr>
          <w:rFonts w:cs="Times New Roman"/>
        </w:rPr>
      </w:pPr>
    </w:p>
    <w:p w14:paraId="38BD2814">
      <w:pPr>
        <w:rPr>
          <w:rFonts w:cs="Times New Roman"/>
        </w:rPr>
      </w:pPr>
    </w:p>
    <w:p w14:paraId="79015F61">
      <w:pPr>
        <w:rPr>
          <w:rFonts w:cs="Times New Roman"/>
        </w:rPr>
      </w:pPr>
    </w:p>
    <w:p w14:paraId="07D9D5CE">
      <w:pPr>
        <w:rPr>
          <w:rFonts w:cs="Times New Roman"/>
        </w:rPr>
      </w:pPr>
    </w:p>
    <w:p w14:paraId="19DD4918">
      <w:pPr>
        <w:rPr>
          <w:rFonts w:cs="Times New Roman"/>
        </w:rPr>
      </w:pPr>
    </w:p>
    <w:p w14:paraId="60824B61">
      <w:pPr>
        <w:rPr>
          <w:rFonts w:cs="Times New Roman"/>
        </w:rPr>
      </w:pPr>
    </w:p>
    <w:p w14:paraId="36468C2E">
      <w:pPr>
        <w:rPr>
          <w:rFonts w:cs="Times New Roman"/>
        </w:rPr>
      </w:pPr>
    </w:p>
    <w:p w14:paraId="63E5D5C9">
      <w:pPr>
        <w:rPr>
          <w:rFonts w:cs="Times New Roman"/>
        </w:rPr>
      </w:pPr>
    </w:p>
    <w:bookmarkEnd w:id="86"/>
    <w:p w14:paraId="5C587F44">
      <w:pPr>
        <w:pStyle w:val="2"/>
      </w:pPr>
      <w:bookmarkStart w:id="94" w:name="_Toc15805"/>
      <w:bookmarkStart w:id="95" w:name="_Toc144977174"/>
      <w:r>
        <w:rPr>
          <w:rFonts w:hint="eastAsia" w:cs="宋体"/>
        </w:rPr>
        <w:t>第五章</w:t>
      </w:r>
      <w:r>
        <w:t xml:space="preserve"> </w:t>
      </w:r>
      <w:r>
        <w:rPr>
          <w:rFonts w:hint="eastAsia" w:cs="宋体"/>
        </w:rPr>
        <w:t>响应文件格式</w:t>
      </w:r>
      <w:bookmarkEnd w:id="94"/>
      <w:bookmarkEnd w:id="95"/>
    </w:p>
    <w:p w14:paraId="4DF7ADD2">
      <w:pPr>
        <w:jc w:val="center"/>
        <w:rPr>
          <w:rFonts w:ascii="宋体" w:hAnsi="宋体" w:eastAsia="宋体" w:cs="Times New Roman"/>
          <w:sz w:val="30"/>
          <w:szCs w:val="30"/>
        </w:rPr>
      </w:pPr>
      <w:bookmarkStart w:id="96" w:name="_Toc80205938"/>
    </w:p>
    <w:p w14:paraId="0ACC5AC3">
      <w:pPr>
        <w:jc w:val="center"/>
        <w:rPr>
          <w:rFonts w:ascii="宋体" w:hAnsi="宋体" w:eastAsia="宋体" w:cs="Times New Roman"/>
          <w:sz w:val="30"/>
          <w:szCs w:val="30"/>
        </w:rPr>
      </w:pPr>
    </w:p>
    <w:p w14:paraId="0E311F66">
      <w:pPr>
        <w:jc w:val="center"/>
        <w:outlineLvl w:val="1"/>
        <w:rPr>
          <w:rFonts w:ascii="宋体" w:hAnsi="宋体" w:eastAsia="宋体" w:cs="Times New Roman"/>
          <w:b/>
          <w:bCs/>
          <w:sz w:val="30"/>
          <w:szCs w:val="30"/>
        </w:rPr>
      </w:pPr>
      <w:bookmarkStart w:id="97" w:name="_Toc12902"/>
      <w:bookmarkStart w:id="98" w:name="_Toc137571897"/>
      <w:bookmarkStart w:id="99" w:name="_Toc144977175"/>
      <w:r>
        <w:rPr>
          <w:rFonts w:hint="eastAsia" w:ascii="宋体" w:hAnsi="宋体" w:eastAsia="宋体" w:cs="宋体"/>
          <w:b/>
          <w:bCs/>
          <w:sz w:val="30"/>
          <w:szCs w:val="30"/>
        </w:rPr>
        <w:t>第一节</w:t>
      </w:r>
      <w:r>
        <w:rPr>
          <w:rFonts w:ascii="宋体" w:hAnsi="宋体" w:eastAsia="宋体" w:cs="宋体"/>
          <w:b/>
          <w:bCs/>
          <w:sz w:val="30"/>
          <w:szCs w:val="30"/>
        </w:rPr>
        <w:t xml:space="preserve"> </w:t>
      </w:r>
      <w:r>
        <w:rPr>
          <w:rFonts w:hint="eastAsia" w:ascii="宋体" w:hAnsi="宋体" w:eastAsia="宋体" w:cs="宋体"/>
          <w:b/>
          <w:bCs/>
          <w:sz w:val="30"/>
          <w:szCs w:val="30"/>
        </w:rPr>
        <w:t>封面格式</w:t>
      </w:r>
      <w:bookmarkEnd w:id="96"/>
      <w:bookmarkEnd w:id="97"/>
      <w:bookmarkEnd w:id="98"/>
      <w:bookmarkEnd w:id="99"/>
    </w:p>
    <w:p w14:paraId="0CFB495D">
      <w:pPr>
        <w:snapToGrid w:val="0"/>
        <w:spacing w:beforeLines="50" w:after="50"/>
        <w:rPr>
          <w:rFonts w:ascii="宋体" w:hAnsi="宋体" w:eastAsia="宋体" w:cs="Times New Roman"/>
          <w:sz w:val="24"/>
          <w:szCs w:val="24"/>
        </w:rPr>
      </w:pPr>
    </w:p>
    <w:p w14:paraId="477DFAEC">
      <w:pPr>
        <w:snapToGrid w:val="0"/>
        <w:spacing w:beforeLines="50" w:after="50"/>
        <w:jc w:val="center"/>
        <w:rPr>
          <w:rFonts w:ascii="宋体" w:hAnsi="宋体" w:eastAsia="宋体" w:cs="Times New Roman"/>
          <w:sz w:val="44"/>
          <w:szCs w:val="44"/>
        </w:rPr>
      </w:pPr>
    </w:p>
    <w:p w14:paraId="4EF5F77D">
      <w:pPr>
        <w:snapToGrid w:val="0"/>
        <w:spacing w:beforeLines="50" w:after="50"/>
        <w:jc w:val="center"/>
        <w:rPr>
          <w:rFonts w:ascii="宋体" w:hAnsi="宋体" w:eastAsia="宋体" w:cs="Times New Roman"/>
          <w:sz w:val="44"/>
          <w:szCs w:val="44"/>
        </w:rPr>
      </w:pPr>
      <w:r>
        <w:rPr>
          <w:rFonts w:hint="eastAsia" w:ascii="宋体" w:hAnsi="宋体" w:eastAsia="宋体" w:cs="宋体"/>
          <w:sz w:val="44"/>
          <w:szCs w:val="44"/>
        </w:rPr>
        <w:t>响</w:t>
      </w:r>
      <w:r>
        <w:rPr>
          <w:rFonts w:ascii="宋体" w:hAnsi="宋体" w:eastAsia="宋体" w:cs="宋体"/>
          <w:sz w:val="44"/>
          <w:szCs w:val="44"/>
        </w:rPr>
        <w:t xml:space="preserve">  </w:t>
      </w:r>
      <w:r>
        <w:rPr>
          <w:rFonts w:hint="eastAsia" w:ascii="宋体" w:hAnsi="宋体" w:eastAsia="宋体" w:cs="宋体"/>
          <w:sz w:val="44"/>
          <w:szCs w:val="44"/>
        </w:rPr>
        <w:t>应</w:t>
      </w:r>
      <w:r>
        <w:rPr>
          <w:rFonts w:ascii="宋体" w:hAnsi="宋体" w:eastAsia="宋体" w:cs="宋体"/>
          <w:sz w:val="44"/>
          <w:szCs w:val="44"/>
        </w:rPr>
        <w:t xml:space="preserve">  </w:t>
      </w:r>
      <w:r>
        <w:rPr>
          <w:rFonts w:hint="eastAsia" w:ascii="宋体" w:hAnsi="宋体" w:eastAsia="宋体" w:cs="宋体"/>
          <w:sz w:val="44"/>
          <w:szCs w:val="44"/>
        </w:rPr>
        <w:t>文</w:t>
      </w:r>
      <w:r>
        <w:rPr>
          <w:rFonts w:ascii="宋体" w:hAnsi="宋体" w:eastAsia="宋体" w:cs="宋体"/>
          <w:sz w:val="44"/>
          <w:szCs w:val="44"/>
        </w:rPr>
        <w:t xml:space="preserve">  </w:t>
      </w:r>
      <w:r>
        <w:rPr>
          <w:rFonts w:hint="eastAsia" w:ascii="宋体" w:hAnsi="宋体" w:eastAsia="宋体" w:cs="宋体"/>
          <w:sz w:val="44"/>
          <w:szCs w:val="44"/>
        </w:rPr>
        <w:t>件</w:t>
      </w:r>
    </w:p>
    <w:p w14:paraId="63D7A91D">
      <w:pPr>
        <w:snapToGrid w:val="0"/>
        <w:spacing w:beforeLines="50" w:after="50"/>
        <w:rPr>
          <w:rFonts w:ascii="宋体" w:hAnsi="宋体" w:eastAsia="宋体" w:cs="Times New Roman"/>
          <w:sz w:val="24"/>
          <w:szCs w:val="24"/>
        </w:rPr>
      </w:pPr>
    </w:p>
    <w:p w14:paraId="7E9B39C5">
      <w:pPr>
        <w:snapToGrid w:val="0"/>
        <w:spacing w:beforeLines="50" w:after="50"/>
        <w:rPr>
          <w:rFonts w:ascii="宋体" w:hAnsi="宋体" w:eastAsia="宋体" w:cs="Times New Roman"/>
          <w:sz w:val="24"/>
          <w:szCs w:val="24"/>
        </w:rPr>
      </w:pPr>
    </w:p>
    <w:p w14:paraId="0A660B92">
      <w:pPr>
        <w:snapToGrid w:val="0"/>
        <w:spacing w:beforeLines="50" w:after="50"/>
        <w:rPr>
          <w:rFonts w:ascii="宋体" w:hAnsi="宋体" w:eastAsia="宋体" w:cs="Times New Roman"/>
          <w:sz w:val="24"/>
          <w:szCs w:val="24"/>
        </w:rPr>
      </w:pPr>
    </w:p>
    <w:p w14:paraId="74E869EF">
      <w:pPr>
        <w:snapToGrid w:val="0"/>
        <w:spacing w:beforeLines="50" w:after="50"/>
        <w:rPr>
          <w:rFonts w:ascii="宋体" w:hAnsi="宋体" w:eastAsia="宋体" w:cs="Times New Roman"/>
          <w:sz w:val="24"/>
          <w:szCs w:val="24"/>
        </w:rPr>
      </w:pPr>
    </w:p>
    <w:p w14:paraId="3A0CB2D6">
      <w:pPr>
        <w:snapToGrid w:val="0"/>
        <w:spacing w:beforeLines="50" w:after="50"/>
        <w:rPr>
          <w:rFonts w:ascii="宋体" w:hAnsi="宋体" w:eastAsia="宋体" w:cs="Times New Roman"/>
          <w:sz w:val="24"/>
          <w:szCs w:val="24"/>
        </w:rPr>
      </w:pPr>
    </w:p>
    <w:p w14:paraId="341E3861">
      <w:pPr>
        <w:snapToGrid w:val="0"/>
        <w:spacing w:beforeLines="50" w:after="50"/>
        <w:rPr>
          <w:rFonts w:ascii="宋体" w:hAnsi="宋体" w:eastAsia="宋体" w:cs="Times New Roman"/>
          <w:sz w:val="24"/>
          <w:szCs w:val="24"/>
        </w:rPr>
      </w:pPr>
    </w:p>
    <w:p w14:paraId="77073C6F">
      <w:pPr>
        <w:snapToGrid w:val="0"/>
        <w:spacing w:beforeLines="50" w:after="50"/>
        <w:rPr>
          <w:rFonts w:ascii="宋体" w:hAnsi="宋体" w:eastAsia="宋体" w:cs="Times New Roman"/>
          <w:sz w:val="32"/>
          <w:szCs w:val="32"/>
        </w:rPr>
      </w:pPr>
    </w:p>
    <w:p w14:paraId="5597A611">
      <w:pPr>
        <w:snapToGrid w:val="0"/>
        <w:spacing w:beforeLines="50" w:after="50"/>
        <w:rPr>
          <w:rFonts w:ascii="宋体" w:hAnsi="宋体" w:eastAsia="宋体" w:cs="宋体"/>
          <w:sz w:val="32"/>
          <w:szCs w:val="32"/>
        </w:rPr>
      </w:pPr>
      <w:r>
        <w:rPr>
          <w:rFonts w:hint="eastAsia" w:ascii="宋体" w:hAnsi="宋体" w:eastAsia="宋体" w:cs="宋体"/>
          <w:sz w:val="32"/>
          <w:szCs w:val="32"/>
        </w:rPr>
        <w:t>项目名称：</w:t>
      </w:r>
      <w:r>
        <w:rPr>
          <w:rFonts w:ascii="宋体" w:hAnsi="宋体" w:eastAsia="宋体" w:cs="宋体"/>
          <w:sz w:val="32"/>
          <w:szCs w:val="32"/>
        </w:rPr>
        <w:t xml:space="preserve"> </w:t>
      </w:r>
    </w:p>
    <w:p w14:paraId="62CCC9D3">
      <w:pPr>
        <w:snapToGrid w:val="0"/>
        <w:spacing w:beforeLines="50" w:after="50"/>
        <w:rPr>
          <w:rFonts w:ascii="宋体" w:hAnsi="宋体" w:eastAsia="宋体" w:cs="宋体"/>
          <w:sz w:val="32"/>
          <w:szCs w:val="32"/>
        </w:rPr>
      </w:pPr>
    </w:p>
    <w:p w14:paraId="33DD20A0">
      <w:pPr>
        <w:snapToGrid w:val="0"/>
        <w:spacing w:beforeLines="50" w:after="50"/>
        <w:rPr>
          <w:rFonts w:ascii="宋体" w:hAnsi="宋体" w:eastAsia="宋体" w:cs="Times New Roman"/>
          <w:sz w:val="32"/>
          <w:szCs w:val="32"/>
        </w:rPr>
      </w:pPr>
      <w:r>
        <w:rPr>
          <w:rFonts w:hint="eastAsia" w:ascii="宋体" w:hAnsi="宋体" w:eastAsia="宋体" w:cs="宋体"/>
          <w:sz w:val="32"/>
          <w:szCs w:val="32"/>
        </w:rPr>
        <w:t>项目编号：</w:t>
      </w:r>
    </w:p>
    <w:p w14:paraId="515F8847">
      <w:pPr>
        <w:snapToGrid w:val="0"/>
        <w:spacing w:beforeLines="50" w:after="50"/>
        <w:rPr>
          <w:rFonts w:ascii="宋体" w:hAnsi="宋体" w:eastAsia="宋体" w:cs="Times New Roman"/>
          <w:sz w:val="32"/>
          <w:szCs w:val="32"/>
        </w:rPr>
      </w:pPr>
    </w:p>
    <w:p w14:paraId="373985F1">
      <w:pPr>
        <w:snapToGrid w:val="0"/>
        <w:spacing w:beforeLines="50" w:after="50"/>
        <w:rPr>
          <w:rFonts w:ascii="宋体" w:hAnsi="宋体" w:eastAsia="宋体" w:cs="Times New Roman"/>
          <w:sz w:val="32"/>
          <w:szCs w:val="32"/>
        </w:rPr>
      </w:pPr>
      <w:r>
        <w:rPr>
          <w:rFonts w:hint="eastAsia" w:ascii="宋体" w:hAnsi="宋体" w:eastAsia="宋体" w:cs="宋体"/>
          <w:sz w:val="32"/>
          <w:szCs w:val="32"/>
        </w:rPr>
        <w:t>所竞分标（如有则填写，无分标时填写“无”或者留空）：</w:t>
      </w:r>
    </w:p>
    <w:p w14:paraId="5AE0FE29">
      <w:pPr>
        <w:snapToGrid w:val="0"/>
        <w:spacing w:beforeLines="50" w:after="50"/>
        <w:rPr>
          <w:rFonts w:ascii="宋体" w:hAnsi="宋体" w:eastAsia="宋体" w:cs="Times New Roman"/>
          <w:sz w:val="32"/>
          <w:szCs w:val="32"/>
        </w:rPr>
      </w:pPr>
    </w:p>
    <w:p w14:paraId="66D7E99E">
      <w:pPr>
        <w:snapToGrid w:val="0"/>
        <w:spacing w:beforeLines="50" w:after="50"/>
        <w:rPr>
          <w:rFonts w:ascii="宋体" w:hAnsi="宋体" w:eastAsia="宋体" w:cs="Times New Roman"/>
          <w:sz w:val="32"/>
          <w:szCs w:val="32"/>
        </w:rPr>
      </w:pPr>
      <w:r>
        <w:rPr>
          <w:rFonts w:hint="eastAsia" w:ascii="宋体" w:hAnsi="宋体" w:eastAsia="宋体" w:cs="宋体"/>
          <w:sz w:val="32"/>
          <w:szCs w:val="32"/>
        </w:rPr>
        <w:t>供应商名称：</w:t>
      </w:r>
    </w:p>
    <w:p w14:paraId="6843BD9F">
      <w:pPr>
        <w:snapToGrid w:val="0"/>
        <w:spacing w:beforeLines="50" w:after="50"/>
        <w:rPr>
          <w:rFonts w:ascii="宋体" w:hAnsi="宋体" w:eastAsia="宋体" w:cs="Times New Roman"/>
          <w:sz w:val="32"/>
          <w:szCs w:val="32"/>
        </w:rPr>
      </w:pPr>
    </w:p>
    <w:p w14:paraId="72ABFA66">
      <w:pPr>
        <w:snapToGrid w:val="0"/>
        <w:spacing w:beforeLines="50" w:after="50"/>
        <w:jc w:val="center"/>
        <w:rPr>
          <w:rFonts w:ascii="宋体" w:hAnsi="宋体" w:eastAsia="宋体" w:cs="Times New Roman"/>
          <w:sz w:val="32"/>
          <w:szCs w:val="32"/>
        </w:rPr>
      </w:pPr>
      <w:r>
        <w:rPr>
          <w:rFonts w:hint="eastAsia" w:ascii="宋体" w:hAnsi="宋体" w:eastAsia="宋体" w:cs="宋体"/>
          <w:sz w:val="32"/>
          <w:szCs w:val="32"/>
        </w:rPr>
        <w:t>首次响应文件提交截止时间前不得解密</w:t>
      </w:r>
    </w:p>
    <w:p w14:paraId="0E218013">
      <w:pPr>
        <w:snapToGrid w:val="0"/>
        <w:spacing w:beforeLines="50" w:after="50"/>
        <w:jc w:val="center"/>
        <w:rPr>
          <w:rFonts w:ascii="宋体" w:hAnsi="宋体" w:eastAsia="宋体" w:cs="Times New Roman"/>
          <w:sz w:val="32"/>
          <w:szCs w:val="32"/>
        </w:rPr>
      </w:pPr>
    </w:p>
    <w:p w14:paraId="40F7EDDF">
      <w:pPr>
        <w:snapToGrid w:val="0"/>
        <w:spacing w:beforeLines="50" w:after="50"/>
        <w:jc w:val="center"/>
        <w:rPr>
          <w:rFonts w:ascii="宋体" w:hAnsi="宋体" w:eastAsia="宋体" w:cs="Times New Roman"/>
          <w:sz w:val="32"/>
          <w:szCs w:val="32"/>
        </w:rPr>
      </w:pPr>
    </w:p>
    <w:p w14:paraId="15D5BE00">
      <w:pPr>
        <w:snapToGrid w:val="0"/>
        <w:spacing w:beforeLines="50" w:after="50"/>
        <w:jc w:val="center"/>
        <w:rPr>
          <w:rFonts w:ascii="宋体" w:hAnsi="宋体" w:eastAsia="宋体" w:cs="Times New Roman"/>
          <w:sz w:val="32"/>
          <w:szCs w:val="32"/>
        </w:rPr>
      </w:pPr>
      <w:r>
        <w:rPr>
          <w:rFonts w:hint="eastAsia" w:ascii="宋体" w:hAnsi="宋体" w:eastAsia="宋体" w:cs="宋体"/>
          <w:sz w:val="32"/>
          <w:szCs w:val="32"/>
        </w:rPr>
        <w:t>年</w:t>
      </w:r>
      <w:r>
        <w:rPr>
          <w:rFonts w:ascii="宋体" w:hAnsi="宋体" w:eastAsia="宋体" w:cs="宋体"/>
          <w:sz w:val="32"/>
          <w:szCs w:val="32"/>
        </w:rPr>
        <w:t xml:space="preserve">    </w:t>
      </w:r>
      <w:r>
        <w:rPr>
          <w:rFonts w:hint="eastAsia" w:ascii="宋体" w:hAnsi="宋体" w:eastAsia="宋体" w:cs="宋体"/>
          <w:sz w:val="32"/>
          <w:szCs w:val="32"/>
        </w:rPr>
        <w:t>月</w:t>
      </w:r>
      <w:r>
        <w:rPr>
          <w:rFonts w:ascii="宋体" w:hAnsi="宋体" w:eastAsia="宋体" w:cs="宋体"/>
          <w:sz w:val="32"/>
          <w:szCs w:val="32"/>
        </w:rPr>
        <w:t xml:space="preserve">    </w:t>
      </w:r>
      <w:r>
        <w:rPr>
          <w:rFonts w:hint="eastAsia" w:ascii="宋体" w:hAnsi="宋体" w:eastAsia="宋体" w:cs="宋体"/>
          <w:sz w:val="32"/>
          <w:szCs w:val="32"/>
        </w:rPr>
        <w:t>日</w:t>
      </w:r>
    </w:p>
    <w:p w14:paraId="1DF3A68E">
      <w:pPr>
        <w:widowControl/>
        <w:jc w:val="left"/>
        <w:rPr>
          <w:rFonts w:ascii="宋体" w:hAnsi="宋体" w:eastAsia="宋体" w:cs="Times New Roman"/>
        </w:rPr>
        <w:sectPr>
          <w:pgSz w:w="11910" w:h="16840"/>
          <w:pgMar w:top="1247" w:right="1361" w:bottom="1247" w:left="1361" w:header="720" w:footer="720" w:gutter="0"/>
          <w:cols w:space="720" w:num="1"/>
        </w:sectPr>
      </w:pPr>
    </w:p>
    <w:p w14:paraId="20CB9652">
      <w:pPr>
        <w:jc w:val="center"/>
        <w:outlineLvl w:val="1"/>
        <w:rPr>
          <w:rFonts w:ascii="宋体" w:hAnsi="宋体" w:eastAsia="宋体" w:cs="Times New Roman"/>
          <w:b/>
          <w:bCs/>
          <w:sz w:val="30"/>
          <w:szCs w:val="30"/>
        </w:rPr>
      </w:pPr>
      <w:bookmarkStart w:id="100" w:name="_Toc137571898"/>
      <w:bookmarkStart w:id="101" w:name="_Toc80205939"/>
      <w:bookmarkStart w:id="102" w:name="_Toc144977176"/>
      <w:bookmarkStart w:id="103" w:name="_Toc19505"/>
      <w:r>
        <w:rPr>
          <w:rFonts w:hint="eastAsia" w:ascii="宋体" w:hAnsi="宋体" w:eastAsia="宋体" w:cs="宋体"/>
          <w:b/>
          <w:bCs/>
          <w:sz w:val="30"/>
          <w:szCs w:val="30"/>
        </w:rPr>
        <w:t>第二节</w:t>
      </w:r>
      <w:r>
        <w:rPr>
          <w:rFonts w:ascii="宋体" w:hAnsi="宋体" w:eastAsia="宋体" w:cs="宋体"/>
          <w:b/>
          <w:bCs/>
          <w:sz w:val="30"/>
          <w:szCs w:val="30"/>
        </w:rPr>
        <w:t xml:space="preserve"> </w:t>
      </w:r>
      <w:r>
        <w:rPr>
          <w:rFonts w:hint="eastAsia" w:ascii="宋体" w:hAnsi="宋体" w:eastAsia="宋体" w:cs="宋体"/>
          <w:b/>
          <w:bCs/>
          <w:sz w:val="30"/>
          <w:szCs w:val="30"/>
        </w:rPr>
        <w:t>资格证明文件格式</w:t>
      </w:r>
      <w:bookmarkEnd w:id="100"/>
      <w:bookmarkEnd w:id="101"/>
      <w:bookmarkEnd w:id="102"/>
      <w:bookmarkEnd w:id="103"/>
    </w:p>
    <w:p w14:paraId="0F1910E2">
      <w:pPr>
        <w:jc w:val="center"/>
        <w:outlineLvl w:val="1"/>
        <w:rPr>
          <w:rFonts w:ascii="宋体" w:hAnsi="宋体" w:eastAsia="宋体" w:cs="Times New Roman"/>
          <w:b/>
          <w:bCs/>
          <w:sz w:val="30"/>
          <w:szCs w:val="30"/>
        </w:rPr>
      </w:pPr>
    </w:p>
    <w:p w14:paraId="53A23B91">
      <w:pPr>
        <w:jc w:val="center"/>
        <w:outlineLvl w:val="1"/>
        <w:rPr>
          <w:rFonts w:ascii="宋体" w:hAnsi="宋体" w:eastAsia="宋体" w:cs="Times New Roman"/>
          <w:b/>
          <w:bCs/>
          <w:sz w:val="30"/>
          <w:szCs w:val="30"/>
        </w:rPr>
      </w:pPr>
    </w:p>
    <w:p w14:paraId="0E91176B">
      <w:pPr>
        <w:jc w:val="center"/>
        <w:outlineLvl w:val="1"/>
        <w:rPr>
          <w:rFonts w:ascii="宋体" w:hAnsi="宋体" w:eastAsia="宋体" w:cs="Times New Roman"/>
          <w:b/>
          <w:bCs/>
          <w:sz w:val="30"/>
          <w:szCs w:val="30"/>
        </w:rPr>
      </w:pPr>
    </w:p>
    <w:p w14:paraId="659E30A7">
      <w:pPr>
        <w:snapToGrid w:val="0"/>
        <w:spacing w:beforeLines="50" w:after="50"/>
        <w:rPr>
          <w:rFonts w:ascii="宋体" w:hAnsi="宋体" w:eastAsia="宋体" w:cs="Times New Roman"/>
          <w:sz w:val="32"/>
          <w:szCs w:val="32"/>
        </w:rPr>
      </w:pPr>
      <w:r>
        <w:rPr>
          <w:rFonts w:hint="eastAsia" w:ascii="宋体" w:hAnsi="宋体" w:eastAsia="宋体" w:cs="宋体"/>
        </w:rPr>
        <w:t>全流程电子文件</w:t>
      </w:r>
    </w:p>
    <w:p w14:paraId="13F43532">
      <w:pPr>
        <w:snapToGrid w:val="0"/>
        <w:spacing w:beforeLines="50" w:after="50"/>
        <w:jc w:val="center"/>
        <w:rPr>
          <w:rFonts w:ascii="宋体" w:hAnsi="宋体" w:eastAsia="宋体" w:cs="Times New Roman"/>
          <w:sz w:val="44"/>
          <w:szCs w:val="44"/>
        </w:rPr>
      </w:pPr>
    </w:p>
    <w:p w14:paraId="5AE5C352">
      <w:pPr>
        <w:snapToGrid w:val="0"/>
        <w:spacing w:beforeLines="50" w:after="50"/>
        <w:jc w:val="center"/>
        <w:rPr>
          <w:rFonts w:ascii="宋体" w:hAnsi="宋体" w:eastAsia="宋体" w:cs="Times New Roman"/>
          <w:sz w:val="24"/>
          <w:szCs w:val="24"/>
        </w:rPr>
      </w:pPr>
      <w:r>
        <w:rPr>
          <w:rFonts w:hint="eastAsia" w:ascii="宋体" w:hAnsi="宋体" w:eastAsia="宋体" w:cs="宋体"/>
          <w:sz w:val="44"/>
          <w:szCs w:val="44"/>
        </w:rPr>
        <w:t>响</w:t>
      </w:r>
      <w:r>
        <w:rPr>
          <w:rFonts w:ascii="宋体" w:hAnsi="宋体" w:eastAsia="宋体" w:cs="宋体"/>
          <w:sz w:val="44"/>
          <w:szCs w:val="44"/>
        </w:rPr>
        <w:t xml:space="preserve">  </w:t>
      </w:r>
      <w:r>
        <w:rPr>
          <w:rFonts w:hint="eastAsia" w:ascii="宋体" w:hAnsi="宋体" w:eastAsia="宋体" w:cs="宋体"/>
          <w:sz w:val="44"/>
          <w:szCs w:val="44"/>
        </w:rPr>
        <w:t>应</w:t>
      </w:r>
      <w:r>
        <w:rPr>
          <w:rFonts w:ascii="宋体" w:hAnsi="宋体" w:eastAsia="宋体" w:cs="宋体"/>
          <w:sz w:val="44"/>
          <w:szCs w:val="44"/>
        </w:rPr>
        <w:t xml:space="preserve">  </w:t>
      </w:r>
      <w:r>
        <w:rPr>
          <w:rFonts w:hint="eastAsia" w:ascii="宋体" w:hAnsi="宋体" w:eastAsia="宋体" w:cs="宋体"/>
          <w:sz w:val="44"/>
          <w:szCs w:val="44"/>
        </w:rPr>
        <w:t>文</w:t>
      </w:r>
      <w:r>
        <w:rPr>
          <w:rFonts w:ascii="宋体" w:hAnsi="宋体" w:eastAsia="宋体" w:cs="宋体"/>
          <w:sz w:val="44"/>
          <w:szCs w:val="44"/>
        </w:rPr>
        <w:t xml:space="preserve">  </w:t>
      </w:r>
      <w:r>
        <w:rPr>
          <w:rFonts w:hint="eastAsia" w:ascii="宋体" w:hAnsi="宋体" w:eastAsia="宋体" w:cs="宋体"/>
          <w:sz w:val="44"/>
          <w:szCs w:val="44"/>
        </w:rPr>
        <w:t>件</w:t>
      </w:r>
    </w:p>
    <w:p w14:paraId="16DB1D1F">
      <w:pPr>
        <w:snapToGrid w:val="0"/>
        <w:spacing w:beforeLines="50" w:after="50"/>
        <w:rPr>
          <w:rFonts w:ascii="宋体" w:hAnsi="宋体" w:eastAsia="宋体" w:cs="Times New Roman"/>
          <w:sz w:val="24"/>
          <w:szCs w:val="24"/>
        </w:rPr>
      </w:pPr>
    </w:p>
    <w:p w14:paraId="06F5A89F">
      <w:pPr>
        <w:snapToGrid w:val="0"/>
        <w:spacing w:beforeLines="50" w:after="50"/>
        <w:rPr>
          <w:rFonts w:ascii="宋体" w:hAnsi="宋体" w:eastAsia="宋体" w:cs="Times New Roman"/>
          <w:sz w:val="24"/>
          <w:szCs w:val="24"/>
        </w:rPr>
      </w:pPr>
    </w:p>
    <w:p w14:paraId="3CD921FC">
      <w:pPr>
        <w:snapToGrid w:val="0"/>
        <w:spacing w:beforeLines="50" w:after="50"/>
        <w:jc w:val="center"/>
        <w:rPr>
          <w:rFonts w:ascii="宋体" w:hAnsi="宋体" w:eastAsia="宋体" w:cs="Times New Roman"/>
          <w:sz w:val="44"/>
          <w:szCs w:val="44"/>
        </w:rPr>
      </w:pPr>
      <w:r>
        <w:rPr>
          <w:rFonts w:hint="eastAsia" w:ascii="宋体" w:hAnsi="宋体" w:eastAsia="宋体" w:cs="宋体"/>
          <w:sz w:val="44"/>
          <w:szCs w:val="44"/>
        </w:rPr>
        <w:t>资</w:t>
      </w:r>
      <w:r>
        <w:rPr>
          <w:rFonts w:ascii="宋体" w:hAnsi="宋体" w:eastAsia="宋体" w:cs="宋体"/>
          <w:sz w:val="44"/>
          <w:szCs w:val="44"/>
        </w:rPr>
        <w:t xml:space="preserve">  </w:t>
      </w:r>
      <w:r>
        <w:rPr>
          <w:rFonts w:hint="eastAsia" w:ascii="宋体" w:hAnsi="宋体" w:eastAsia="宋体" w:cs="宋体"/>
          <w:sz w:val="44"/>
          <w:szCs w:val="44"/>
        </w:rPr>
        <w:t>格</w:t>
      </w:r>
      <w:r>
        <w:rPr>
          <w:rFonts w:ascii="宋体" w:hAnsi="宋体" w:eastAsia="宋体" w:cs="宋体"/>
          <w:sz w:val="44"/>
          <w:szCs w:val="44"/>
        </w:rPr>
        <w:t xml:space="preserve">  </w:t>
      </w:r>
      <w:r>
        <w:rPr>
          <w:rFonts w:hint="eastAsia" w:ascii="宋体" w:hAnsi="宋体" w:eastAsia="宋体" w:cs="宋体"/>
          <w:sz w:val="44"/>
          <w:szCs w:val="44"/>
        </w:rPr>
        <w:t>证</w:t>
      </w:r>
      <w:r>
        <w:rPr>
          <w:rFonts w:ascii="宋体" w:hAnsi="宋体" w:eastAsia="宋体" w:cs="宋体"/>
          <w:sz w:val="44"/>
          <w:szCs w:val="44"/>
        </w:rPr>
        <w:t xml:space="preserve">  </w:t>
      </w:r>
      <w:r>
        <w:rPr>
          <w:rFonts w:hint="eastAsia" w:ascii="宋体" w:hAnsi="宋体" w:eastAsia="宋体" w:cs="宋体"/>
          <w:sz w:val="44"/>
          <w:szCs w:val="44"/>
        </w:rPr>
        <w:t>明</w:t>
      </w:r>
      <w:r>
        <w:rPr>
          <w:rFonts w:ascii="宋体" w:hAnsi="宋体" w:eastAsia="宋体" w:cs="宋体"/>
          <w:sz w:val="44"/>
          <w:szCs w:val="44"/>
        </w:rPr>
        <w:t xml:space="preserve">  </w:t>
      </w:r>
      <w:r>
        <w:rPr>
          <w:rFonts w:hint="eastAsia" w:ascii="宋体" w:hAnsi="宋体" w:eastAsia="宋体" w:cs="宋体"/>
          <w:sz w:val="44"/>
          <w:szCs w:val="44"/>
        </w:rPr>
        <w:t>文</w:t>
      </w:r>
      <w:r>
        <w:rPr>
          <w:rFonts w:ascii="宋体" w:hAnsi="宋体" w:eastAsia="宋体" w:cs="宋体"/>
          <w:sz w:val="44"/>
          <w:szCs w:val="44"/>
        </w:rPr>
        <w:t xml:space="preserve">  </w:t>
      </w:r>
      <w:r>
        <w:rPr>
          <w:rFonts w:hint="eastAsia" w:ascii="宋体" w:hAnsi="宋体" w:eastAsia="宋体" w:cs="宋体"/>
          <w:sz w:val="44"/>
          <w:szCs w:val="44"/>
        </w:rPr>
        <w:t>件（封面）</w:t>
      </w:r>
    </w:p>
    <w:p w14:paraId="13F1AD32">
      <w:pPr>
        <w:snapToGrid w:val="0"/>
        <w:spacing w:beforeLines="50" w:after="50"/>
        <w:rPr>
          <w:rFonts w:ascii="宋体" w:hAnsi="宋体" w:eastAsia="宋体" w:cs="Times New Roman"/>
          <w:sz w:val="24"/>
          <w:szCs w:val="24"/>
        </w:rPr>
      </w:pPr>
    </w:p>
    <w:p w14:paraId="70D6AAC9">
      <w:pPr>
        <w:snapToGrid w:val="0"/>
        <w:spacing w:beforeLines="50" w:after="50"/>
        <w:rPr>
          <w:rFonts w:ascii="宋体" w:hAnsi="宋体" w:eastAsia="宋体" w:cs="Times New Roman"/>
          <w:sz w:val="24"/>
          <w:szCs w:val="24"/>
        </w:rPr>
      </w:pPr>
    </w:p>
    <w:p w14:paraId="691D6CB9">
      <w:pPr>
        <w:snapToGrid w:val="0"/>
        <w:spacing w:beforeLines="50" w:after="50"/>
        <w:rPr>
          <w:rFonts w:ascii="宋体" w:hAnsi="宋体" w:eastAsia="宋体" w:cs="Times New Roman"/>
          <w:sz w:val="24"/>
          <w:szCs w:val="24"/>
        </w:rPr>
      </w:pPr>
    </w:p>
    <w:p w14:paraId="7CD125E7">
      <w:pPr>
        <w:snapToGrid w:val="0"/>
        <w:spacing w:beforeLines="50" w:after="50"/>
        <w:rPr>
          <w:rFonts w:ascii="宋体" w:hAnsi="宋体" w:eastAsia="宋体" w:cs="Times New Roman"/>
          <w:sz w:val="24"/>
          <w:szCs w:val="24"/>
        </w:rPr>
      </w:pPr>
    </w:p>
    <w:p w14:paraId="7E16E811">
      <w:pPr>
        <w:snapToGrid w:val="0"/>
        <w:spacing w:beforeLines="50" w:after="50"/>
        <w:rPr>
          <w:rFonts w:ascii="宋体" w:hAnsi="宋体" w:eastAsia="宋体" w:cs="Times New Roman"/>
          <w:sz w:val="24"/>
          <w:szCs w:val="24"/>
        </w:rPr>
      </w:pPr>
    </w:p>
    <w:p w14:paraId="6A4CE418">
      <w:pPr>
        <w:snapToGrid w:val="0"/>
        <w:spacing w:beforeLines="50" w:after="50"/>
        <w:rPr>
          <w:rFonts w:ascii="宋体" w:hAnsi="宋体" w:eastAsia="宋体" w:cs="Times New Roman"/>
          <w:sz w:val="24"/>
          <w:szCs w:val="24"/>
        </w:rPr>
      </w:pPr>
    </w:p>
    <w:p w14:paraId="0DDDE4AA">
      <w:pPr>
        <w:snapToGrid w:val="0"/>
        <w:spacing w:beforeLines="50" w:after="50"/>
        <w:rPr>
          <w:rFonts w:ascii="宋体" w:hAnsi="宋体" w:eastAsia="宋体" w:cs="Times New Roman"/>
          <w:sz w:val="24"/>
          <w:szCs w:val="24"/>
        </w:rPr>
      </w:pPr>
    </w:p>
    <w:p w14:paraId="0C81CE20">
      <w:pPr>
        <w:snapToGrid w:val="0"/>
        <w:spacing w:beforeLines="50" w:after="50"/>
        <w:rPr>
          <w:rFonts w:ascii="宋体" w:hAnsi="宋体" w:eastAsia="宋体" w:cs="Times New Roman"/>
          <w:sz w:val="24"/>
          <w:szCs w:val="24"/>
        </w:rPr>
      </w:pPr>
    </w:p>
    <w:p w14:paraId="1D3FAC5F">
      <w:pPr>
        <w:snapToGrid w:val="0"/>
        <w:spacing w:beforeLines="50" w:after="50"/>
        <w:rPr>
          <w:rFonts w:ascii="宋体" w:hAnsi="宋体" w:eastAsia="宋体" w:cs="Times New Roman"/>
          <w:sz w:val="24"/>
          <w:szCs w:val="24"/>
        </w:rPr>
      </w:pPr>
    </w:p>
    <w:p w14:paraId="3C8D85C3">
      <w:pPr>
        <w:snapToGrid w:val="0"/>
        <w:spacing w:beforeLines="50" w:after="50"/>
        <w:rPr>
          <w:rFonts w:ascii="宋体" w:hAnsi="宋体" w:eastAsia="宋体" w:cs="宋体"/>
          <w:sz w:val="32"/>
          <w:szCs w:val="32"/>
        </w:rPr>
      </w:pPr>
      <w:r>
        <w:rPr>
          <w:rFonts w:hint="eastAsia" w:ascii="宋体" w:hAnsi="宋体" w:eastAsia="宋体" w:cs="宋体"/>
          <w:sz w:val="32"/>
          <w:szCs w:val="32"/>
        </w:rPr>
        <w:t>项目名称：</w:t>
      </w:r>
      <w:r>
        <w:rPr>
          <w:rFonts w:ascii="宋体" w:hAnsi="宋体" w:eastAsia="宋体" w:cs="宋体"/>
          <w:sz w:val="32"/>
          <w:szCs w:val="32"/>
        </w:rPr>
        <w:t xml:space="preserve"> </w:t>
      </w:r>
    </w:p>
    <w:p w14:paraId="31F5A520">
      <w:pPr>
        <w:snapToGrid w:val="0"/>
        <w:spacing w:beforeLines="50" w:after="50"/>
        <w:rPr>
          <w:rFonts w:ascii="宋体" w:hAnsi="宋体" w:eastAsia="宋体" w:cs="宋体"/>
          <w:sz w:val="32"/>
          <w:szCs w:val="32"/>
        </w:rPr>
      </w:pPr>
    </w:p>
    <w:p w14:paraId="78797C21">
      <w:pPr>
        <w:snapToGrid w:val="0"/>
        <w:spacing w:beforeLines="50" w:after="50"/>
        <w:rPr>
          <w:rFonts w:ascii="宋体" w:hAnsi="宋体" w:eastAsia="宋体" w:cs="Times New Roman"/>
          <w:sz w:val="32"/>
          <w:szCs w:val="32"/>
        </w:rPr>
      </w:pPr>
      <w:r>
        <w:rPr>
          <w:rFonts w:hint="eastAsia" w:ascii="宋体" w:hAnsi="宋体" w:eastAsia="宋体" w:cs="宋体"/>
          <w:sz w:val="32"/>
          <w:szCs w:val="32"/>
        </w:rPr>
        <w:t>项目编号：</w:t>
      </w:r>
    </w:p>
    <w:p w14:paraId="58C20614">
      <w:pPr>
        <w:snapToGrid w:val="0"/>
        <w:spacing w:beforeLines="50" w:after="50"/>
        <w:rPr>
          <w:rFonts w:ascii="宋体" w:hAnsi="宋体" w:eastAsia="宋体" w:cs="Times New Roman"/>
          <w:sz w:val="32"/>
          <w:szCs w:val="32"/>
        </w:rPr>
      </w:pPr>
    </w:p>
    <w:p w14:paraId="1A3D74F2">
      <w:pPr>
        <w:snapToGrid w:val="0"/>
        <w:spacing w:beforeLines="50" w:after="50"/>
        <w:rPr>
          <w:rFonts w:ascii="宋体" w:hAnsi="宋体" w:eastAsia="宋体" w:cs="Times New Roman"/>
          <w:sz w:val="32"/>
          <w:szCs w:val="32"/>
        </w:rPr>
      </w:pPr>
      <w:r>
        <w:rPr>
          <w:rFonts w:hint="eastAsia" w:ascii="宋体" w:hAnsi="宋体" w:eastAsia="宋体" w:cs="宋体"/>
          <w:sz w:val="32"/>
          <w:szCs w:val="32"/>
        </w:rPr>
        <w:t>所竞分标（如有则填写，无分标时填写“无”或者留空）：</w:t>
      </w:r>
    </w:p>
    <w:p w14:paraId="1AF68B25">
      <w:pPr>
        <w:snapToGrid w:val="0"/>
        <w:spacing w:beforeLines="50" w:after="50"/>
        <w:rPr>
          <w:rFonts w:ascii="宋体" w:hAnsi="宋体" w:eastAsia="宋体" w:cs="Times New Roman"/>
          <w:sz w:val="32"/>
          <w:szCs w:val="32"/>
        </w:rPr>
      </w:pPr>
    </w:p>
    <w:p w14:paraId="4AB48173">
      <w:pPr>
        <w:pStyle w:val="7"/>
        <w:snapToGrid w:val="0"/>
        <w:spacing w:before="50" w:after="50"/>
        <w:ind w:firstLine="0"/>
        <w:rPr>
          <w:rFonts w:ascii="宋体"/>
          <w:sz w:val="32"/>
          <w:szCs w:val="32"/>
        </w:rPr>
      </w:pPr>
      <w:r>
        <w:rPr>
          <w:rFonts w:hint="eastAsia" w:ascii="宋体" w:hAnsi="宋体" w:cs="宋体"/>
          <w:sz w:val="32"/>
          <w:szCs w:val="32"/>
        </w:rPr>
        <w:t>供应商名称：</w:t>
      </w:r>
    </w:p>
    <w:p w14:paraId="3D323E45">
      <w:pPr>
        <w:pStyle w:val="7"/>
        <w:snapToGrid w:val="0"/>
        <w:spacing w:before="50" w:after="50"/>
        <w:ind w:firstLine="0"/>
        <w:rPr>
          <w:rFonts w:ascii="宋体"/>
          <w:sz w:val="32"/>
          <w:szCs w:val="32"/>
        </w:rPr>
      </w:pPr>
    </w:p>
    <w:p w14:paraId="478F4252">
      <w:pPr>
        <w:pStyle w:val="7"/>
        <w:snapToGrid w:val="0"/>
        <w:spacing w:before="50" w:after="50"/>
        <w:ind w:firstLine="0"/>
        <w:rPr>
          <w:rFonts w:ascii="宋体"/>
          <w:sz w:val="32"/>
          <w:szCs w:val="32"/>
        </w:rPr>
      </w:pPr>
    </w:p>
    <w:p w14:paraId="2D717234">
      <w:pPr>
        <w:snapToGrid w:val="0"/>
        <w:spacing w:beforeLines="50" w:after="50"/>
        <w:jc w:val="center"/>
        <w:rPr>
          <w:rFonts w:ascii="宋体" w:hAnsi="宋体" w:eastAsia="宋体" w:cs="Times New Roman"/>
          <w:sz w:val="32"/>
          <w:szCs w:val="32"/>
        </w:rPr>
      </w:pPr>
      <w:r>
        <w:rPr>
          <w:rFonts w:hint="eastAsia" w:ascii="宋体" w:hAnsi="宋体" w:eastAsia="宋体" w:cs="宋体"/>
          <w:sz w:val="32"/>
          <w:szCs w:val="32"/>
        </w:rPr>
        <w:t>年</w:t>
      </w:r>
      <w:r>
        <w:rPr>
          <w:rFonts w:ascii="宋体" w:hAnsi="宋体" w:eastAsia="宋体" w:cs="宋体"/>
          <w:sz w:val="32"/>
          <w:szCs w:val="32"/>
        </w:rPr>
        <w:t xml:space="preserve">    </w:t>
      </w:r>
      <w:r>
        <w:rPr>
          <w:rFonts w:hint="eastAsia" w:ascii="宋体" w:hAnsi="宋体" w:eastAsia="宋体" w:cs="宋体"/>
          <w:sz w:val="32"/>
          <w:szCs w:val="32"/>
        </w:rPr>
        <w:t>月</w:t>
      </w:r>
      <w:r>
        <w:rPr>
          <w:rFonts w:ascii="宋体" w:hAnsi="宋体" w:eastAsia="宋体" w:cs="宋体"/>
          <w:sz w:val="32"/>
          <w:szCs w:val="32"/>
        </w:rPr>
        <w:t xml:space="preserve">    </w:t>
      </w:r>
      <w:r>
        <w:rPr>
          <w:rFonts w:hint="eastAsia" w:ascii="宋体" w:hAnsi="宋体" w:eastAsia="宋体" w:cs="宋体"/>
          <w:sz w:val="32"/>
          <w:szCs w:val="32"/>
        </w:rPr>
        <w:t>日</w:t>
      </w:r>
    </w:p>
    <w:p w14:paraId="3A939ED0">
      <w:pPr>
        <w:snapToGrid w:val="0"/>
        <w:spacing w:beforeLines="50" w:after="50" w:line="360" w:lineRule="auto"/>
        <w:jc w:val="center"/>
        <w:rPr>
          <w:rFonts w:ascii="宋体" w:hAnsi="宋体" w:eastAsia="宋体" w:cs="Times New Roman"/>
          <w:b/>
          <w:bCs/>
          <w:kern w:val="0"/>
          <w:sz w:val="32"/>
          <w:szCs w:val="32"/>
        </w:rPr>
      </w:pPr>
      <w:r>
        <w:rPr>
          <w:rFonts w:ascii="宋体" w:hAnsi="宋体" w:eastAsia="宋体" w:cs="Times New Roman"/>
          <w:sz w:val="24"/>
          <w:szCs w:val="24"/>
        </w:rPr>
        <w:br w:type="page"/>
      </w:r>
      <w:r>
        <w:rPr>
          <w:rFonts w:hint="eastAsia" w:ascii="宋体" w:hAnsi="宋体" w:eastAsia="宋体" w:cs="宋体"/>
          <w:b/>
          <w:bCs/>
          <w:kern w:val="0"/>
          <w:sz w:val="32"/>
          <w:szCs w:val="32"/>
        </w:rPr>
        <w:t>资格证明文件目录</w:t>
      </w:r>
    </w:p>
    <w:p w14:paraId="52121979">
      <w:pPr>
        <w:snapToGrid w:val="0"/>
        <w:spacing w:line="360" w:lineRule="auto"/>
        <w:rPr>
          <w:rFonts w:ascii="宋体" w:hAnsi="宋体" w:eastAsia="宋体" w:cs="Times New Roman"/>
          <w:kern w:val="0"/>
          <w:sz w:val="24"/>
          <w:szCs w:val="24"/>
        </w:rPr>
      </w:pPr>
    </w:p>
    <w:p w14:paraId="71494D0D">
      <w:pPr>
        <w:snapToGrid w:val="0"/>
        <w:spacing w:line="500" w:lineRule="exact"/>
        <w:rPr>
          <w:rFonts w:ascii="宋体" w:hAnsi="宋体" w:eastAsia="宋体" w:cs="Times New Roman"/>
          <w:kern w:val="0"/>
        </w:rPr>
      </w:pPr>
      <w:r>
        <w:rPr>
          <w:rFonts w:hint="eastAsia" w:ascii="宋体" w:hAnsi="宋体" w:eastAsia="宋体" w:cs="宋体"/>
          <w:kern w:val="0"/>
        </w:rPr>
        <w:t>一、</w:t>
      </w:r>
      <w:r>
        <w:rPr>
          <w:rFonts w:hint="eastAsia" w:ascii="宋体" w:hAnsi="宋体" w:eastAsia="宋体" w:cs="宋体"/>
        </w:rPr>
        <w:t>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kern w:val="0"/>
        </w:rPr>
        <w:t>……………………………………（页码）</w:t>
      </w:r>
    </w:p>
    <w:p w14:paraId="55262FCB">
      <w:pPr>
        <w:snapToGrid w:val="0"/>
        <w:spacing w:line="500" w:lineRule="exact"/>
        <w:jc w:val="left"/>
        <w:rPr>
          <w:rFonts w:ascii="宋体" w:hAnsi="宋体" w:eastAsia="宋体" w:cs="Times New Roman"/>
          <w:kern w:val="0"/>
        </w:rPr>
      </w:pPr>
      <w:r>
        <w:rPr>
          <w:rFonts w:hint="eastAsia" w:ascii="宋体" w:hAnsi="宋体" w:eastAsia="宋体" w:cs="宋体"/>
          <w:kern w:val="0"/>
        </w:rPr>
        <w:t>二、</w:t>
      </w:r>
      <w:r>
        <w:rPr>
          <w:rFonts w:hint="eastAsia" w:ascii="宋体" w:hAnsi="宋体" w:eastAsia="宋体" w:cs="宋体"/>
        </w:rPr>
        <w:t>供应商依法缴纳税收的相关材料：</w:t>
      </w:r>
      <w:r>
        <w:rPr>
          <w:rFonts w:ascii="宋体" w:hAnsi="宋体" w:eastAsia="宋体" w:cs="宋体"/>
          <w:u w:val="single"/>
        </w:rPr>
        <w:t xml:space="preserve">202  </w:t>
      </w:r>
      <w:r>
        <w:rPr>
          <w:rFonts w:hint="eastAsia" w:ascii="宋体" w:hAnsi="宋体" w:eastAsia="宋体" w:cs="宋体"/>
          <w:u w:val="single"/>
        </w:rPr>
        <w:t>年</w:t>
      </w:r>
      <w:r>
        <w:rPr>
          <w:rFonts w:ascii="宋体" w:hAnsi="宋体" w:eastAsia="宋体" w:cs="宋体"/>
          <w:u w:val="single"/>
        </w:rPr>
        <w:t xml:space="preserve">  </w:t>
      </w:r>
      <w:r>
        <w:rPr>
          <w:rFonts w:hint="eastAsia" w:ascii="宋体" w:hAnsi="宋体" w:eastAsia="宋体" w:cs="宋体"/>
        </w:rPr>
        <w:t>月至</w:t>
      </w:r>
      <w:r>
        <w:rPr>
          <w:rFonts w:ascii="宋体" w:hAnsi="宋体" w:eastAsia="宋体" w:cs="宋体"/>
          <w:u w:val="single"/>
        </w:rPr>
        <w:t xml:space="preserve">202  </w:t>
      </w:r>
      <w:r>
        <w:rPr>
          <w:rFonts w:hint="eastAsia" w:ascii="宋体" w:hAnsi="宋体" w:eastAsia="宋体" w:cs="宋体"/>
        </w:rPr>
        <w:t>年</w:t>
      </w:r>
      <w:r>
        <w:rPr>
          <w:rFonts w:ascii="宋体" w:hAnsi="宋体" w:eastAsia="宋体" w:cs="宋体"/>
          <w:u w:val="single"/>
        </w:rPr>
        <w:t xml:space="preserve">   </w:t>
      </w:r>
      <w:r>
        <w:rPr>
          <w:rFonts w:hint="eastAsia" w:ascii="宋体" w:hAnsi="宋体" w:eastAsia="宋体" w:cs="宋体"/>
        </w:rPr>
        <w:t>月任意</w:t>
      </w:r>
      <w:r>
        <w:rPr>
          <w:rFonts w:ascii="宋体" w:hAnsi="宋体" w:eastAsia="宋体" w:cs="宋体"/>
        </w:rPr>
        <w:t>1</w:t>
      </w:r>
      <w:r>
        <w:rPr>
          <w:rFonts w:hint="eastAsia" w:ascii="宋体" w:hAnsi="宋体" w:eastAsia="宋体" w:cs="宋体"/>
        </w:rPr>
        <w:t>个月的依法缴纳税收的凭据复印件</w:t>
      </w:r>
      <w:r>
        <w:rPr>
          <w:rFonts w:hint="eastAsia" w:ascii="宋体" w:hAnsi="宋体" w:eastAsia="宋体" w:cs="宋体"/>
          <w:kern w:val="0"/>
        </w:rPr>
        <w:t>………………………………………………………………………………………………（页码）</w:t>
      </w:r>
    </w:p>
    <w:p w14:paraId="630F6BCF">
      <w:pPr>
        <w:snapToGrid w:val="0"/>
        <w:spacing w:line="500" w:lineRule="exact"/>
        <w:jc w:val="left"/>
        <w:rPr>
          <w:rFonts w:ascii="宋体" w:hAnsi="宋体" w:eastAsia="宋体" w:cs="Times New Roman"/>
          <w:kern w:val="0"/>
        </w:rPr>
      </w:pPr>
      <w:r>
        <w:rPr>
          <w:rFonts w:hint="eastAsia" w:ascii="宋体" w:hAnsi="宋体" w:eastAsia="宋体" w:cs="宋体"/>
          <w:kern w:val="0"/>
        </w:rPr>
        <w:t>三、</w:t>
      </w:r>
      <w:r>
        <w:rPr>
          <w:rFonts w:hint="eastAsia" w:ascii="宋体" w:hAnsi="宋体" w:eastAsia="宋体" w:cs="宋体"/>
        </w:rPr>
        <w:t>供应商依法缴纳社会保障资金的相关材料：</w:t>
      </w:r>
      <w:r>
        <w:rPr>
          <w:rFonts w:ascii="宋体" w:hAnsi="宋体" w:eastAsia="宋体" w:cs="宋体"/>
          <w:u w:val="single"/>
        </w:rPr>
        <w:t xml:space="preserve">202  </w:t>
      </w:r>
      <w:r>
        <w:rPr>
          <w:rFonts w:hint="eastAsia" w:ascii="宋体" w:hAnsi="宋体" w:eastAsia="宋体" w:cs="宋体"/>
          <w:u w:val="single"/>
        </w:rPr>
        <w:t>年</w:t>
      </w:r>
      <w:r>
        <w:rPr>
          <w:rFonts w:ascii="宋体" w:hAnsi="宋体" w:eastAsia="宋体" w:cs="宋体"/>
          <w:u w:val="single"/>
        </w:rPr>
        <w:t xml:space="preserve">  </w:t>
      </w:r>
      <w:r>
        <w:rPr>
          <w:rFonts w:hint="eastAsia" w:ascii="宋体" w:hAnsi="宋体" w:eastAsia="宋体" w:cs="宋体"/>
        </w:rPr>
        <w:t>月至</w:t>
      </w:r>
      <w:r>
        <w:rPr>
          <w:rFonts w:ascii="宋体" w:hAnsi="宋体" w:eastAsia="宋体" w:cs="宋体"/>
          <w:u w:val="single"/>
        </w:rPr>
        <w:t xml:space="preserve">202  </w:t>
      </w:r>
      <w:r>
        <w:rPr>
          <w:rFonts w:hint="eastAsia" w:ascii="宋体" w:hAnsi="宋体" w:eastAsia="宋体" w:cs="宋体"/>
        </w:rPr>
        <w:t>年</w:t>
      </w:r>
      <w:r>
        <w:rPr>
          <w:rFonts w:ascii="宋体" w:hAnsi="宋体" w:eastAsia="宋体" w:cs="宋体"/>
          <w:u w:val="single"/>
        </w:rPr>
        <w:t xml:space="preserve">   </w:t>
      </w:r>
      <w:r>
        <w:rPr>
          <w:rFonts w:hint="eastAsia" w:ascii="宋体" w:hAnsi="宋体" w:eastAsia="宋体" w:cs="宋体"/>
        </w:rPr>
        <w:t>月任意</w:t>
      </w:r>
      <w:r>
        <w:rPr>
          <w:rFonts w:ascii="宋体" w:hAnsi="宋体" w:eastAsia="宋体" w:cs="宋体"/>
        </w:rPr>
        <w:t>1</w:t>
      </w:r>
      <w:r>
        <w:rPr>
          <w:rFonts w:hint="eastAsia" w:ascii="宋体" w:hAnsi="宋体" w:eastAsia="宋体" w:cs="宋体"/>
        </w:rPr>
        <w:t>个的依法缴纳社会保障资金的缴费凭证（专用收据或者社会保险缴纳清单）复印件</w:t>
      </w:r>
      <w:r>
        <w:rPr>
          <w:rFonts w:hint="eastAsia" w:ascii="宋体" w:hAnsi="宋体" w:eastAsia="宋体" w:cs="宋体"/>
          <w:kern w:val="0"/>
        </w:rPr>
        <w:t>……………………………（页码）</w:t>
      </w:r>
    </w:p>
    <w:p w14:paraId="1922CDF7">
      <w:pPr>
        <w:snapToGrid w:val="0"/>
        <w:spacing w:line="500" w:lineRule="exact"/>
        <w:rPr>
          <w:rFonts w:ascii="宋体" w:hAnsi="宋体" w:eastAsia="宋体" w:cs="Times New Roman"/>
          <w:kern w:val="0"/>
        </w:rPr>
      </w:pPr>
      <w:r>
        <w:rPr>
          <w:rFonts w:hint="eastAsia" w:ascii="宋体" w:hAnsi="宋体" w:eastAsia="宋体" w:cs="宋体"/>
          <w:kern w:val="0"/>
        </w:rPr>
        <w:t>四、</w:t>
      </w:r>
      <w:r>
        <w:rPr>
          <w:rFonts w:hint="eastAsia" w:ascii="宋体" w:hAnsi="宋体" w:eastAsia="宋体" w:cs="宋体"/>
        </w:rPr>
        <w:t>供应商财务状况报告</w:t>
      </w:r>
      <w:r>
        <w:rPr>
          <w:rFonts w:hint="eastAsia" w:ascii="宋体" w:hAnsi="宋体" w:eastAsia="宋体" w:cs="宋体"/>
          <w:kern w:val="0"/>
        </w:rPr>
        <w:t>…………………………………………………………………………（页码）</w:t>
      </w:r>
    </w:p>
    <w:p w14:paraId="0BB9460F">
      <w:pPr>
        <w:snapToGrid w:val="0"/>
        <w:spacing w:line="500" w:lineRule="exact"/>
        <w:jc w:val="left"/>
        <w:rPr>
          <w:rFonts w:ascii="宋体" w:hAnsi="宋体" w:eastAsia="宋体" w:cs="Times New Roman"/>
          <w:kern w:val="0"/>
        </w:rPr>
      </w:pPr>
      <w:r>
        <w:rPr>
          <w:rFonts w:hint="eastAsia" w:ascii="宋体" w:hAnsi="宋体" w:eastAsia="宋体" w:cs="宋体"/>
        </w:rPr>
        <w:t>五、供应商直接控股、管理关系信息表</w:t>
      </w:r>
      <w:r>
        <w:rPr>
          <w:rFonts w:hint="eastAsia" w:ascii="宋体" w:hAnsi="宋体" w:eastAsia="宋体" w:cs="宋体"/>
          <w:kern w:val="0"/>
        </w:rPr>
        <w:t>…………………………………………………………（页码）</w:t>
      </w:r>
    </w:p>
    <w:p w14:paraId="53C61A52">
      <w:pPr>
        <w:snapToGrid w:val="0"/>
        <w:spacing w:line="500" w:lineRule="exact"/>
        <w:rPr>
          <w:rFonts w:ascii="宋体" w:hAnsi="宋体" w:eastAsia="宋体" w:cs="Times New Roman"/>
          <w:kern w:val="0"/>
        </w:rPr>
      </w:pPr>
      <w:r>
        <w:rPr>
          <w:rFonts w:hint="eastAsia" w:ascii="宋体" w:hAnsi="宋体" w:eastAsia="宋体" w:cs="宋体"/>
        </w:rPr>
        <w:t>六、</w:t>
      </w:r>
      <w:r>
        <w:rPr>
          <w:rFonts w:hint="eastAsia" w:ascii="宋体" w:hAnsi="宋体" w:eastAsia="宋体" w:cs="宋体"/>
          <w:kern w:val="0"/>
        </w:rPr>
        <w:t>资格声明函……………………………………………………………………………………（页码）</w:t>
      </w:r>
    </w:p>
    <w:p w14:paraId="4B7C1B5E">
      <w:pPr>
        <w:snapToGrid w:val="0"/>
        <w:spacing w:line="500" w:lineRule="exact"/>
        <w:jc w:val="left"/>
        <w:rPr>
          <w:rFonts w:ascii="宋体" w:hAnsi="宋体" w:eastAsia="宋体" w:cs="Times New Roman"/>
        </w:rPr>
      </w:pPr>
      <w:r>
        <w:rPr>
          <w:rFonts w:hint="eastAsia" w:ascii="宋体" w:hAnsi="宋体" w:eastAsia="宋体" w:cs="宋体"/>
          <w:kern w:val="0"/>
        </w:rPr>
        <w:t>七、</w:t>
      </w:r>
      <w:r>
        <w:rPr>
          <w:rFonts w:hint="eastAsia" w:ascii="宋体" w:hAnsi="宋体" w:eastAsia="宋体" w:cs="宋体"/>
        </w:rPr>
        <w:t>资质证明复印件、安全生产许可证复印件及拟派本项目项目经理具备水利水电工程类专业注册建造师贰级以上（含贰级）注册证书扫描件及有效的安全生产考核合格证书（</w:t>
      </w:r>
      <w:r>
        <w:rPr>
          <w:rFonts w:ascii="宋体" w:hAnsi="宋体" w:eastAsia="宋体" w:cs="宋体"/>
        </w:rPr>
        <w:t>B</w:t>
      </w:r>
      <w:r>
        <w:rPr>
          <w:rFonts w:hint="eastAsia" w:ascii="宋体" w:hAnsi="宋体" w:eastAsia="宋体" w:cs="宋体"/>
        </w:rPr>
        <w:t>类）证书扫描件；拟派本项目技术负责人持有中级或中级以上技术职称，专业是水利水电工程类专业；拟派本项目质量管理员持有初级或初级以上技术职称，专业是水利水电工程类专业；拟派本项目安全管理员：持有省级或省级以上水行政主管部门或其授权部门（机构）颁发的</w:t>
      </w:r>
      <w:r>
        <w:rPr>
          <w:rFonts w:ascii="宋体" w:hAnsi="宋体" w:eastAsia="宋体" w:cs="宋体"/>
        </w:rPr>
        <w:t>c</w:t>
      </w:r>
      <w:r>
        <w:rPr>
          <w:rFonts w:hint="eastAsia" w:ascii="宋体" w:hAnsi="宋体" w:eastAsia="宋体" w:cs="宋体"/>
        </w:rPr>
        <w:t>类安全生产考核合格证书………………………………………………………………………………………………（页码）</w:t>
      </w:r>
    </w:p>
    <w:p w14:paraId="3A0F16B2">
      <w:pPr>
        <w:snapToGrid w:val="0"/>
        <w:spacing w:line="500" w:lineRule="exact"/>
        <w:jc w:val="left"/>
        <w:rPr>
          <w:rFonts w:ascii="宋体" w:hAnsi="宋体" w:eastAsia="宋体" w:cs="Times New Roman"/>
        </w:rPr>
      </w:pPr>
      <w:r>
        <w:rPr>
          <w:rFonts w:hint="eastAsia" w:ascii="宋体" w:hAnsi="宋体" w:eastAsia="宋体" w:cs="宋体"/>
        </w:rPr>
        <w:t>八、中小企业声明函或者残疾人福利性单位声明函或者供应商属于监狱企业的证明材料………（页码）</w:t>
      </w:r>
    </w:p>
    <w:p w14:paraId="36C77007">
      <w:pPr>
        <w:snapToGrid w:val="0"/>
        <w:spacing w:line="500" w:lineRule="exact"/>
        <w:jc w:val="left"/>
        <w:rPr>
          <w:rFonts w:ascii="宋体" w:hAnsi="宋体" w:eastAsia="宋体" w:cs="Times New Roman"/>
          <w:kern w:val="0"/>
        </w:rPr>
      </w:pPr>
      <w:r>
        <w:rPr>
          <w:rFonts w:hint="eastAsia" w:ascii="宋体" w:hAnsi="宋体" w:eastAsia="宋体" w:cs="宋体"/>
        </w:rPr>
        <w:t>九、除磋商文件规定必须提供以外，供应商认为需要提供的其他证明材料</w:t>
      </w:r>
      <w:r>
        <w:rPr>
          <w:rFonts w:hint="eastAsia" w:ascii="宋体" w:hAnsi="宋体" w:eastAsia="宋体" w:cs="宋体"/>
          <w:kern w:val="0"/>
        </w:rPr>
        <w:t>…………………（页码）</w:t>
      </w:r>
    </w:p>
    <w:p w14:paraId="44C6F11C">
      <w:pPr>
        <w:spacing w:line="360" w:lineRule="auto"/>
        <w:rPr>
          <w:rFonts w:ascii="宋体" w:hAnsi="宋体" w:eastAsia="宋体" w:cs="Times New Roman"/>
          <w:b/>
          <w:bCs/>
        </w:rPr>
      </w:pPr>
    </w:p>
    <w:p w14:paraId="5DF2D6AD">
      <w:pPr>
        <w:spacing w:line="360" w:lineRule="auto"/>
        <w:rPr>
          <w:rFonts w:ascii="宋体" w:hAnsi="宋体" w:eastAsia="宋体" w:cs="Times New Roman"/>
        </w:rPr>
      </w:pPr>
      <w:r>
        <w:rPr>
          <w:rFonts w:hint="eastAsia" w:ascii="宋体" w:hAnsi="宋体" w:eastAsia="宋体" w:cs="宋体"/>
          <w:b/>
          <w:bCs/>
        </w:rPr>
        <w:t>注：以上目录是编制供应商响应文件的基本格式要求，各供应商可根据自身情况进一步细化。</w:t>
      </w:r>
    </w:p>
    <w:p w14:paraId="01774975">
      <w:pPr>
        <w:pStyle w:val="23"/>
        <w:spacing w:line="360" w:lineRule="auto"/>
        <w:rPr>
          <w:rFonts w:hAnsi="宋体" w:cs="Times New Roman"/>
          <w:b/>
          <w:bCs/>
          <w:sz w:val="30"/>
          <w:szCs w:val="30"/>
        </w:rPr>
      </w:pPr>
      <w:r>
        <w:rPr>
          <w:rFonts w:hAnsi="宋体" w:cs="Times New Roman"/>
        </w:rPr>
        <w:br w:type="page"/>
      </w:r>
    </w:p>
    <w:p w14:paraId="4E9EB7ED">
      <w:pPr>
        <w:snapToGrid w:val="0"/>
        <w:spacing w:line="500" w:lineRule="exact"/>
        <w:rPr>
          <w:rFonts w:ascii="宋体" w:hAnsi="宋体" w:eastAsia="宋体" w:cs="Times New Roman"/>
          <w:b/>
          <w:bCs/>
          <w:kern w:val="0"/>
          <w:sz w:val="28"/>
          <w:szCs w:val="28"/>
        </w:rPr>
      </w:pPr>
      <w:r>
        <w:rPr>
          <w:rFonts w:hint="eastAsia" w:ascii="宋体" w:hAnsi="宋体" w:eastAsia="宋体" w:cs="宋体"/>
          <w:b/>
          <w:bCs/>
          <w:kern w:val="0"/>
          <w:sz w:val="28"/>
          <w:szCs w:val="28"/>
        </w:rPr>
        <w:t>一、</w:t>
      </w:r>
      <w:r>
        <w:rPr>
          <w:rFonts w:hint="eastAsia" w:ascii="宋体" w:hAnsi="宋体" w:eastAsia="宋体" w:cs="宋体"/>
          <w:b/>
          <w:bCs/>
          <w:sz w:val="28"/>
          <w:szCs w:val="28"/>
        </w:rPr>
        <w:t>供应商为法人或者其他组织的提供其营业执照等证明文件（如营业执照或者事业单位法人证书或者执业许可证等），供应商为自然人的提供其身份证复印件</w:t>
      </w:r>
    </w:p>
    <w:p w14:paraId="6498D32E">
      <w:pPr>
        <w:snapToGrid w:val="0"/>
        <w:spacing w:line="500" w:lineRule="exact"/>
        <w:rPr>
          <w:rFonts w:ascii="宋体" w:hAnsi="宋体" w:eastAsia="宋体" w:cs="Times New Roman"/>
          <w:b/>
          <w:bCs/>
          <w:kern w:val="0"/>
          <w:sz w:val="28"/>
          <w:szCs w:val="28"/>
        </w:rPr>
      </w:pPr>
    </w:p>
    <w:p w14:paraId="6605F9D4">
      <w:pPr>
        <w:snapToGrid w:val="0"/>
        <w:spacing w:line="500" w:lineRule="exact"/>
        <w:jc w:val="left"/>
        <w:rPr>
          <w:rFonts w:ascii="宋体" w:hAnsi="宋体" w:eastAsia="宋体" w:cs="Times New Roman"/>
          <w:b/>
          <w:bCs/>
          <w:kern w:val="0"/>
          <w:sz w:val="28"/>
          <w:szCs w:val="28"/>
        </w:rPr>
      </w:pPr>
      <w:r>
        <w:rPr>
          <w:rFonts w:hint="eastAsia" w:ascii="宋体" w:hAnsi="宋体" w:eastAsia="宋体" w:cs="宋体"/>
          <w:b/>
          <w:bCs/>
          <w:kern w:val="0"/>
          <w:sz w:val="28"/>
          <w:szCs w:val="28"/>
        </w:rPr>
        <w:t>二、</w:t>
      </w:r>
      <w:r>
        <w:rPr>
          <w:rFonts w:hint="eastAsia" w:ascii="宋体" w:hAnsi="宋体" w:eastAsia="宋体" w:cs="宋体"/>
          <w:b/>
          <w:bCs/>
          <w:sz w:val="28"/>
          <w:szCs w:val="28"/>
        </w:rPr>
        <w:t>供应商依法缴纳税收的相关材料：</w:t>
      </w:r>
      <w:r>
        <w:rPr>
          <w:rFonts w:ascii="宋体" w:hAnsi="宋体" w:eastAsia="宋体" w:cs="宋体"/>
          <w:b/>
          <w:bCs/>
          <w:sz w:val="28"/>
          <w:szCs w:val="28"/>
          <w:u w:val="single"/>
        </w:rPr>
        <w:t xml:space="preserve">202   </w:t>
      </w:r>
      <w:r>
        <w:rPr>
          <w:rFonts w:hint="eastAsia" w:ascii="宋体" w:hAnsi="宋体" w:eastAsia="宋体" w:cs="宋体"/>
          <w:b/>
          <w:bCs/>
          <w:sz w:val="28"/>
          <w:szCs w:val="28"/>
          <w:u w:val="single"/>
        </w:rPr>
        <w:t>年</w:t>
      </w:r>
      <w:r>
        <w:rPr>
          <w:rFonts w:ascii="宋体" w:hAnsi="宋体" w:eastAsia="宋体" w:cs="宋体"/>
          <w:b/>
          <w:bCs/>
          <w:sz w:val="28"/>
          <w:szCs w:val="28"/>
          <w:u w:val="single"/>
        </w:rPr>
        <w:t xml:space="preserve">  </w:t>
      </w:r>
      <w:r>
        <w:rPr>
          <w:rFonts w:hint="eastAsia" w:ascii="宋体" w:hAnsi="宋体" w:eastAsia="宋体" w:cs="宋体"/>
          <w:b/>
          <w:bCs/>
          <w:sz w:val="28"/>
          <w:szCs w:val="28"/>
        </w:rPr>
        <w:t>月至</w:t>
      </w:r>
      <w:r>
        <w:rPr>
          <w:rFonts w:ascii="宋体" w:hAnsi="宋体" w:eastAsia="宋体" w:cs="宋体"/>
          <w:b/>
          <w:bCs/>
          <w:sz w:val="28"/>
          <w:szCs w:val="28"/>
          <w:u w:val="single"/>
        </w:rPr>
        <w:t xml:space="preserve">202  </w:t>
      </w:r>
      <w:r>
        <w:rPr>
          <w:rFonts w:hint="eastAsia" w:ascii="宋体" w:hAnsi="宋体" w:eastAsia="宋体" w:cs="宋体"/>
          <w:b/>
          <w:bCs/>
          <w:sz w:val="28"/>
          <w:szCs w:val="28"/>
        </w:rPr>
        <w:t>年</w:t>
      </w:r>
      <w:r>
        <w:rPr>
          <w:rFonts w:ascii="宋体" w:hAnsi="宋体" w:eastAsia="宋体" w:cs="宋体"/>
          <w:b/>
          <w:bCs/>
          <w:sz w:val="28"/>
          <w:szCs w:val="28"/>
          <w:u w:val="single"/>
        </w:rPr>
        <w:t xml:space="preserve">  </w:t>
      </w:r>
      <w:r>
        <w:rPr>
          <w:rFonts w:hint="eastAsia" w:ascii="宋体" w:hAnsi="宋体" w:eastAsia="宋体" w:cs="宋体"/>
          <w:b/>
          <w:bCs/>
          <w:sz w:val="28"/>
          <w:szCs w:val="28"/>
        </w:rPr>
        <w:t>月任意</w:t>
      </w:r>
      <w:r>
        <w:rPr>
          <w:rFonts w:ascii="宋体" w:hAnsi="宋体" w:eastAsia="宋体" w:cs="宋体"/>
          <w:b/>
          <w:bCs/>
          <w:sz w:val="28"/>
          <w:szCs w:val="28"/>
        </w:rPr>
        <w:t>1</w:t>
      </w:r>
      <w:r>
        <w:rPr>
          <w:rFonts w:hint="eastAsia" w:ascii="宋体" w:hAnsi="宋体" w:eastAsia="宋体" w:cs="宋体"/>
          <w:b/>
          <w:bCs/>
          <w:sz w:val="28"/>
          <w:szCs w:val="28"/>
        </w:rPr>
        <w:t>个月的依法缴纳税收的凭据复印件</w:t>
      </w:r>
    </w:p>
    <w:p w14:paraId="761EA2BC">
      <w:pPr>
        <w:snapToGrid w:val="0"/>
        <w:spacing w:line="500" w:lineRule="exact"/>
        <w:jc w:val="left"/>
        <w:rPr>
          <w:rFonts w:ascii="宋体" w:hAnsi="宋体" w:eastAsia="宋体" w:cs="Times New Roman"/>
          <w:b/>
          <w:bCs/>
          <w:kern w:val="0"/>
          <w:sz w:val="28"/>
          <w:szCs w:val="28"/>
        </w:rPr>
      </w:pPr>
    </w:p>
    <w:p w14:paraId="3B0BFF6D">
      <w:pPr>
        <w:snapToGrid w:val="0"/>
        <w:spacing w:line="500" w:lineRule="exact"/>
        <w:jc w:val="left"/>
        <w:rPr>
          <w:rFonts w:ascii="宋体" w:hAnsi="宋体" w:eastAsia="宋体" w:cs="Times New Roman"/>
          <w:b/>
          <w:bCs/>
          <w:kern w:val="0"/>
          <w:sz w:val="28"/>
          <w:szCs w:val="28"/>
        </w:rPr>
      </w:pPr>
      <w:r>
        <w:rPr>
          <w:rFonts w:hint="eastAsia" w:ascii="宋体" w:hAnsi="宋体" w:eastAsia="宋体" w:cs="宋体"/>
          <w:b/>
          <w:bCs/>
          <w:kern w:val="0"/>
          <w:sz w:val="28"/>
          <w:szCs w:val="28"/>
        </w:rPr>
        <w:t>三、</w:t>
      </w:r>
      <w:r>
        <w:rPr>
          <w:rFonts w:hint="eastAsia" w:ascii="宋体" w:hAnsi="宋体" w:eastAsia="宋体" w:cs="宋体"/>
          <w:b/>
          <w:bCs/>
          <w:sz w:val="28"/>
          <w:szCs w:val="28"/>
        </w:rPr>
        <w:t>供应商依法缴纳社会保障资金的相关材料：</w:t>
      </w:r>
      <w:r>
        <w:rPr>
          <w:rFonts w:ascii="宋体" w:hAnsi="宋体" w:eastAsia="宋体" w:cs="宋体"/>
          <w:b/>
          <w:bCs/>
          <w:sz w:val="28"/>
          <w:szCs w:val="28"/>
          <w:u w:val="single"/>
        </w:rPr>
        <w:t xml:space="preserve">202  </w:t>
      </w:r>
      <w:r>
        <w:rPr>
          <w:rFonts w:hint="eastAsia" w:ascii="宋体" w:hAnsi="宋体" w:eastAsia="宋体" w:cs="宋体"/>
          <w:b/>
          <w:bCs/>
          <w:sz w:val="28"/>
          <w:szCs w:val="28"/>
          <w:u w:val="single"/>
        </w:rPr>
        <w:t>年</w:t>
      </w:r>
      <w:r>
        <w:rPr>
          <w:rFonts w:ascii="宋体" w:hAnsi="宋体" w:eastAsia="宋体" w:cs="宋体"/>
          <w:b/>
          <w:bCs/>
          <w:sz w:val="28"/>
          <w:szCs w:val="28"/>
          <w:u w:val="single"/>
        </w:rPr>
        <w:t xml:space="preserve">  </w:t>
      </w:r>
      <w:r>
        <w:rPr>
          <w:rFonts w:hint="eastAsia" w:ascii="宋体" w:hAnsi="宋体" w:eastAsia="宋体" w:cs="宋体"/>
          <w:b/>
          <w:bCs/>
          <w:sz w:val="28"/>
          <w:szCs w:val="28"/>
        </w:rPr>
        <w:t>月至</w:t>
      </w:r>
      <w:r>
        <w:rPr>
          <w:rFonts w:ascii="宋体" w:hAnsi="宋体" w:eastAsia="宋体" w:cs="宋体"/>
          <w:b/>
          <w:bCs/>
          <w:sz w:val="28"/>
          <w:szCs w:val="28"/>
          <w:u w:val="single"/>
        </w:rPr>
        <w:t xml:space="preserve">202  </w:t>
      </w:r>
      <w:r>
        <w:rPr>
          <w:rFonts w:hint="eastAsia" w:ascii="宋体" w:hAnsi="宋体" w:eastAsia="宋体" w:cs="宋体"/>
          <w:b/>
          <w:bCs/>
          <w:sz w:val="28"/>
          <w:szCs w:val="28"/>
        </w:rPr>
        <w:t>年</w:t>
      </w:r>
      <w:r>
        <w:rPr>
          <w:rFonts w:ascii="宋体" w:hAnsi="宋体" w:eastAsia="宋体" w:cs="宋体"/>
          <w:b/>
          <w:bCs/>
          <w:sz w:val="28"/>
          <w:szCs w:val="28"/>
          <w:u w:val="single"/>
        </w:rPr>
        <w:t xml:space="preserve"> </w:t>
      </w:r>
      <w:r>
        <w:rPr>
          <w:rFonts w:hint="eastAsia" w:ascii="宋体" w:hAnsi="宋体" w:eastAsia="宋体" w:cs="宋体"/>
          <w:b/>
          <w:bCs/>
          <w:sz w:val="28"/>
          <w:szCs w:val="28"/>
        </w:rPr>
        <w:t>月任意</w:t>
      </w:r>
      <w:r>
        <w:rPr>
          <w:rFonts w:ascii="宋体" w:hAnsi="宋体" w:eastAsia="宋体" w:cs="宋体"/>
          <w:b/>
          <w:bCs/>
          <w:sz w:val="28"/>
          <w:szCs w:val="28"/>
        </w:rPr>
        <w:t>1</w:t>
      </w:r>
      <w:r>
        <w:rPr>
          <w:rFonts w:hint="eastAsia" w:ascii="宋体" w:hAnsi="宋体" w:eastAsia="宋体" w:cs="宋体"/>
          <w:b/>
          <w:bCs/>
          <w:sz w:val="28"/>
          <w:szCs w:val="28"/>
        </w:rPr>
        <w:t>个的依法缴纳社会保障资金的缴费凭证（专用收据或者社会保险缴纳清单）复印件</w:t>
      </w:r>
    </w:p>
    <w:p w14:paraId="5DBF4823">
      <w:pPr>
        <w:snapToGrid w:val="0"/>
        <w:spacing w:line="500" w:lineRule="exact"/>
        <w:jc w:val="left"/>
        <w:rPr>
          <w:rFonts w:ascii="宋体" w:hAnsi="宋体" w:eastAsia="宋体" w:cs="Times New Roman"/>
          <w:b/>
          <w:bCs/>
          <w:kern w:val="0"/>
          <w:sz w:val="28"/>
          <w:szCs w:val="28"/>
        </w:rPr>
      </w:pPr>
    </w:p>
    <w:p w14:paraId="71F0DCA9">
      <w:pPr>
        <w:snapToGrid w:val="0"/>
        <w:spacing w:line="500" w:lineRule="exact"/>
        <w:rPr>
          <w:rFonts w:ascii="宋体" w:hAnsi="宋体" w:eastAsia="宋体" w:cs="Times New Roman"/>
          <w:b/>
          <w:bCs/>
          <w:kern w:val="0"/>
          <w:sz w:val="28"/>
          <w:szCs w:val="28"/>
        </w:rPr>
      </w:pPr>
      <w:r>
        <w:rPr>
          <w:rFonts w:hint="eastAsia" w:ascii="宋体" w:hAnsi="宋体" w:eastAsia="宋体" w:cs="宋体"/>
          <w:b/>
          <w:bCs/>
          <w:kern w:val="0"/>
          <w:sz w:val="28"/>
          <w:szCs w:val="28"/>
        </w:rPr>
        <w:t>四、</w:t>
      </w:r>
      <w:r>
        <w:rPr>
          <w:rFonts w:hint="eastAsia" w:ascii="宋体" w:hAnsi="宋体" w:eastAsia="宋体" w:cs="宋体"/>
          <w:b/>
          <w:bCs/>
          <w:sz w:val="28"/>
          <w:szCs w:val="28"/>
        </w:rPr>
        <w:t>供应商财务状况报告</w:t>
      </w:r>
    </w:p>
    <w:p w14:paraId="4F34BB94">
      <w:pPr>
        <w:snapToGrid w:val="0"/>
        <w:spacing w:line="500" w:lineRule="exact"/>
        <w:rPr>
          <w:rFonts w:ascii="宋体" w:hAnsi="宋体" w:eastAsia="宋体" w:cs="Times New Roman"/>
          <w:kern w:val="0"/>
        </w:rPr>
      </w:pPr>
    </w:p>
    <w:p w14:paraId="3E8EA299">
      <w:pPr>
        <w:widowControl/>
        <w:jc w:val="left"/>
        <w:rPr>
          <w:rFonts w:ascii="宋体" w:hAnsi="宋体" w:eastAsia="宋体" w:cs="Times New Roman"/>
        </w:rPr>
      </w:pPr>
      <w:r>
        <w:rPr>
          <w:rFonts w:ascii="宋体" w:hAnsi="宋体" w:eastAsia="宋体" w:cs="Times New Roman"/>
        </w:rPr>
        <w:br w:type="page"/>
      </w:r>
    </w:p>
    <w:p w14:paraId="526263EA">
      <w:pPr>
        <w:snapToGrid w:val="0"/>
        <w:spacing w:line="500" w:lineRule="exact"/>
        <w:jc w:val="left"/>
        <w:rPr>
          <w:rFonts w:ascii="宋体" w:hAnsi="宋体" w:eastAsia="宋体" w:cs="Times New Roman"/>
          <w:b/>
          <w:bCs/>
          <w:kern w:val="0"/>
          <w:sz w:val="28"/>
          <w:szCs w:val="28"/>
        </w:rPr>
      </w:pPr>
      <w:r>
        <w:rPr>
          <w:rFonts w:hint="eastAsia" w:ascii="宋体" w:hAnsi="宋体" w:eastAsia="宋体" w:cs="宋体"/>
          <w:b/>
          <w:bCs/>
          <w:sz w:val="28"/>
          <w:szCs w:val="28"/>
        </w:rPr>
        <w:t>五、供应商直接控股、管理关系信息表</w:t>
      </w:r>
    </w:p>
    <w:p w14:paraId="15154E69">
      <w:pPr>
        <w:spacing w:line="360" w:lineRule="auto"/>
        <w:jc w:val="center"/>
        <w:rPr>
          <w:rFonts w:ascii="宋体" w:hAnsi="宋体" w:eastAsia="宋体" w:cs="Times New Roman"/>
          <w:b/>
          <w:bCs/>
          <w:kern w:val="0"/>
          <w:sz w:val="32"/>
          <w:szCs w:val="32"/>
        </w:rPr>
      </w:pPr>
    </w:p>
    <w:p w14:paraId="6C73EA60">
      <w:pPr>
        <w:spacing w:line="360" w:lineRule="auto"/>
        <w:jc w:val="center"/>
        <w:rPr>
          <w:rFonts w:ascii="宋体" w:hAnsi="宋体" w:eastAsia="宋体" w:cs="Times New Roman"/>
          <w:b/>
          <w:bCs/>
          <w:sz w:val="30"/>
          <w:szCs w:val="30"/>
        </w:rPr>
      </w:pPr>
      <w:r>
        <w:rPr>
          <w:rFonts w:hint="eastAsia" w:ascii="宋体" w:hAnsi="宋体" w:eastAsia="宋体" w:cs="宋体"/>
          <w:b/>
          <w:bCs/>
          <w:kern w:val="0"/>
          <w:sz w:val="30"/>
          <w:szCs w:val="30"/>
        </w:rPr>
        <w:t>供应商直接控股股东信息</w:t>
      </w:r>
    </w:p>
    <w:tbl>
      <w:tblPr>
        <w:tblStyle w:val="44"/>
        <w:tblW w:w="0" w:type="auto"/>
        <w:jc w:val="center"/>
        <w:tblLayout w:type="fixed"/>
        <w:tblCellMar>
          <w:top w:w="0" w:type="dxa"/>
          <w:left w:w="0" w:type="dxa"/>
          <w:bottom w:w="0" w:type="dxa"/>
          <w:right w:w="0" w:type="dxa"/>
        </w:tblCellMar>
      </w:tblPr>
      <w:tblGrid>
        <w:gridCol w:w="880"/>
        <w:gridCol w:w="2655"/>
        <w:gridCol w:w="1455"/>
        <w:gridCol w:w="4287"/>
        <w:gridCol w:w="870"/>
      </w:tblGrid>
      <w:tr w14:paraId="6F4ED52F">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FB77F4">
            <w:pPr>
              <w:widowControl/>
              <w:spacing w:line="360" w:lineRule="auto"/>
              <w:jc w:val="center"/>
              <w:rPr>
                <w:rFonts w:ascii="宋体" w:hAnsi="宋体" w:eastAsia="宋体" w:cs="Times New Roman"/>
                <w:b/>
                <w:bCs/>
                <w:kern w:val="0"/>
              </w:rPr>
            </w:pPr>
            <w:r>
              <w:rPr>
                <w:rFonts w:hint="eastAsia" w:ascii="宋体" w:hAnsi="宋体" w:eastAsia="宋体" w:cs="宋体"/>
                <w:b/>
                <w:bCs/>
                <w:kern w:val="0"/>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7EAC77">
            <w:pPr>
              <w:widowControl/>
              <w:spacing w:line="360" w:lineRule="auto"/>
              <w:jc w:val="center"/>
              <w:rPr>
                <w:rFonts w:ascii="宋体" w:hAnsi="宋体" w:eastAsia="宋体" w:cs="Times New Roman"/>
                <w:b/>
                <w:bCs/>
                <w:kern w:val="0"/>
              </w:rPr>
            </w:pPr>
            <w:r>
              <w:rPr>
                <w:rFonts w:hint="eastAsia" w:ascii="宋体" w:hAnsi="宋体" w:eastAsia="宋体" w:cs="宋体"/>
                <w:b/>
                <w:bCs/>
                <w:kern w:val="0"/>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F46377">
            <w:pPr>
              <w:widowControl/>
              <w:spacing w:line="360" w:lineRule="auto"/>
              <w:jc w:val="center"/>
              <w:rPr>
                <w:rFonts w:ascii="宋体" w:hAnsi="宋体" w:eastAsia="宋体" w:cs="Times New Roman"/>
                <w:b/>
                <w:bCs/>
                <w:kern w:val="0"/>
              </w:rPr>
            </w:pPr>
            <w:r>
              <w:rPr>
                <w:rFonts w:hint="eastAsia" w:ascii="宋体" w:hAnsi="宋体" w:eastAsia="宋体" w:cs="宋体"/>
                <w:b/>
                <w:bCs/>
                <w:kern w:val="0"/>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219F6D">
            <w:pPr>
              <w:widowControl/>
              <w:spacing w:line="360" w:lineRule="auto"/>
              <w:jc w:val="center"/>
              <w:rPr>
                <w:rFonts w:ascii="宋体" w:hAnsi="宋体" w:eastAsia="宋体" w:cs="Times New Roman"/>
                <w:b/>
                <w:bCs/>
                <w:kern w:val="0"/>
              </w:rPr>
            </w:pPr>
            <w:r>
              <w:rPr>
                <w:rFonts w:hint="eastAsia" w:ascii="宋体" w:hAnsi="宋体" w:eastAsia="宋体" w:cs="宋体"/>
                <w:b/>
                <w:bCs/>
                <w:kern w:val="0"/>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44F241">
            <w:pPr>
              <w:widowControl/>
              <w:spacing w:line="360" w:lineRule="auto"/>
              <w:jc w:val="center"/>
              <w:rPr>
                <w:rFonts w:ascii="宋体" w:hAnsi="宋体" w:eastAsia="宋体" w:cs="Times New Roman"/>
                <w:b/>
                <w:bCs/>
                <w:kern w:val="0"/>
              </w:rPr>
            </w:pPr>
            <w:r>
              <w:rPr>
                <w:rFonts w:hint="eastAsia" w:ascii="宋体" w:hAnsi="宋体" w:eastAsia="宋体" w:cs="宋体"/>
                <w:b/>
                <w:bCs/>
                <w:kern w:val="0"/>
              </w:rPr>
              <w:t>备注</w:t>
            </w:r>
          </w:p>
        </w:tc>
      </w:tr>
      <w:tr w14:paraId="59886F6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821543">
            <w:pPr>
              <w:widowControl/>
              <w:spacing w:line="360" w:lineRule="auto"/>
              <w:jc w:val="center"/>
              <w:rPr>
                <w:rFonts w:ascii="宋体" w:hAnsi="宋体" w:eastAsia="宋体" w:cs="宋体"/>
                <w:kern w:val="0"/>
              </w:rPr>
            </w:pPr>
            <w:r>
              <w:rPr>
                <w:rFonts w:ascii="宋体" w:hAnsi="宋体" w:eastAsia="宋体" w:cs="宋体"/>
                <w:kern w:val="0"/>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F21393">
            <w:pPr>
              <w:widowControl/>
              <w:spacing w:line="360" w:lineRule="auto"/>
              <w:jc w:val="center"/>
              <w:rPr>
                <w:rFonts w:ascii="宋体" w:hAnsi="宋体" w:eastAsia="宋体" w:cs="宋体"/>
                <w:kern w:val="0"/>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B80260">
            <w:pPr>
              <w:widowControl/>
              <w:spacing w:line="360" w:lineRule="auto"/>
              <w:jc w:val="center"/>
              <w:rPr>
                <w:rFonts w:ascii="宋体" w:hAnsi="宋体" w:eastAsia="宋体" w:cs="宋体"/>
                <w:kern w:val="0"/>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3D8970">
            <w:pPr>
              <w:widowControl/>
              <w:spacing w:line="360" w:lineRule="auto"/>
              <w:jc w:val="center"/>
              <w:rPr>
                <w:rFonts w:ascii="宋体" w:hAnsi="宋体" w:eastAsia="宋体" w:cs="宋体"/>
                <w:kern w:val="0"/>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BC8638">
            <w:pPr>
              <w:widowControl/>
              <w:spacing w:line="360" w:lineRule="auto"/>
              <w:jc w:val="center"/>
              <w:rPr>
                <w:rFonts w:ascii="宋体" w:hAnsi="宋体" w:eastAsia="宋体" w:cs="宋体"/>
                <w:kern w:val="0"/>
              </w:rPr>
            </w:pPr>
          </w:p>
        </w:tc>
      </w:tr>
      <w:tr w14:paraId="59E9BE2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5539EC">
            <w:pPr>
              <w:widowControl/>
              <w:spacing w:line="360" w:lineRule="auto"/>
              <w:jc w:val="center"/>
              <w:rPr>
                <w:rFonts w:ascii="宋体" w:hAnsi="宋体" w:eastAsia="宋体" w:cs="宋体"/>
                <w:kern w:val="0"/>
              </w:rPr>
            </w:pPr>
            <w:r>
              <w:rPr>
                <w:rFonts w:ascii="宋体" w:hAnsi="宋体" w:eastAsia="宋体" w:cs="宋体"/>
                <w:kern w:val="0"/>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08F4DB">
            <w:pPr>
              <w:widowControl/>
              <w:spacing w:line="360" w:lineRule="auto"/>
              <w:jc w:val="center"/>
              <w:rPr>
                <w:rFonts w:ascii="宋体" w:hAnsi="宋体" w:eastAsia="宋体" w:cs="宋体"/>
                <w:kern w:val="0"/>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4D7C2F">
            <w:pPr>
              <w:widowControl/>
              <w:spacing w:line="360" w:lineRule="auto"/>
              <w:jc w:val="center"/>
              <w:rPr>
                <w:rFonts w:ascii="宋体" w:hAnsi="宋体" w:eastAsia="宋体" w:cs="宋体"/>
                <w:kern w:val="0"/>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F311FB">
            <w:pPr>
              <w:widowControl/>
              <w:spacing w:line="360" w:lineRule="auto"/>
              <w:jc w:val="center"/>
              <w:rPr>
                <w:rFonts w:ascii="宋体" w:hAnsi="宋体" w:eastAsia="宋体" w:cs="宋体"/>
                <w:kern w:val="0"/>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5227E0">
            <w:pPr>
              <w:widowControl/>
              <w:spacing w:line="360" w:lineRule="auto"/>
              <w:jc w:val="center"/>
              <w:rPr>
                <w:rFonts w:ascii="宋体" w:hAnsi="宋体" w:eastAsia="宋体" w:cs="宋体"/>
                <w:kern w:val="0"/>
              </w:rPr>
            </w:pPr>
          </w:p>
        </w:tc>
      </w:tr>
      <w:tr w14:paraId="4B4D2E6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86297F">
            <w:pPr>
              <w:widowControl/>
              <w:spacing w:line="360" w:lineRule="auto"/>
              <w:jc w:val="center"/>
              <w:rPr>
                <w:rFonts w:ascii="宋体" w:hAnsi="宋体" w:eastAsia="宋体" w:cs="宋体"/>
                <w:kern w:val="0"/>
              </w:rPr>
            </w:pPr>
            <w:r>
              <w:rPr>
                <w:rFonts w:ascii="宋体" w:hAnsi="宋体" w:eastAsia="宋体" w:cs="宋体"/>
                <w:kern w:val="0"/>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670858">
            <w:pPr>
              <w:widowControl/>
              <w:spacing w:line="360" w:lineRule="auto"/>
              <w:jc w:val="center"/>
              <w:rPr>
                <w:rFonts w:ascii="宋体" w:hAnsi="宋体" w:eastAsia="宋体" w:cs="宋体"/>
                <w:kern w:val="0"/>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6DB5E2">
            <w:pPr>
              <w:widowControl/>
              <w:spacing w:line="360" w:lineRule="auto"/>
              <w:jc w:val="center"/>
              <w:rPr>
                <w:rFonts w:ascii="宋体" w:hAnsi="宋体" w:eastAsia="宋体" w:cs="宋体"/>
                <w:kern w:val="0"/>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09B6E3">
            <w:pPr>
              <w:widowControl/>
              <w:spacing w:line="360" w:lineRule="auto"/>
              <w:jc w:val="center"/>
              <w:rPr>
                <w:rFonts w:ascii="宋体" w:hAnsi="宋体" w:eastAsia="宋体" w:cs="宋体"/>
                <w:kern w:val="0"/>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943177">
            <w:pPr>
              <w:widowControl/>
              <w:spacing w:line="360" w:lineRule="auto"/>
              <w:jc w:val="center"/>
              <w:rPr>
                <w:rFonts w:ascii="宋体" w:hAnsi="宋体" w:eastAsia="宋体" w:cs="宋体"/>
                <w:kern w:val="0"/>
              </w:rPr>
            </w:pPr>
          </w:p>
        </w:tc>
      </w:tr>
      <w:tr w14:paraId="0DD75EA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095E5E">
            <w:pPr>
              <w:widowControl/>
              <w:spacing w:line="360" w:lineRule="auto"/>
              <w:jc w:val="center"/>
              <w:rPr>
                <w:rFonts w:ascii="宋体" w:hAnsi="宋体" w:eastAsia="宋体" w:cs="Times New Roman"/>
                <w:kern w:val="0"/>
              </w:rPr>
            </w:pPr>
            <w:r>
              <w:rPr>
                <w:rFonts w:hint="eastAsia" w:ascii="宋体" w:hAnsi="宋体" w:eastAsia="宋体" w:cs="宋体"/>
                <w:kern w:val="0"/>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65AD17">
            <w:pPr>
              <w:widowControl/>
              <w:spacing w:line="360" w:lineRule="auto"/>
              <w:jc w:val="center"/>
              <w:rPr>
                <w:rFonts w:ascii="宋体" w:hAnsi="宋体" w:eastAsia="宋体" w:cs="Times New Roman"/>
                <w:kern w:val="0"/>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DA1712">
            <w:pPr>
              <w:widowControl/>
              <w:spacing w:line="360" w:lineRule="auto"/>
              <w:jc w:val="center"/>
              <w:rPr>
                <w:rFonts w:ascii="宋体" w:hAnsi="宋体" w:eastAsia="宋体" w:cs="Times New Roman"/>
                <w:kern w:val="0"/>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5857F9">
            <w:pPr>
              <w:widowControl/>
              <w:spacing w:line="360" w:lineRule="auto"/>
              <w:jc w:val="center"/>
              <w:rPr>
                <w:rFonts w:ascii="宋体" w:hAnsi="宋体" w:eastAsia="宋体" w:cs="Times New Roman"/>
                <w:kern w:val="0"/>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E219CB">
            <w:pPr>
              <w:widowControl/>
              <w:spacing w:line="360" w:lineRule="auto"/>
              <w:jc w:val="center"/>
              <w:rPr>
                <w:rFonts w:ascii="宋体" w:hAnsi="宋体" w:eastAsia="宋体" w:cs="Times New Roman"/>
                <w:kern w:val="0"/>
              </w:rPr>
            </w:pPr>
          </w:p>
        </w:tc>
      </w:tr>
    </w:tbl>
    <w:p w14:paraId="6725C19E">
      <w:pPr>
        <w:spacing w:line="360" w:lineRule="auto"/>
        <w:jc w:val="left"/>
        <w:rPr>
          <w:rFonts w:ascii="宋体" w:hAnsi="宋体" w:eastAsia="宋体" w:cs="Times New Roman"/>
          <w:kern w:val="0"/>
        </w:rPr>
      </w:pPr>
      <w:r>
        <w:rPr>
          <w:rFonts w:hint="eastAsia" w:ascii="宋体" w:hAnsi="宋体" w:eastAsia="宋体" w:cs="宋体"/>
          <w:kern w:val="0"/>
        </w:rPr>
        <w:t>注：</w:t>
      </w:r>
    </w:p>
    <w:p w14:paraId="40053DD0">
      <w:pPr>
        <w:spacing w:line="360" w:lineRule="auto"/>
        <w:jc w:val="left"/>
        <w:rPr>
          <w:rFonts w:ascii="宋体" w:hAnsi="宋体" w:eastAsia="宋体" w:cs="Times New Roman"/>
          <w:kern w:val="0"/>
        </w:rPr>
      </w:pPr>
      <w:r>
        <w:rPr>
          <w:rFonts w:ascii="宋体" w:hAnsi="宋体" w:eastAsia="宋体" w:cs="宋体"/>
          <w:kern w:val="0"/>
        </w:rPr>
        <w:t>1.</w:t>
      </w:r>
      <w:r>
        <w:rPr>
          <w:rFonts w:hint="eastAsia" w:ascii="宋体" w:hAnsi="宋体" w:eastAsia="宋体" w:cs="宋体"/>
          <w:kern w:val="0"/>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A5A305">
      <w:pPr>
        <w:spacing w:line="360" w:lineRule="auto"/>
        <w:jc w:val="left"/>
        <w:rPr>
          <w:rFonts w:ascii="宋体" w:hAnsi="宋体" w:eastAsia="宋体" w:cs="Times New Roman"/>
          <w:kern w:val="0"/>
        </w:rPr>
      </w:pPr>
      <w:r>
        <w:rPr>
          <w:rFonts w:ascii="宋体" w:hAnsi="宋体" w:eastAsia="宋体" w:cs="宋体"/>
          <w:kern w:val="0"/>
        </w:rPr>
        <w:t>2.</w:t>
      </w:r>
      <w:r>
        <w:rPr>
          <w:rFonts w:hint="eastAsia" w:ascii="宋体" w:hAnsi="宋体" w:eastAsia="宋体" w:cs="宋体"/>
          <w:kern w:val="0"/>
        </w:rPr>
        <w:t>本表所指的控股关系仅限于直接控股关系，不包括间接的控股关系。公司实际控制人与公司之间的关系不属于本表所指的直接控股关系。</w:t>
      </w:r>
    </w:p>
    <w:p w14:paraId="42C3D78D">
      <w:pPr>
        <w:spacing w:line="360" w:lineRule="auto"/>
        <w:jc w:val="left"/>
        <w:rPr>
          <w:rFonts w:ascii="宋体" w:hAnsi="宋体" w:eastAsia="宋体" w:cs="Times New Roman"/>
          <w:kern w:val="0"/>
        </w:rPr>
      </w:pPr>
      <w:r>
        <w:rPr>
          <w:rFonts w:ascii="宋体" w:hAnsi="宋体" w:eastAsia="宋体" w:cs="宋体"/>
          <w:kern w:val="0"/>
        </w:rPr>
        <w:t>3.</w:t>
      </w:r>
      <w:r>
        <w:rPr>
          <w:rFonts w:hint="eastAsia" w:ascii="宋体" w:hAnsi="宋体" w:eastAsia="宋体" w:cs="宋体"/>
          <w:kern w:val="0"/>
        </w:rPr>
        <w:t>供应商不存在直接控股股东的，则填“无”。</w:t>
      </w:r>
    </w:p>
    <w:p w14:paraId="20FA3085">
      <w:pPr>
        <w:snapToGrid w:val="0"/>
        <w:spacing w:line="360" w:lineRule="auto"/>
        <w:jc w:val="left"/>
        <w:rPr>
          <w:rFonts w:ascii="宋体" w:hAnsi="宋体" w:eastAsia="宋体" w:cs="Times New Roman"/>
        </w:rPr>
      </w:pPr>
    </w:p>
    <w:p w14:paraId="6B8AECB2">
      <w:pPr>
        <w:snapToGrid w:val="0"/>
        <w:spacing w:line="360" w:lineRule="auto"/>
        <w:jc w:val="left"/>
        <w:rPr>
          <w:rFonts w:ascii="宋体" w:hAnsi="宋体" w:eastAsia="宋体" w:cs="Times New Roman"/>
        </w:rPr>
      </w:pPr>
    </w:p>
    <w:p w14:paraId="4A19BBAC">
      <w:pPr>
        <w:snapToGrid w:val="0"/>
        <w:spacing w:line="360" w:lineRule="auto"/>
        <w:jc w:val="left"/>
        <w:rPr>
          <w:rFonts w:ascii="宋体" w:hAnsi="宋体" w:eastAsia="宋体" w:cs="Times New Roman"/>
        </w:rPr>
      </w:pPr>
    </w:p>
    <w:p w14:paraId="297386FE">
      <w:pPr>
        <w:autoSpaceDE w:val="0"/>
        <w:autoSpaceDN w:val="0"/>
        <w:spacing w:line="360" w:lineRule="auto"/>
        <w:ind w:firstLine="5250" w:firstLineChars="2500"/>
        <w:rPr>
          <w:rFonts w:ascii="宋体" w:hAnsi="宋体" w:eastAsia="宋体" w:cs="Times New Roman"/>
          <w:kern w:val="0"/>
        </w:rPr>
      </w:pPr>
      <w:r>
        <w:rPr>
          <w:rFonts w:hint="eastAsia" w:ascii="宋体" w:hAnsi="宋体" w:eastAsia="宋体" w:cs="宋体"/>
          <w:kern w:val="0"/>
        </w:rPr>
        <w:t>供应商名称（电子签章）：</w:t>
      </w:r>
    </w:p>
    <w:p w14:paraId="56EFD97C">
      <w:pPr>
        <w:autoSpaceDE w:val="0"/>
        <w:autoSpaceDN w:val="0"/>
        <w:spacing w:line="360" w:lineRule="auto"/>
        <w:ind w:firstLine="5355" w:firstLineChars="2550"/>
        <w:rPr>
          <w:rFonts w:ascii="宋体" w:hAnsi="宋体" w:eastAsia="宋体" w:cs="Times New Roman"/>
          <w:b/>
          <w:bCs/>
        </w:rPr>
      </w:pPr>
      <w:r>
        <w:rPr>
          <w:rFonts w:hint="eastAsia" w:ascii="宋体" w:hAnsi="宋体" w:eastAsia="宋体" w:cs="宋体"/>
          <w:kern w:val="0"/>
          <w:lang w:val="zh-CN"/>
        </w:rPr>
        <w:t>日期：</w:t>
      </w:r>
      <w:r>
        <w:rPr>
          <w:rFonts w:ascii="宋体" w:hAnsi="宋体" w:eastAsia="宋体" w:cs="宋体"/>
          <w:kern w:val="0"/>
          <w:lang w:val="zh-CN"/>
        </w:rPr>
        <w:t xml:space="preserve">  </w:t>
      </w:r>
      <w:r>
        <w:rPr>
          <w:rFonts w:hint="eastAsia" w:ascii="宋体" w:hAnsi="宋体" w:eastAsia="宋体" w:cs="宋体"/>
          <w:kern w:val="0"/>
          <w:lang w:val="zh-CN"/>
        </w:rPr>
        <w:t>年</w:t>
      </w:r>
      <w:r>
        <w:rPr>
          <w:rFonts w:ascii="宋体" w:hAnsi="宋体" w:eastAsia="宋体" w:cs="宋体"/>
          <w:kern w:val="0"/>
          <w:lang w:val="zh-CN"/>
        </w:rPr>
        <w:t xml:space="preserve">  </w:t>
      </w:r>
      <w:r>
        <w:rPr>
          <w:rFonts w:hint="eastAsia" w:ascii="宋体" w:hAnsi="宋体" w:eastAsia="宋体" w:cs="宋体"/>
          <w:kern w:val="0"/>
          <w:lang w:val="zh-CN"/>
        </w:rPr>
        <w:t>月</w:t>
      </w:r>
      <w:r>
        <w:rPr>
          <w:rFonts w:ascii="宋体" w:hAnsi="宋体" w:eastAsia="宋体" w:cs="宋体"/>
          <w:kern w:val="0"/>
          <w:lang w:val="zh-CN"/>
        </w:rPr>
        <w:t xml:space="preserve">   </w:t>
      </w:r>
      <w:r>
        <w:rPr>
          <w:rFonts w:hint="eastAsia" w:ascii="宋体" w:hAnsi="宋体" w:eastAsia="宋体" w:cs="宋体"/>
          <w:kern w:val="0"/>
          <w:lang w:val="zh-CN"/>
        </w:rPr>
        <w:t>日</w:t>
      </w:r>
    </w:p>
    <w:p w14:paraId="57250A38">
      <w:pPr>
        <w:snapToGrid w:val="0"/>
        <w:rPr>
          <w:rFonts w:ascii="宋体" w:hAnsi="宋体" w:eastAsia="宋体" w:cs="Times New Roman"/>
          <w:b/>
          <w:bCs/>
          <w:kern w:val="0"/>
          <w:sz w:val="30"/>
          <w:szCs w:val="30"/>
        </w:rPr>
      </w:pPr>
    </w:p>
    <w:p w14:paraId="50DF436A">
      <w:pPr>
        <w:snapToGrid w:val="0"/>
        <w:jc w:val="center"/>
        <w:rPr>
          <w:rFonts w:ascii="宋体" w:hAnsi="宋体" w:eastAsia="宋体" w:cs="Times New Roman"/>
          <w:b/>
          <w:bCs/>
          <w:kern w:val="0"/>
          <w:sz w:val="30"/>
          <w:szCs w:val="30"/>
        </w:rPr>
      </w:pPr>
      <w:r>
        <w:rPr>
          <w:rFonts w:ascii="宋体" w:hAnsi="宋体" w:eastAsia="宋体" w:cs="Times New Roman"/>
          <w:b/>
          <w:bCs/>
          <w:kern w:val="0"/>
          <w:sz w:val="30"/>
          <w:szCs w:val="30"/>
        </w:rPr>
        <w:br w:type="page"/>
      </w:r>
      <w:r>
        <w:rPr>
          <w:rFonts w:hint="eastAsia" w:ascii="宋体" w:hAnsi="宋体" w:eastAsia="宋体" w:cs="宋体"/>
          <w:b/>
          <w:bCs/>
          <w:kern w:val="0"/>
          <w:sz w:val="30"/>
          <w:szCs w:val="30"/>
        </w:rPr>
        <w:t>供应商直接管理关系信息表</w:t>
      </w:r>
    </w:p>
    <w:p w14:paraId="5453F95A">
      <w:pPr>
        <w:snapToGrid w:val="0"/>
        <w:spacing w:line="360" w:lineRule="auto"/>
        <w:jc w:val="center"/>
        <w:rPr>
          <w:rFonts w:ascii="宋体" w:hAnsi="宋体" w:eastAsia="宋体" w:cs="Times New Roman"/>
          <w:b/>
          <w:bCs/>
          <w:sz w:val="24"/>
          <w:szCs w:val="24"/>
        </w:rPr>
      </w:pPr>
    </w:p>
    <w:tbl>
      <w:tblPr>
        <w:tblStyle w:val="44"/>
        <w:tblW w:w="0" w:type="auto"/>
        <w:jc w:val="center"/>
        <w:tblLayout w:type="fixed"/>
        <w:tblCellMar>
          <w:top w:w="0" w:type="dxa"/>
          <w:left w:w="0" w:type="dxa"/>
          <w:bottom w:w="0" w:type="dxa"/>
          <w:right w:w="0" w:type="dxa"/>
        </w:tblCellMar>
      </w:tblPr>
      <w:tblGrid>
        <w:gridCol w:w="808"/>
        <w:gridCol w:w="3600"/>
        <w:gridCol w:w="3555"/>
        <w:gridCol w:w="1689"/>
      </w:tblGrid>
      <w:tr w14:paraId="1223B3F2">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01542C">
            <w:pPr>
              <w:widowControl/>
              <w:spacing w:line="360" w:lineRule="auto"/>
              <w:jc w:val="center"/>
              <w:rPr>
                <w:rFonts w:ascii="宋体" w:hAnsi="宋体" w:eastAsia="宋体" w:cs="Times New Roman"/>
                <w:b/>
                <w:bCs/>
                <w:kern w:val="0"/>
              </w:rPr>
            </w:pPr>
            <w:r>
              <w:rPr>
                <w:rFonts w:hint="eastAsia" w:ascii="宋体" w:hAnsi="宋体" w:eastAsia="宋体" w:cs="宋体"/>
                <w:b/>
                <w:bCs/>
                <w:kern w:val="0"/>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1BE425">
            <w:pPr>
              <w:widowControl/>
              <w:spacing w:line="360" w:lineRule="auto"/>
              <w:jc w:val="center"/>
              <w:rPr>
                <w:rFonts w:ascii="宋体" w:hAnsi="宋体" w:eastAsia="宋体" w:cs="Times New Roman"/>
                <w:b/>
                <w:bCs/>
                <w:kern w:val="0"/>
              </w:rPr>
            </w:pPr>
            <w:r>
              <w:rPr>
                <w:rFonts w:hint="eastAsia" w:ascii="宋体" w:hAnsi="宋体" w:eastAsia="宋体" w:cs="宋体"/>
                <w:b/>
                <w:bCs/>
                <w:kern w:val="0"/>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8BF37A">
            <w:pPr>
              <w:widowControl/>
              <w:spacing w:line="360" w:lineRule="auto"/>
              <w:jc w:val="center"/>
              <w:rPr>
                <w:rFonts w:ascii="宋体" w:hAnsi="宋体" w:eastAsia="宋体" w:cs="Times New Roman"/>
                <w:b/>
                <w:bCs/>
                <w:kern w:val="0"/>
              </w:rPr>
            </w:pPr>
            <w:r>
              <w:rPr>
                <w:rFonts w:hint="eastAsia" w:ascii="宋体" w:hAnsi="宋体" w:eastAsia="宋体" w:cs="宋体"/>
                <w:b/>
                <w:bCs/>
                <w:kern w:val="0"/>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113951">
            <w:pPr>
              <w:widowControl/>
              <w:spacing w:line="360" w:lineRule="auto"/>
              <w:jc w:val="center"/>
              <w:rPr>
                <w:rFonts w:ascii="宋体" w:hAnsi="宋体" w:eastAsia="宋体" w:cs="Times New Roman"/>
                <w:b/>
                <w:bCs/>
                <w:kern w:val="0"/>
              </w:rPr>
            </w:pPr>
            <w:r>
              <w:rPr>
                <w:rFonts w:hint="eastAsia" w:ascii="宋体" w:hAnsi="宋体" w:eastAsia="宋体" w:cs="宋体"/>
                <w:b/>
                <w:bCs/>
                <w:kern w:val="0"/>
              </w:rPr>
              <w:t>备注</w:t>
            </w:r>
          </w:p>
        </w:tc>
      </w:tr>
      <w:tr w14:paraId="65E9EE9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F63D05">
            <w:pPr>
              <w:widowControl/>
              <w:spacing w:line="360" w:lineRule="auto"/>
              <w:jc w:val="center"/>
              <w:rPr>
                <w:rFonts w:ascii="宋体" w:hAnsi="宋体" w:eastAsia="宋体" w:cs="宋体"/>
                <w:kern w:val="0"/>
              </w:rPr>
            </w:pPr>
            <w:r>
              <w:rPr>
                <w:rFonts w:ascii="宋体" w:hAnsi="宋体" w:eastAsia="宋体" w:cs="宋体"/>
                <w:kern w:val="0"/>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72C5EF">
            <w:pPr>
              <w:widowControl/>
              <w:spacing w:line="360" w:lineRule="auto"/>
              <w:jc w:val="center"/>
              <w:rPr>
                <w:rFonts w:ascii="宋体" w:hAnsi="宋体" w:eastAsia="宋体" w:cs="宋体"/>
                <w:kern w:val="0"/>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4BD87C">
            <w:pPr>
              <w:widowControl/>
              <w:spacing w:line="360" w:lineRule="auto"/>
              <w:jc w:val="center"/>
              <w:rPr>
                <w:rFonts w:ascii="宋体" w:hAnsi="宋体" w:eastAsia="宋体" w:cs="宋体"/>
                <w:kern w:val="0"/>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F5EE2D">
            <w:pPr>
              <w:widowControl/>
              <w:spacing w:line="360" w:lineRule="auto"/>
              <w:jc w:val="center"/>
              <w:rPr>
                <w:rFonts w:ascii="宋体" w:hAnsi="宋体" w:eastAsia="宋体" w:cs="宋体"/>
                <w:kern w:val="0"/>
              </w:rPr>
            </w:pPr>
          </w:p>
        </w:tc>
      </w:tr>
      <w:tr w14:paraId="78E7733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D7FF11">
            <w:pPr>
              <w:widowControl/>
              <w:spacing w:line="360" w:lineRule="auto"/>
              <w:jc w:val="center"/>
              <w:rPr>
                <w:rFonts w:ascii="宋体" w:hAnsi="宋体" w:eastAsia="宋体" w:cs="宋体"/>
                <w:kern w:val="0"/>
              </w:rPr>
            </w:pPr>
            <w:r>
              <w:rPr>
                <w:rFonts w:ascii="宋体" w:hAnsi="宋体" w:eastAsia="宋体" w:cs="宋体"/>
                <w:kern w:val="0"/>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8212B2">
            <w:pPr>
              <w:widowControl/>
              <w:spacing w:line="360" w:lineRule="auto"/>
              <w:jc w:val="center"/>
              <w:rPr>
                <w:rFonts w:ascii="宋体" w:hAnsi="宋体" w:eastAsia="宋体" w:cs="宋体"/>
                <w:kern w:val="0"/>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14B12D">
            <w:pPr>
              <w:widowControl/>
              <w:spacing w:line="360" w:lineRule="auto"/>
              <w:jc w:val="center"/>
              <w:rPr>
                <w:rFonts w:ascii="宋体" w:hAnsi="宋体" w:eastAsia="宋体" w:cs="宋体"/>
                <w:kern w:val="0"/>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9BBDE8">
            <w:pPr>
              <w:widowControl/>
              <w:spacing w:line="360" w:lineRule="auto"/>
              <w:jc w:val="center"/>
              <w:rPr>
                <w:rFonts w:ascii="宋体" w:hAnsi="宋体" w:eastAsia="宋体" w:cs="宋体"/>
                <w:kern w:val="0"/>
              </w:rPr>
            </w:pPr>
          </w:p>
        </w:tc>
      </w:tr>
      <w:tr w14:paraId="3BC49F8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5AC180">
            <w:pPr>
              <w:widowControl/>
              <w:spacing w:line="360" w:lineRule="auto"/>
              <w:jc w:val="center"/>
              <w:rPr>
                <w:rFonts w:ascii="宋体" w:hAnsi="宋体" w:eastAsia="宋体" w:cs="宋体"/>
                <w:kern w:val="0"/>
              </w:rPr>
            </w:pPr>
            <w:r>
              <w:rPr>
                <w:rFonts w:ascii="宋体" w:hAnsi="宋体" w:eastAsia="宋体" w:cs="宋体"/>
                <w:kern w:val="0"/>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5B1388">
            <w:pPr>
              <w:widowControl/>
              <w:spacing w:line="360" w:lineRule="auto"/>
              <w:jc w:val="center"/>
              <w:rPr>
                <w:rFonts w:ascii="宋体" w:hAnsi="宋体" w:eastAsia="宋体" w:cs="宋体"/>
                <w:kern w:val="0"/>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962318">
            <w:pPr>
              <w:widowControl/>
              <w:spacing w:line="360" w:lineRule="auto"/>
              <w:jc w:val="center"/>
              <w:rPr>
                <w:rFonts w:ascii="宋体" w:hAnsi="宋体" w:eastAsia="宋体" w:cs="宋体"/>
                <w:kern w:val="0"/>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AC8EBD">
            <w:pPr>
              <w:widowControl/>
              <w:spacing w:line="360" w:lineRule="auto"/>
              <w:jc w:val="center"/>
              <w:rPr>
                <w:rFonts w:ascii="宋体" w:hAnsi="宋体" w:eastAsia="宋体" w:cs="宋体"/>
                <w:kern w:val="0"/>
              </w:rPr>
            </w:pPr>
          </w:p>
        </w:tc>
      </w:tr>
      <w:tr w14:paraId="6BF04AF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928E15">
            <w:pPr>
              <w:widowControl/>
              <w:spacing w:line="360" w:lineRule="auto"/>
              <w:jc w:val="center"/>
              <w:rPr>
                <w:rFonts w:ascii="宋体" w:hAnsi="宋体" w:eastAsia="宋体" w:cs="Times New Roman"/>
                <w:kern w:val="0"/>
              </w:rPr>
            </w:pPr>
            <w:r>
              <w:rPr>
                <w:rFonts w:hint="eastAsia" w:ascii="宋体" w:hAnsi="宋体" w:eastAsia="宋体" w:cs="宋体"/>
                <w:kern w:val="0"/>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AA8C01">
            <w:pPr>
              <w:widowControl/>
              <w:spacing w:line="360" w:lineRule="auto"/>
              <w:jc w:val="center"/>
              <w:rPr>
                <w:rFonts w:ascii="宋体" w:hAnsi="宋体" w:eastAsia="宋体" w:cs="Times New Roman"/>
                <w:kern w:val="0"/>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AA5C00">
            <w:pPr>
              <w:widowControl/>
              <w:spacing w:line="360" w:lineRule="auto"/>
              <w:jc w:val="center"/>
              <w:rPr>
                <w:rFonts w:ascii="宋体" w:hAnsi="宋体" w:eastAsia="宋体" w:cs="Times New Roman"/>
                <w:kern w:val="0"/>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8855AF">
            <w:pPr>
              <w:widowControl/>
              <w:spacing w:line="360" w:lineRule="auto"/>
              <w:jc w:val="center"/>
              <w:rPr>
                <w:rFonts w:ascii="宋体" w:hAnsi="宋体" w:eastAsia="宋体" w:cs="Times New Roman"/>
                <w:kern w:val="0"/>
              </w:rPr>
            </w:pPr>
          </w:p>
        </w:tc>
      </w:tr>
    </w:tbl>
    <w:p w14:paraId="07AB5B23">
      <w:pPr>
        <w:spacing w:line="360" w:lineRule="auto"/>
        <w:jc w:val="left"/>
        <w:rPr>
          <w:rFonts w:ascii="宋体" w:hAnsi="宋体" w:eastAsia="宋体" w:cs="Times New Roman"/>
          <w:kern w:val="0"/>
        </w:rPr>
      </w:pPr>
      <w:r>
        <w:rPr>
          <w:rFonts w:hint="eastAsia" w:ascii="宋体" w:hAnsi="宋体" w:eastAsia="宋体" w:cs="宋体"/>
          <w:kern w:val="0"/>
        </w:rPr>
        <w:t>注：</w:t>
      </w:r>
    </w:p>
    <w:p w14:paraId="1B702C10">
      <w:pPr>
        <w:spacing w:line="360" w:lineRule="auto"/>
        <w:jc w:val="left"/>
        <w:rPr>
          <w:rFonts w:ascii="宋体" w:hAnsi="宋体" w:eastAsia="宋体" w:cs="Times New Roman"/>
          <w:kern w:val="0"/>
        </w:rPr>
      </w:pPr>
      <w:r>
        <w:rPr>
          <w:rFonts w:ascii="宋体" w:hAnsi="宋体" w:eastAsia="宋体" w:cs="宋体"/>
          <w:kern w:val="0"/>
        </w:rPr>
        <w:t>1.</w:t>
      </w:r>
      <w:r>
        <w:rPr>
          <w:rFonts w:hint="eastAsia" w:ascii="宋体" w:hAnsi="宋体" w:eastAsia="宋体" w:cs="宋体"/>
          <w:kern w:val="0"/>
        </w:rPr>
        <w:t>管理关系：是指不具有出资持股关系的其他单位之间存在的管理与被管理关系，如一些上下级关系的事业单位和团体组织。</w:t>
      </w:r>
    </w:p>
    <w:p w14:paraId="0F328013">
      <w:pPr>
        <w:spacing w:line="360" w:lineRule="auto"/>
        <w:jc w:val="left"/>
        <w:rPr>
          <w:rFonts w:ascii="宋体" w:hAnsi="宋体" w:eastAsia="宋体" w:cs="Times New Roman"/>
          <w:kern w:val="0"/>
        </w:rPr>
      </w:pPr>
      <w:r>
        <w:rPr>
          <w:rFonts w:ascii="宋体" w:hAnsi="宋体" w:eastAsia="宋体" w:cs="宋体"/>
          <w:kern w:val="0"/>
        </w:rPr>
        <w:t>2.</w:t>
      </w:r>
      <w:r>
        <w:rPr>
          <w:rFonts w:hint="eastAsia" w:ascii="宋体" w:hAnsi="宋体" w:eastAsia="宋体" w:cs="宋体"/>
          <w:kern w:val="0"/>
        </w:rPr>
        <w:t>本表所指的管理关系仅限于直接管理关系，不包括间接的管理关系。</w:t>
      </w:r>
    </w:p>
    <w:p w14:paraId="7B9DD9E8">
      <w:pPr>
        <w:spacing w:line="360" w:lineRule="auto"/>
        <w:jc w:val="left"/>
        <w:rPr>
          <w:rFonts w:ascii="宋体" w:hAnsi="宋体" w:eastAsia="宋体" w:cs="Times New Roman"/>
          <w:kern w:val="0"/>
        </w:rPr>
      </w:pPr>
      <w:r>
        <w:rPr>
          <w:rFonts w:ascii="宋体" w:hAnsi="宋体" w:eastAsia="宋体" w:cs="宋体"/>
          <w:kern w:val="0"/>
        </w:rPr>
        <w:t>3.</w:t>
      </w:r>
      <w:r>
        <w:rPr>
          <w:rFonts w:hint="eastAsia" w:ascii="宋体" w:hAnsi="宋体" w:eastAsia="宋体" w:cs="宋体"/>
          <w:kern w:val="0"/>
        </w:rPr>
        <w:t>供应商不存在直接管理关系的，则填“无”。</w:t>
      </w:r>
    </w:p>
    <w:p w14:paraId="6D09B635">
      <w:pPr>
        <w:spacing w:line="360" w:lineRule="auto"/>
        <w:jc w:val="left"/>
        <w:rPr>
          <w:rFonts w:ascii="宋体" w:hAnsi="宋体" w:eastAsia="宋体" w:cs="Times New Roman"/>
        </w:rPr>
      </w:pPr>
    </w:p>
    <w:p w14:paraId="43EFEFC1">
      <w:pPr>
        <w:autoSpaceDE w:val="0"/>
        <w:autoSpaceDN w:val="0"/>
        <w:spacing w:line="360" w:lineRule="auto"/>
        <w:ind w:right="420" w:firstLine="105" w:firstLineChars="50"/>
        <w:jc w:val="center"/>
        <w:rPr>
          <w:rFonts w:ascii="宋体" w:hAnsi="宋体" w:eastAsia="宋体" w:cs="Times New Roman"/>
          <w:kern w:val="0"/>
        </w:rPr>
      </w:pPr>
      <w:r>
        <w:rPr>
          <w:rFonts w:ascii="宋体" w:hAnsi="宋体" w:eastAsia="宋体" w:cs="宋体"/>
          <w:kern w:val="0"/>
        </w:rPr>
        <w:t xml:space="preserve">                                         </w:t>
      </w:r>
      <w:r>
        <w:rPr>
          <w:rFonts w:hint="eastAsia" w:ascii="宋体" w:hAnsi="宋体" w:eastAsia="宋体" w:cs="宋体"/>
          <w:kern w:val="0"/>
        </w:rPr>
        <w:t>供应商名称（电子签章）：</w:t>
      </w:r>
    </w:p>
    <w:p w14:paraId="3C8E262F">
      <w:pPr>
        <w:autoSpaceDE w:val="0"/>
        <w:autoSpaceDN w:val="0"/>
        <w:spacing w:line="360" w:lineRule="auto"/>
        <w:ind w:right="420" w:firstLine="5460" w:firstLineChars="2600"/>
        <w:rPr>
          <w:rFonts w:ascii="宋体" w:hAnsi="宋体" w:eastAsia="宋体" w:cs="Times New Roman"/>
          <w:b/>
          <w:bCs/>
        </w:rPr>
      </w:pPr>
      <w:r>
        <w:rPr>
          <w:rFonts w:hint="eastAsia" w:ascii="宋体" w:hAnsi="宋体" w:eastAsia="宋体" w:cs="宋体"/>
          <w:kern w:val="0"/>
          <w:lang w:val="zh-CN"/>
        </w:rPr>
        <w:t>日期：</w:t>
      </w:r>
      <w:r>
        <w:rPr>
          <w:rFonts w:ascii="宋体" w:hAnsi="宋体" w:eastAsia="宋体" w:cs="宋体"/>
          <w:kern w:val="0"/>
          <w:lang w:val="zh-CN"/>
        </w:rPr>
        <w:t xml:space="preserve">  </w:t>
      </w:r>
      <w:r>
        <w:rPr>
          <w:rFonts w:hint="eastAsia" w:ascii="宋体" w:hAnsi="宋体" w:eastAsia="宋体" w:cs="宋体"/>
          <w:kern w:val="0"/>
          <w:lang w:val="zh-CN"/>
        </w:rPr>
        <w:t>年</w:t>
      </w:r>
      <w:r>
        <w:rPr>
          <w:rFonts w:ascii="宋体" w:hAnsi="宋体" w:eastAsia="宋体" w:cs="宋体"/>
          <w:kern w:val="0"/>
          <w:lang w:val="zh-CN"/>
        </w:rPr>
        <w:t xml:space="preserve">  </w:t>
      </w:r>
      <w:r>
        <w:rPr>
          <w:rFonts w:hint="eastAsia" w:ascii="宋体" w:hAnsi="宋体" w:eastAsia="宋体" w:cs="宋体"/>
          <w:kern w:val="0"/>
          <w:lang w:val="zh-CN"/>
        </w:rPr>
        <w:t>月</w:t>
      </w:r>
      <w:r>
        <w:rPr>
          <w:rFonts w:ascii="宋体" w:hAnsi="宋体" w:eastAsia="宋体" w:cs="宋体"/>
          <w:kern w:val="0"/>
          <w:lang w:val="zh-CN"/>
        </w:rPr>
        <w:t xml:space="preserve">   </w:t>
      </w:r>
      <w:r>
        <w:rPr>
          <w:rFonts w:hint="eastAsia" w:ascii="宋体" w:hAnsi="宋体" w:eastAsia="宋体" w:cs="宋体"/>
          <w:kern w:val="0"/>
          <w:lang w:val="zh-CN"/>
        </w:rPr>
        <w:t>日</w:t>
      </w:r>
    </w:p>
    <w:p w14:paraId="7291E614">
      <w:pPr>
        <w:spacing w:line="360" w:lineRule="auto"/>
        <w:ind w:right="480"/>
        <w:jc w:val="center"/>
        <w:rPr>
          <w:rFonts w:ascii="宋体" w:hAnsi="宋体" w:eastAsia="宋体" w:cs="Times New Roman"/>
          <w:sz w:val="28"/>
          <w:szCs w:val="28"/>
        </w:rPr>
      </w:pPr>
    </w:p>
    <w:p w14:paraId="218B3D1C">
      <w:pPr>
        <w:snapToGrid w:val="0"/>
        <w:spacing w:line="500" w:lineRule="exact"/>
        <w:jc w:val="left"/>
        <w:rPr>
          <w:rFonts w:ascii="宋体" w:hAnsi="宋体" w:eastAsia="宋体" w:cs="Times New Roman"/>
          <w:kern w:val="0"/>
        </w:rPr>
      </w:pPr>
    </w:p>
    <w:p w14:paraId="0FF49F00">
      <w:pPr>
        <w:widowControl/>
        <w:jc w:val="left"/>
        <w:rPr>
          <w:rFonts w:ascii="宋体" w:hAnsi="宋体" w:eastAsia="宋体" w:cs="Times New Roman"/>
        </w:rPr>
      </w:pPr>
      <w:r>
        <w:rPr>
          <w:rFonts w:ascii="宋体" w:hAnsi="宋体" w:eastAsia="宋体" w:cs="Times New Roman"/>
        </w:rPr>
        <w:br w:type="page"/>
      </w:r>
    </w:p>
    <w:p w14:paraId="5E0FCB70">
      <w:pPr>
        <w:snapToGrid w:val="0"/>
        <w:spacing w:line="500" w:lineRule="exact"/>
        <w:rPr>
          <w:rFonts w:ascii="宋体" w:hAnsi="宋体" w:eastAsia="宋体" w:cs="Times New Roman"/>
          <w:b/>
          <w:bCs/>
          <w:kern w:val="0"/>
          <w:sz w:val="28"/>
          <w:szCs w:val="28"/>
        </w:rPr>
      </w:pPr>
      <w:r>
        <w:rPr>
          <w:rFonts w:hint="eastAsia" w:ascii="宋体" w:hAnsi="宋体" w:eastAsia="宋体" w:cs="宋体"/>
          <w:b/>
          <w:bCs/>
          <w:sz w:val="28"/>
          <w:szCs w:val="28"/>
        </w:rPr>
        <w:t>六、</w:t>
      </w:r>
      <w:r>
        <w:rPr>
          <w:rFonts w:hint="eastAsia" w:ascii="宋体" w:hAnsi="宋体" w:eastAsia="宋体" w:cs="宋体"/>
          <w:b/>
          <w:bCs/>
          <w:kern w:val="0"/>
          <w:sz w:val="28"/>
          <w:szCs w:val="28"/>
        </w:rPr>
        <w:t>资格声明函</w:t>
      </w:r>
    </w:p>
    <w:p w14:paraId="18ECBBEA">
      <w:pPr>
        <w:spacing w:line="320" w:lineRule="exact"/>
        <w:jc w:val="center"/>
        <w:rPr>
          <w:rFonts w:ascii="宋体" w:hAnsi="宋体" w:eastAsia="宋体" w:cs="Times New Roman"/>
          <w:b/>
          <w:bCs/>
          <w:sz w:val="32"/>
          <w:szCs w:val="32"/>
        </w:rPr>
      </w:pPr>
      <w:r>
        <w:rPr>
          <w:rFonts w:hint="eastAsia" w:ascii="宋体" w:hAnsi="宋体" w:eastAsia="宋体" w:cs="宋体"/>
          <w:b/>
          <w:bCs/>
          <w:sz w:val="32"/>
          <w:szCs w:val="32"/>
        </w:rPr>
        <w:t>资格声明函</w:t>
      </w:r>
    </w:p>
    <w:p w14:paraId="5940EF3B">
      <w:pPr>
        <w:spacing w:line="320" w:lineRule="exact"/>
        <w:jc w:val="center"/>
        <w:rPr>
          <w:rFonts w:ascii="宋体" w:hAnsi="宋体" w:eastAsia="宋体" w:cs="Times New Roman"/>
          <w:sz w:val="24"/>
          <w:szCs w:val="24"/>
        </w:rPr>
      </w:pPr>
    </w:p>
    <w:p w14:paraId="10F4DEA7">
      <w:pPr>
        <w:spacing w:line="500" w:lineRule="exact"/>
        <w:rPr>
          <w:rFonts w:ascii="宋体" w:hAnsi="宋体" w:eastAsia="宋体" w:cs="Times New Roman"/>
        </w:rPr>
      </w:pPr>
      <w:r>
        <w:rPr>
          <w:rFonts w:hint="eastAsia" w:ascii="宋体" w:hAnsi="宋体" w:eastAsia="宋体" w:cs="宋体"/>
        </w:rPr>
        <w:t>致：</w:t>
      </w:r>
      <w:r>
        <w:rPr>
          <w:rFonts w:hint="eastAsia" w:ascii="宋体" w:hAnsi="宋体" w:eastAsia="宋体" w:cs="宋体"/>
          <w:u w:val="single"/>
        </w:rPr>
        <w:t>（采购代理机构）</w:t>
      </w:r>
      <w:r>
        <w:rPr>
          <w:rFonts w:hint="eastAsia" w:ascii="宋体" w:hAnsi="宋体" w:eastAsia="宋体" w:cs="宋体"/>
        </w:rPr>
        <w:t>：</w:t>
      </w:r>
    </w:p>
    <w:p w14:paraId="2B1E2F4A">
      <w:pPr>
        <w:spacing w:line="500" w:lineRule="exact"/>
        <w:ind w:firstLine="420" w:firstLineChars="200"/>
        <w:rPr>
          <w:rFonts w:ascii="宋体" w:hAnsi="宋体" w:eastAsia="宋体" w:cs="Times New Roman"/>
        </w:rPr>
      </w:pPr>
      <w:r>
        <w:rPr>
          <w:rFonts w:hint="eastAsia" w:ascii="宋体" w:hAnsi="宋体" w:eastAsia="宋体" w:cs="宋体"/>
          <w:u w:val="single"/>
        </w:rPr>
        <w:t>（供应商名称）</w:t>
      </w:r>
      <w:r>
        <w:rPr>
          <w:rFonts w:hint="eastAsia" w:ascii="宋体" w:hAnsi="宋体" w:eastAsia="宋体" w:cs="宋体"/>
        </w:rPr>
        <w:t>系中华人民共和国合法供应商，经营地址：</w:t>
      </w:r>
      <w:r>
        <w:rPr>
          <w:rFonts w:ascii="宋体" w:hAnsi="宋体" w:eastAsia="宋体" w:cs="宋体"/>
          <w:u w:val="single"/>
        </w:rPr>
        <w:t xml:space="preserve">          </w:t>
      </w:r>
      <w:r>
        <w:rPr>
          <w:rFonts w:hint="eastAsia" w:ascii="宋体" w:hAnsi="宋体" w:eastAsia="宋体" w:cs="宋体"/>
        </w:rPr>
        <w:t>。</w:t>
      </w:r>
    </w:p>
    <w:p w14:paraId="2CC1205F">
      <w:pPr>
        <w:spacing w:line="500" w:lineRule="exact"/>
        <w:ind w:firstLine="420" w:firstLineChars="200"/>
        <w:rPr>
          <w:rFonts w:ascii="宋体" w:hAnsi="宋体" w:eastAsia="宋体" w:cs="Times New Roman"/>
        </w:rPr>
      </w:pPr>
      <w:r>
        <w:rPr>
          <w:rFonts w:hint="eastAsia" w:ascii="宋体" w:hAnsi="宋体" w:eastAsia="宋体" w:cs="宋体"/>
        </w:rPr>
        <w:t>我方愿意参加贵方组织的</w:t>
      </w:r>
      <w:r>
        <w:rPr>
          <w:rFonts w:hint="eastAsia" w:ascii="宋体" w:hAnsi="宋体" w:eastAsia="宋体" w:cs="宋体"/>
          <w:u w:val="single"/>
        </w:rPr>
        <w:t>（项目名称）</w:t>
      </w:r>
      <w:r>
        <w:rPr>
          <w:rFonts w:ascii="宋体" w:hAnsi="宋体" w:eastAsia="宋体" w:cs="宋体"/>
          <w:u w:val="single"/>
        </w:rPr>
        <w:t xml:space="preserve"> </w:t>
      </w:r>
      <w:r>
        <w:rPr>
          <w:rFonts w:hint="eastAsia" w:ascii="宋体" w:hAnsi="宋体" w:eastAsia="宋体" w:cs="宋体"/>
        </w:rPr>
        <w:t>项目的竞标，为便于贵方公正、择优地确定成交供应商及其竞标产品和服务，我方就本次竞标有关事项郑重声明如下：</w:t>
      </w:r>
    </w:p>
    <w:p w14:paraId="1588C383">
      <w:pPr>
        <w:spacing w:line="500" w:lineRule="exact"/>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我方向贵方提交的所有响应文件、资料都是准确的和真实的。</w:t>
      </w:r>
    </w:p>
    <w:p w14:paraId="6DC9F881">
      <w:pPr>
        <w:spacing w:line="500" w:lineRule="exact"/>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17526A4">
      <w:pPr>
        <w:spacing w:line="500" w:lineRule="exact"/>
        <w:ind w:firstLine="420" w:firstLineChars="200"/>
        <w:rPr>
          <w:rFonts w:ascii="宋体" w:hAnsi="宋体" w:eastAsia="宋体" w:cs="Times New Roman"/>
        </w:rPr>
      </w:pPr>
      <w:r>
        <w:rPr>
          <w:rFonts w:ascii="宋体" w:hAnsi="宋体" w:eastAsia="宋体" w:cs="宋体"/>
        </w:rPr>
        <w:t>3.</w:t>
      </w:r>
      <w:r>
        <w:rPr>
          <w:rFonts w:hint="eastAsia" w:ascii="宋体" w:hAnsi="宋体" w:eastAsia="宋体" w:cs="宋体"/>
        </w:rPr>
        <w:t>在此，我方宣布同意如下：</w:t>
      </w:r>
    </w:p>
    <w:p w14:paraId="2E300690">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）将按磋商文件的约定履行合同责任和义务；</w:t>
      </w:r>
    </w:p>
    <w:p w14:paraId="7D1A2E05">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）已详细审查全部磋商文件，包括澄清或者更正公告（如有）；</w:t>
      </w:r>
    </w:p>
    <w:p w14:paraId="2F4D19FA">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）同意提供按照贵方可能要求的与谈判有关的一切数据或者资料；</w:t>
      </w:r>
    </w:p>
    <w:p w14:paraId="2D273F0D">
      <w:pPr>
        <w:spacing w:line="500" w:lineRule="exact"/>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4</w:t>
      </w:r>
      <w:r>
        <w:rPr>
          <w:rFonts w:hint="eastAsia" w:ascii="宋体" w:hAnsi="宋体" w:eastAsia="宋体" w:cs="宋体"/>
        </w:rPr>
        <w:t>）响应磋商文件规定的竞标有效期。</w:t>
      </w:r>
    </w:p>
    <w:p w14:paraId="72551AFF">
      <w:pPr>
        <w:spacing w:line="500" w:lineRule="exact"/>
        <w:ind w:firstLine="420" w:firstLineChars="200"/>
        <w:rPr>
          <w:rFonts w:ascii="宋体" w:hAnsi="宋体" w:eastAsia="宋体" w:cs="Times New Roman"/>
        </w:rPr>
      </w:pPr>
      <w:r>
        <w:rPr>
          <w:rFonts w:ascii="宋体" w:hAnsi="宋体" w:eastAsia="宋体" w:cs="宋体"/>
        </w:rPr>
        <w:t>4.</w:t>
      </w:r>
      <w:r>
        <w:rPr>
          <w:rFonts w:hint="eastAsia" w:ascii="宋体" w:hAnsi="宋体" w:eastAsia="宋体" w:cs="宋体"/>
        </w:rPr>
        <w:t>我方承诺已经具备《中华人民共和国政府采购法》第二十二条中规定的参加政府采购活动的供应商应当具备的条件并按本项目响应文件“第三章”“第一节供应商须知前附表”中“资格证明文件组成”完整提供证明材料。</w:t>
      </w:r>
    </w:p>
    <w:p w14:paraId="5BD95EE1">
      <w:pPr>
        <w:spacing w:line="500" w:lineRule="exact"/>
        <w:ind w:firstLine="420" w:firstLineChars="200"/>
        <w:rPr>
          <w:rFonts w:ascii="宋体" w:hAnsi="宋体" w:eastAsia="宋体" w:cs="Times New Roman"/>
        </w:rPr>
      </w:pPr>
      <w:r>
        <w:rPr>
          <w:rFonts w:ascii="宋体" w:hAnsi="宋体" w:eastAsia="宋体" w:cs="宋体"/>
        </w:rPr>
        <w:t>5.</w:t>
      </w:r>
      <w:r>
        <w:rPr>
          <w:rFonts w:hint="eastAsia" w:ascii="宋体" w:hAnsi="宋体" w:eastAsia="宋体" w:cs="宋体"/>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379887F">
      <w:pPr>
        <w:spacing w:line="500" w:lineRule="exact"/>
        <w:ind w:firstLine="420" w:firstLineChars="200"/>
        <w:rPr>
          <w:rFonts w:ascii="宋体" w:hAnsi="宋体" w:eastAsia="宋体" w:cs="Times New Roman"/>
        </w:rPr>
      </w:pPr>
      <w:r>
        <w:rPr>
          <w:rFonts w:ascii="宋体" w:hAnsi="宋体" w:eastAsia="宋体" w:cs="宋体"/>
        </w:rPr>
        <w:t>6.</w:t>
      </w:r>
      <w:r>
        <w:rPr>
          <w:rFonts w:hint="eastAsia" w:ascii="宋体" w:hAnsi="宋体" w:eastAsia="宋体" w:cs="宋体"/>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50701CC2">
      <w:pPr>
        <w:spacing w:line="500" w:lineRule="exact"/>
        <w:ind w:firstLine="420" w:firstLineChars="200"/>
        <w:rPr>
          <w:rFonts w:ascii="宋体" w:hAnsi="宋体" w:eastAsia="宋体" w:cs="Times New Roman"/>
        </w:rPr>
      </w:pPr>
      <w:r>
        <w:rPr>
          <w:rFonts w:hint="eastAsia" w:ascii="宋体" w:hAnsi="宋体" w:eastAsia="宋体" w:cs="宋体"/>
        </w:rPr>
        <w:t>□我方本次响应文件</w:t>
      </w:r>
      <w:r>
        <w:rPr>
          <w:rFonts w:hint="eastAsia" w:ascii="宋体" w:hAnsi="宋体" w:eastAsia="宋体" w:cs="宋体"/>
          <w:kern w:val="0"/>
        </w:rPr>
        <w:t>内容中</w:t>
      </w:r>
      <w:r>
        <w:rPr>
          <w:rFonts w:hint="eastAsia" w:ascii="宋体" w:hAnsi="宋体" w:eastAsia="宋体" w:cs="宋体"/>
        </w:rPr>
        <w:t>未</w:t>
      </w:r>
      <w:r>
        <w:rPr>
          <w:rFonts w:hint="eastAsia" w:ascii="宋体" w:hAnsi="宋体" w:eastAsia="宋体" w:cs="宋体"/>
          <w:kern w:val="0"/>
        </w:rPr>
        <w:t>涉及商业秘密；</w:t>
      </w:r>
    </w:p>
    <w:p w14:paraId="18F44DDF">
      <w:pPr>
        <w:spacing w:line="500" w:lineRule="exact"/>
        <w:ind w:firstLine="420" w:firstLineChars="200"/>
        <w:rPr>
          <w:rFonts w:ascii="宋体" w:hAnsi="宋体" w:eastAsia="宋体" w:cs="Times New Roman"/>
        </w:rPr>
      </w:pPr>
      <w:r>
        <w:rPr>
          <w:rFonts w:hint="eastAsia" w:ascii="宋体" w:hAnsi="宋体" w:eastAsia="宋体" w:cs="宋体"/>
        </w:rPr>
        <w:t>□我方本次响应文件</w:t>
      </w:r>
      <w:r>
        <w:rPr>
          <w:rFonts w:hint="eastAsia" w:ascii="宋体" w:hAnsi="宋体" w:eastAsia="宋体" w:cs="宋体"/>
          <w:kern w:val="0"/>
        </w:rPr>
        <w:t>涉及商业秘密的内容有：；</w:t>
      </w:r>
    </w:p>
    <w:p w14:paraId="0568CF1E">
      <w:pPr>
        <w:pStyle w:val="23"/>
        <w:spacing w:line="500" w:lineRule="exact"/>
        <w:ind w:firstLine="420" w:firstLineChars="200"/>
        <w:rPr>
          <w:rFonts w:hAnsi="宋体" w:cs="Times New Roman"/>
          <w:sz w:val="21"/>
          <w:szCs w:val="21"/>
        </w:rPr>
      </w:pPr>
      <w:r>
        <w:rPr>
          <w:rFonts w:hAnsi="宋体"/>
          <w:sz w:val="21"/>
          <w:szCs w:val="21"/>
        </w:rPr>
        <w:t>7.</w:t>
      </w:r>
      <w:r>
        <w:rPr>
          <w:rFonts w:hint="eastAsia" w:hAnsi="宋体"/>
          <w:sz w:val="21"/>
          <w:szCs w:val="21"/>
        </w:rPr>
        <w:t>与本磋商有关的一切正式往来信函请寄：</w:t>
      </w:r>
    </w:p>
    <w:p w14:paraId="44D0CB51">
      <w:pPr>
        <w:pStyle w:val="23"/>
        <w:spacing w:line="500" w:lineRule="exact"/>
        <w:ind w:firstLine="420" w:firstLineChars="200"/>
        <w:rPr>
          <w:rFonts w:hAnsi="宋体" w:cs="Times New Roman"/>
          <w:sz w:val="21"/>
          <w:szCs w:val="21"/>
          <w:u w:val="single"/>
        </w:rPr>
      </w:pPr>
      <w:r>
        <w:rPr>
          <w:rFonts w:hint="eastAsia" w:hAnsi="宋体"/>
          <w:sz w:val="21"/>
          <w:szCs w:val="21"/>
        </w:rPr>
        <w:t>邮政编号：</w:t>
      </w:r>
    </w:p>
    <w:p w14:paraId="4A6F79E5">
      <w:pPr>
        <w:pStyle w:val="23"/>
        <w:spacing w:line="500" w:lineRule="exact"/>
        <w:ind w:firstLine="420" w:firstLineChars="200"/>
        <w:rPr>
          <w:rFonts w:hAnsi="宋体"/>
          <w:sz w:val="21"/>
          <w:szCs w:val="21"/>
        </w:rPr>
      </w:pPr>
      <w:r>
        <w:rPr>
          <w:rFonts w:hint="eastAsia" w:hAnsi="宋体"/>
          <w:sz w:val="21"/>
          <w:szCs w:val="21"/>
        </w:rPr>
        <w:t>电话</w:t>
      </w:r>
      <w:r>
        <w:rPr>
          <w:rFonts w:hAnsi="宋体"/>
          <w:sz w:val="21"/>
          <w:szCs w:val="21"/>
        </w:rPr>
        <w:t>/</w:t>
      </w:r>
      <w:r>
        <w:rPr>
          <w:rFonts w:hint="eastAsia" w:hAnsi="宋体"/>
          <w:sz w:val="21"/>
          <w:szCs w:val="21"/>
        </w:rPr>
        <w:t>传真：</w:t>
      </w:r>
      <w:r>
        <w:rPr>
          <w:rFonts w:hAnsi="宋体"/>
          <w:sz w:val="21"/>
          <w:szCs w:val="21"/>
        </w:rPr>
        <w:t xml:space="preserve"> </w:t>
      </w:r>
    </w:p>
    <w:p w14:paraId="2BCD9367">
      <w:pPr>
        <w:pStyle w:val="23"/>
        <w:spacing w:line="500" w:lineRule="exact"/>
        <w:ind w:firstLine="420" w:firstLineChars="200"/>
        <w:rPr>
          <w:rFonts w:hAnsi="宋体" w:cs="Times New Roman"/>
          <w:sz w:val="21"/>
          <w:szCs w:val="21"/>
        </w:rPr>
      </w:pPr>
      <w:r>
        <w:rPr>
          <w:rFonts w:hint="eastAsia" w:hAnsi="宋体"/>
          <w:sz w:val="21"/>
          <w:szCs w:val="21"/>
        </w:rPr>
        <w:t>电子函件：</w:t>
      </w:r>
    </w:p>
    <w:p w14:paraId="16B7CA81">
      <w:pPr>
        <w:pStyle w:val="19"/>
        <w:tabs>
          <w:tab w:val="left" w:pos="939"/>
        </w:tabs>
        <w:spacing w:line="500" w:lineRule="exact"/>
        <w:ind w:left="0" w:leftChars="0" w:firstLine="420" w:firstLineChars="200"/>
        <w:rPr>
          <w:rFonts w:ascii="宋体"/>
        </w:rPr>
      </w:pPr>
      <w:r>
        <w:rPr>
          <w:rFonts w:hint="eastAsia" w:ascii="宋体" w:hAnsi="宋体" w:cs="宋体"/>
        </w:rPr>
        <w:t>开户银行：</w:t>
      </w:r>
    </w:p>
    <w:p w14:paraId="5FE5CAB7">
      <w:pPr>
        <w:pStyle w:val="19"/>
        <w:tabs>
          <w:tab w:val="left" w:pos="939"/>
        </w:tabs>
        <w:spacing w:line="500" w:lineRule="exact"/>
        <w:ind w:left="0" w:leftChars="0" w:firstLine="420" w:firstLineChars="200"/>
        <w:rPr>
          <w:rFonts w:ascii="宋体"/>
        </w:rPr>
      </w:pPr>
      <w:r>
        <w:rPr>
          <w:rFonts w:hint="eastAsia" w:ascii="宋体" w:hAnsi="宋体" w:cs="宋体"/>
        </w:rPr>
        <w:t>账号：</w:t>
      </w:r>
    </w:p>
    <w:p w14:paraId="27384A7A">
      <w:pPr>
        <w:pStyle w:val="19"/>
        <w:tabs>
          <w:tab w:val="left" w:pos="939"/>
        </w:tabs>
        <w:spacing w:line="500" w:lineRule="exact"/>
        <w:ind w:left="0" w:leftChars="0" w:firstLine="420" w:firstLineChars="200"/>
        <w:rPr>
          <w:rFonts w:ascii="宋体"/>
        </w:rPr>
      </w:pPr>
      <w:r>
        <w:rPr>
          <w:rFonts w:ascii="宋体" w:hAnsi="宋体" w:cs="宋体"/>
        </w:rPr>
        <w:t>8.</w:t>
      </w:r>
      <w:r>
        <w:rPr>
          <w:rFonts w:hint="eastAsia" w:ascii="宋体" w:hAnsi="宋体" w:cs="宋体"/>
        </w:rPr>
        <w:t>以上事项如有虚假或者隐瞒，我方愿意承担一切后果，并不再寻求任何旨在减轻或者免除法律责任的辩解。</w:t>
      </w:r>
    </w:p>
    <w:p w14:paraId="35E872C9">
      <w:pPr>
        <w:pStyle w:val="19"/>
        <w:tabs>
          <w:tab w:val="left" w:pos="939"/>
        </w:tabs>
        <w:spacing w:line="500" w:lineRule="exact"/>
        <w:ind w:left="0" w:leftChars="0" w:firstLine="420" w:firstLineChars="200"/>
        <w:rPr>
          <w:rFonts w:ascii="宋体"/>
        </w:rPr>
      </w:pPr>
      <w:r>
        <w:rPr>
          <w:rFonts w:hint="eastAsia" w:ascii="宋体" w:hAnsi="宋体" w:cs="宋体"/>
        </w:rPr>
        <w:t>特此承诺。</w:t>
      </w:r>
    </w:p>
    <w:p w14:paraId="04AFF9DA">
      <w:pPr>
        <w:pStyle w:val="19"/>
        <w:tabs>
          <w:tab w:val="left" w:pos="939"/>
        </w:tabs>
        <w:spacing w:line="500" w:lineRule="exact"/>
        <w:ind w:left="0" w:leftChars="0" w:firstLine="420" w:firstLineChars="200"/>
        <w:rPr>
          <w:rFonts w:ascii="宋体"/>
        </w:rPr>
      </w:pPr>
      <w:r>
        <w:rPr>
          <w:rFonts w:hint="eastAsia" w:ascii="宋体" w:hAnsi="宋体" w:cs="宋体"/>
        </w:rPr>
        <w:t>注：如为联合体竞标，盖章处须加盖联合体各方公章并由联合体各方法定代表人签署，否则其响应文件按无效响应处理。</w:t>
      </w:r>
    </w:p>
    <w:p w14:paraId="09697374">
      <w:pPr>
        <w:pStyle w:val="19"/>
        <w:tabs>
          <w:tab w:val="left" w:pos="939"/>
        </w:tabs>
        <w:spacing w:line="500" w:lineRule="exact"/>
        <w:ind w:left="0" w:leftChars="0" w:firstLine="0" w:firstLineChars="0"/>
        <w:rPr>
          <w:rFonts w:ascii="宋体"/>
        </w:rPr>
      </w:pPr>
    </w:p>
    <w:p w14:paraId="5418552B">
      <w:pPr>
        <w:autoSpaceDE w:val="0"/>
        <w:autoSpaceDN w:val="0"/>
        <w:spacing w:line="500" w:lineRule="exact"/>
        <w:ind w:firstLine="6825" w:firstLineChars="3250"/>
        <w:rPr>
          <w:rFonts w:ascii="宋体" w:hAnsi="宋体" w:eastAsia="宋体" w:cs="Times New Roman"/>
          <w:kern w:val="0"/>
        </w:rPr>
      </w:pPr>
      <w:r>
        <w:rPr>
          <w:rFonts w:hint="eastAsia" w:ascii="宋体" w:hAnsi="宋体" w:eastAsia="宋体" w:cs="宋体"/>
          <w:kern w:val="0"/>
        </w:rPr>
        <w:t>供应商名称（电子签章）：</w:t>
      </w:r>
    </w:p>
    <w:p w14:paraId="34D6786A">
      <w:pPr>
        <w:autoSpaceDE w:val="0"/>
        <w:autoSpaceDN w:val="0"/>
        <w:spacing w:line="500" w:lineRule="exact"/>
        <w:ind w:firstLine="6825" w:firstLineChars="3250"/>
        <w:rPr>
          <w:rFonts w:ascii="宋体" w:hAnsi="宋体" w:eastAsia="宋体" w:cs="Times New Roman"/>
          <w:kern w:val="0"/>
          <w:sz w:val="24"/>
          <w:szCs w:val="24"/>
          <w:lang w:val="zh-CN"/>
        </w:rPr>
      </w:pPr>
      <w:r>
        <w:rPr>
          <w:rFonts w:hint="eastAsia" w:ascii="宋体" w:hAnsi="宋体" w:eastAsia="宋体" w:cs="宋体"/>
          <w:kern w:val="0"/>
          <w:lang w:val="zh-CN"/>
        </w:rPr>
        <w:t>日期：</w:t>
      </w:r>
      <w:r>
        <w:rPr>
          <w:rFonts w:ascii="宋体" w:hAnsi="宋体" w:eastAsia="宋体" w:cs="宋体"/>
          <w:kern w:val="0"/>
          <w:lang w:val="zh-CN"/>
        </w:rPr>
        <w:t xml:space="preserve">  </w:t>
      </w:r>
      <w:r>
        <w:rPr>
          <w:rFonts w:hint="eastAsia" w:ascii="宋体" w:hAnsi="宋体" w:eastAsia="宋体" w:cs="宋体"/>
          <w:kern w:val="0"/>
          <w:lang w:val="zh-CN"/>
        </w:rPr>
        <w:t>年</w:t>
      </w:r>
      <w:r>
        <w:rPr>
          <w:rFonts w:ascii="宋体" w:hAnsi="宋体" w:eastAsia="宋体" w:cs="宋体"/>
          <w:kern w:val="0"/>
          <w:lang w:val="zh-CN"/>
        </w:rPr>
        <w:t xml:space="preserve">  </w:t>
      </w:r>
      <w:r>
        <w:rPr>
          <w:rFonts w:hint="eastAsia" w:ascii="宋体" w:hAnsi="宋体" w:eastAsia="宋体" w:cs="宋体"/>
          <w:kern w:val="0"/>
          <w:lang w:val="zh-CN"/>
        </w:rPr>
        <w:t>月</w:t>
      </w:r>
      <w:r>
        <w:rPr>
          <w:rFonts w:ascii="宋体" w:hAnsi="宋体" w:eastAsia="宋体" w:cs="宋体"/>
          <w:kern w:val="0"/>
          <w:lang w:val="zh-CN"/>
        </w:rPr>
        <w:t xml:space="preserve">   </w:t>
      </w:r>
      <w:r>
        <w:rPr>
          <w:rFonts w:hint="eastAsia" w:ascii="宋体" w:hAnsi="宋体" w:eastAsia="宋体" w:cs="宋体"/>
          <w:kern w:val="0"/>
          <w:lang w:val="zh-CN"/>
        </w:rPr>
        <w:t>日</w:t>
      </w:r>
    </w:p>
    <w:p w14:paraId="6172EBAD">
      <w:pPr>
        <w:widowControl/>
        <w:jc w:val="left"/>
        <w:rPr>
          <w:rFonts w:ascii="宋体" w:hAnsi="宋体" w:eastAsia="宋体" w:cs="Times New Roman"/>
          <w:kern w:val="0"/>
        </w:rPr>
      </w:pPr>
    </w:p>
    <w:p w14:paraId="0F86302E">
      <w:pPr>
        <w:widowControl/>
        <w:jc w:val="left"/>
        <w:rPr>
          <w:rFonts w:ascii="宋体" w:hAnsi="宋体" w:eastAsia="宋体" w:cs="Times New Roman"/>
          <w:kern w:val="0"/>
        </w:rPr>
      </w:pPr>
      <w:r>
        <w:rPr>
          <w:rFonts w:ascii="宋体" w:hAnsi="宋体" w:eastAsia="宋体" w:cs="Times New Roman"/>
          <w:kern w:val="0"/>
        </w:rPr>
        <w:br w:type="page"/>
      </w:r>
    </w:p>
    <w:p w14:paraId="273B314F">
      <w:pPr>
        <w:snapToGrid w:val="0"/>
        <w:spacing w:line="500" w:lineRule="exact"/>
        <w:rPr>
          <w:rFonts w:ascii="宋体" w:hAnsi="宋体" w:eastAsia="宋体" w:cs="Times New Roman"/>
          <w:b/>
          <w:bCs/>
          <w:sz w:val="28"/>
          <w:szCs w:val="28"/>
        </w:rPr>
      </w:pPr>
      <w:r>
        <w:rPr>
          <w:rFonts w:hint="eastAsia" w:ascii="宋体" w:hAnsi="宋体" w:eastAsia="宋体" w:cs="宋体"/>
          <w:b/>
          <w:bCs/>
          <w:kern w:val="0"/>
          <w:sz w:val="28"/>
          <w:szCs w:val="28"/>
        </w:rPr>
        <w:t>七、资质证明复印件、安全生产许可证复印件及拟派本项目项目经理具备水利水电工程类专业注册建造师贰级以上（含贰级）</w:t>
      </w:r>
      <w:r>
        <w:rPr>
          <w:rFonts w:hint="eastAsia" w:ascii="宋体" w:hAnsi="宋体" w:eastAsia="宋体" w:cs="宋体"/>
        </w:rPr>
        <w:t>注册证书</w:t>
      </w:r>
      <w:r>
        <w:rPr>
          <w:rFonts w:hint="eastAsia" w:ascii="宋体" w:hAnsi="宋体" w:eastAsia="宋体" w:cs="宋体"/>
          <w:b/>
          <w:bCs/>
          <w:kern w:val="0"/>
          <w:sz w:val="28"/>
          <w:szCs w:val="28"/>
        </w:rPr>
        <w:t>扫描件及有效的安全生产考核合格证书（</w:t>
      </w:r>
      <w:r>
        <w:rPr>
          <w:rFonts w:ascii="宋体" w:hAnsi="宋体" w:eastAsia="宋体" w:cs="宋体"/>
          <w:b/>
          <w:bCs/>
          <w:kern w:val="0"/>
          <w:sz w:val="28"/>
          <w:szCs w:val="28"/>
        </w:rPr>
        <w:t>B</w:t>
      </w:r>
      <w:r>
        <w:rPr>
          <w:rFonts w:hint="eastAsia" w:ascii="宋体" w:hAnsi="宋体" w:eastAsia="宋体" w:cs="宋体"/>
          <w:b/>
          <w:bCs/>
          <w:kern w:val="0"/>
          <w:sz w:val="28"/>
          <w:szCs w:val="28"/>
        </w:rPr>
        <w:t>类）证书扫描件；拟派本项目技术负责人持有中级或中级以上技术职称，专业是水利水电工程类专业；拟派本项目质量管理员持有初级或初级以上技术职称，专业是水利水电工程类专业；拟派本项目安全管理员：持有省级或省级以上水行政主管部门或其授权部门（机构）颁发的</w:t>
      </w:r>
      <w:r>
        <w:rPr>
          <w:rFonts w:ascii="宋体" w:hAnsi="宋体" w:eastAsia="宋体" w:cs="宋体"/>
          <w:b/>
          <w:bCs/>
          <w:kern w:val="0"/>
          <w:sz w:val="28"/>
          <w:szCs w:val="28"/>
        </w:rPr>
        <w:t>c</w:t>
      </w:r>
      <w:r>
        <w:rPr>
          <w:rFonts w:hint="eastAsia" w:ascii="宋体" w:hAnsi="宋体" w:eastAsia="宋体" w:cs="宋体"/>
          <w:b/>
          <w:bCs/>
          <w:kern w:val="0"/>
          <w:sz w:val="28"/>
          <w:szCs w:val="28"/>
        </w:rPr>
        <w:t>类安全生产考核合格证书</w:t>
      </w:r>
    </w:p>
    <w:p w14:paraId="395091FF">
      <w:pPr>
        <w:snapToGrid w:val="0"/>
        <w:spacing w:line="500" w:lineRule="exact"/>
        <w:rPr>
          <w:rFonts w:ascii="宋体" w:hAnsi="宋体" w:eastAsia="宋体" w:cs="Times New Roman"/>
          <w:b/>
          <w:bCs/>
          <w:sz w:val="28"/>
          <w:szCs w:val="28"/>
        </w:rPr>
      </w:pPr>
    </w:p>
    <w:p w14:paraId="18CEAFA7">
      <w:pPr>
        <w:widowControl/>
        <w:jc w:val="left"/>
        <w:rPr>
          <w:rFonts w:ascii="宋体" w:hAnsi="宋体" w:eastAsia="宋体" w:cs="Times New Roman"/>
          <w:b/>
          <w:bCs/>
          <w:kern w:val="0"/>
          <w:sz w:val="28"/>
          <w:szCs w:val="28"/>
        </w:rPr>
      </w:pPr>
      <w:r>
        <w:rPr>
          <w:rFonts w:hAnsi="宋体" w:cs="Times New Roman"/>
          <w:b/>
          <w:bCs/>
          <w:sz w:val="28"/>
          <w:szCs w:val="28"/>
        </w:rPr>
        <w:br w:type="page"/>
      </w:r>
    </w:p>
    <w:p w14:paraId="1AB493D9">
      <w:pPr>
        <w:pStyle w:val="23"/>
        <w:spacing w:line="500" w:lineRule="exact"/>
        <w:jc w:val="left"/>
        <w:rPr>
          <w:rFonts w:hAnsi="宋体" w:cs="Times New Roman"/>
          <w:b/>
          <w:bCs/>
          <w:sz w:val="28"/>
          <w:szCs w:val="28"/>
        </w:rPr>
      </w:pPr>
      <w:r>
        <w:rPr>
          <w:rFonts w:hint="eastAsia" w:hAnsi="宋体"/>
          <w:b/>
          <w:bCs/>
          <w:sz w:val="28"/>
          <w:szCs w:val="28"/>
        </w:rPr>
        <w:t>八、中小企业声明函</w:t>
      </w:r>
    </w:p>
    <w:p w14:paraId="501EE2B6">
      <w:pPr>
        <w:pStyle w:val="23"/>
        <w:spacing w:line="500" w:lineRule="exact"/>
        <w:jc w:val="center"/>
        <w:rPr>
          <w:rFonts w:hAnsi="宋体" w:cs="Times New Roman"/>
          <w:b/>
          <w:bCs/>
          <w:sz w:val="32"/>
          <w:szCs w:val="32"/>
        </w:rPr>
      </w:pPr>
    </w:p>
    <w:p w14:paraId="432736A5">
      <w:pPr>
        <w:pStyle w:val="23"/>
        <w:spacing w:line="500" w:lineRule="exact"/>
        <w:jc w:val="center"/>
        <w:rPr>
          <w:rFonts w:hAnsi="宋体" w:cs="Times New Roman"/>
          <w:b/>
          <w:bCs/>
          <w:kern w:val="2"/>
          <w:sz w:val="32"/>
          <w:szCs w:val="32"/>
        </w:rPr>
      </w:pPr>
      <w:r>
        <w:rPr>
          <w:rFonts w:hint="eastAsia" w:hAnsi="宋体"/>
          <w:b/>
          <w:bCs/>
          <w:sz w:val="32"/>
          <w:szCs w:val="32"/>
        </w:rPr>
        <w:t>中小企业声明函（工程）</w:t>
      </w:r>
    </w:p>
    <w:p w14:paraId="14A323EA">
      <w:pPr>
        <w:pStyle w:val="17"/>
        <w:spacing w:after="0" w:line="360" w:lineRule="auto"/>
        <w:ind w:right="142"/>
        <w:rPr>
          <w:rFonts w:ascii="宋体"/>
          <w:sz w:val="24"/>
          <w:szCs w:val="24"/>
        </w:rPr>
      </w:pPr>
    </w:p>
    <w:p w14:paraId="29E3984C">
      <w:pPr>
        <w:pStyle w:val="17"/>
        <w:spacing w:after="0" w:line="360" w:lineRule="auto"/>
        <w:ind w:right="142" w:firstLine="420" w:firstLineChars="200"/>
        <w:rPr>
          <w:rFonts w:ascii="宋体"/>
          <w:sz w:val="21"/>
          <w:szCs w:val="21"/>
        </w:rPr>
      </w:pPr>
      <w:r>
        <w:rPr>
          <w:rFonts w:hint="eastAsia" w:ascii="宋体" w:hAnsi="宋体" w:cs="宋体"/>
          <w:sz w:val="21"/>
          <w:szCs w:val="21"/>
        </w:rPr>
        <w:t>本公司</w:t>
      </w:r>
      <w:r>
        <w:rPr>
          <w:rFonts w:ascii="宋体" w:hAnsi="宋体" w:cs="宋体"/>
          <w:sz w:val="21"/>
          <w:szCs w:val="21"/>
          <w:u w:val="single"/>
        </w:rPr>
        <w:t xml:space="preserve"> </w:t>
      </w:r>
      <w:r>
        <w:rPr>
          <w:rFonts w:hint="eastAsia" w:ascii="宋体" w:hAnsi="宋体" w:cs="宋体"/>
          <w:sz w:val="21"/>
          <w:szCs w:val="21"/>
          <w:u w:val="single"/>
        </w:rPr>
        <w:t>（供应商）</w:t>
      </w:r>
      <w:r>
        <w:rPr>
          <w:rFonts w:hint="eastAsia" w:ascii="宋体" w:hAnsi="宋体" w:cs="宋体"/>
          <w:sz w:val="21"/>
          <w:szCs w:val="21"/>
        </w:rPr>
        <w:t>郑重声明，根据《政府采购促进中小企业发展管理办法》（财库﹝</w:t>
      </w:r>
      <w:r>
        <w:rPr>
          <w:rFonts w:ascii="宋体" w:hAnsi="宋体" w:cs="宋体"/>
          <w:sz w:val="21"/>
          <w:szCs w:val="21"/>
        </w:rPr>
        <w:t>2020</w:t>
      </w:r>
      <w:r>
        <w:rPr>
          <w:rFonts w:hint="eastAsia" w:ascii="宋体" w:hAnsi="宋体" w:cs="宋体"/>
          <w:sz w:val="21"/>
          <w:szCs w:val="21"/>
        </w:rPr>
        <w:t>﹞</w:t>
      </w:r>
      <w:r>
        <w:rPr>
          <w:rFonts w:ascii="宋体" w:hAnsi="宋体" w:cs="宋体"/>
          <w:sz w:val="21"/>
          <w:szCs w:val="21"/>
        </w:rPr>
        <w:t>46</w:t>
      </w:r>
      <w:r>
        <w:rPr>
          <w:rFonts w:hint="eastAsia" w:ascii="宋体" w:hAnsi="宋体" w:cs="宋体"/>
          <w:sz w:val="21"/>
          <w:szCs w:val="21"/>
        </w:rPr>
        <w:t>号）的规定，本公司</w:t>
      </w:r>
      <w:r>
        <w:rPr>
          <w:rFonts w:hint="eastAsia" w:ascii="宋体" w:hAnsi="宋体" w:cs="宋体"/>
          <w:sz w:val="21"/>
          <w:szCs w:val="21"/>
          <w:u w:val="single"/>
        </w:rPr>
        <w:t>（供应商）</w:t>
      </w:r>
      <w:r>
        <w:rPr>
          <w:rFonts w:hint="eastAsia" w:ascii="宋体" w:hAnsi="宋体" w:cs="宋体"/>
          <w:sz w:val="21"/>
          <w:szCs w:val="21"/>
        </w:rPr>
        <w:t>参加</w:t>
      </w:r>
      <w:r>
        <w:rPr>
          <w:rFonts w:hint="eastAsia" w:ascii="宋体" w:hAnsi="宋体" w:cs="宋体"/>
          <w:sz w:val="21"/>
          <w:szCs w:val="21"/>
          <w:u w:val="single"/>
        </w:rPr>
        <w:t>（采购人）</w:t>
      </w:r>
      <w:r>
        <w:rPr>
          <w:rFonts w:ascii="宋体" w:hAnsi="宋体" w:cs="宋体"/>
          <w:sz w:val="21"/>
          <w:szCs w:val="21"/>
          <w:u w:val="single"/>
        </w:rPr>
        <w:t xml:space="preserve"> </w:t>
      </w:r>
      <w:r>
        <w:rPr>
          <w:rFonts w:hint="eastAsia" w:ascii="宋体" w:hAnsi="宋体" w:cs="宋体"/>
          <w:sz w:val="21"/>
          <w:szCs w:val="21"/>
        </w:rPr>
        <w:t>的</w:t>
      </w:r>
      <w:r>
        <w:rPr>
          <w:rFonts w:hint="eastAsia" w:ascii="宋体" w:hAnsi="宋体" w:cs="宋体"/>
          <w:sz w:val="21"/>
          <w:szCs w:val="21"/>
          <w:u w:val="single"/>
        </w:rPr>
        <w:t>（项目名称）</w:t>
      </w:r>
      <w:r>
        <w:rPr>
          <w:rFonts w:ascii="宋体" w:hAnsi="宋体" w:cs="宋体"/>
          <w:sz w:val="21"/>
          <w:szCs w:val="21"/>
          <w:u w:val="single"/>
        </w:rPr>
        <w:t xml:space="preserve"> </w:t>
      </w:r>
      <w:r>
        <w:rPr>
          <w:rFonts w:hint="eastAsia" w:ascii="宋体" w:hAnsi="宋体" w:cs="宋体"/>
          <w:sz w:val="21"/>
          <w:szCs w:val="21"/>
        </w:rPr>
        <w:t>采购活动，工程的施工单位全部为符合政策要求的中小企业承接。相关企业（含联合体中的中小企业、签订分包意向协议的中小企业）的具体情况如下：</w:t>
      </w:r>
    </w:p>
    <w:p w14:paraId="0C0A5ED3">
      <w:pPr>
        <w:tabs>
          <w:tab w:val="left" w:pos="1065"/>
          <w:tab w:val="left" w:pos="6477"/>
        </w:tabs>
        <w:spacing w:line="360" w:lineRule="auto"/>
        <w:ind w:right="-58"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；承接企业为</w:t>
      </w:r>
      <w:r>
        <w:rPr>
          <w:rFonts w:hint="eastAsia" w:ascii="宋体" w:hAnsi="宋体" w:eastAsia="宋体" w:cs="宋体"/>
          <w:u w:val="single"/>
        </w:rPr>
        <w:t>（企业名称）</w:t>
      </w:r>
      <w:r>
        <w:rPr>
          <w:rFonts w:hint="eastAsia" w:ascii="宋体" w:hAnsi="宋体" w:eastAsia="宋体" w:cs="宋体"/>
        </w:rPr>
        <w:t>，从业人员人，营业收入为万元，资产总额为万元，属于</w:t>
      </w:r>
      <w:r>
        <w:rPr>
          <w:rFonts w:hint="eastAsia" w:ascii="宋体" w:hAnsi="宋体" w:eastAsia="宋体" w:cs="宋体"/>
          <w:u w:val="single"/>
        </w:rPr>
        <w:t>（□中型企业、□小型企业、□微型企业）</w:t>
      </w:r>
      <w:r>
        <w:rPr>
          <w:rFonts w:hint="eastAsia" w:ascii="宋体" w:hAnsi="宋体" w:eastAsia="宋体" w:cs="宋体"/>
        </w:rPr>
        <w:t>；</w:t>
      </w:r>
    </w:p>
    <w:p w14:paraId="4DB5BB8C">
      <w:pPr>
        <w:tabs>
          <w:tab w:val="left" w:pos="1065"/>
          <w:tab w:val="left" w:pos="6477"/>
        </w:tabs>
        <w:spacing w:line="360" w:lineRule="auto"/>
        <w:ind w:right="-58"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；承接企业为</w:t>
      </w:r>
      <w:r>
        <w:rPr>
          <w:rFonts w:hint="eastAsia" w:ascii="宋体" w:hAnsi="宋体" w:eastAsia="宋体" w:cs="宋体"/>
          <w:u w:val="single"/>
        </w:rPr>
        <w:t>（企业名称）</w:t>
      </w:r>
      <w:r>
        <w:rPr>
          <w:rFonts w:hint="eastAsia" w:ascii="宋体" w:hAnsi="宋体" w:eastAsia="宋体" w:cs="宋体"/>
        </w:rPr>
        <w:t>，从业人员人，营业收入为万元，资产总额为万元，属于</w:t>
      </w:r>
      <w:r>
        <w:rPr>
          <w:rFonts w:hint="eastAsia" w:ascii="宋体" w:hAnsi="宋体" w:eastAsia="宋体" w:cs="宋体"/>
          <w:u w:val="single"/>
        </w:rPr>
        <w:t>（□中型企业、□小型企业、□微型企业））</w:t>
      </w:r>
      <w:r>
        <w:rPr>
          <w:rFonts w:hint="eastAsia" w:ascii="宋体" w:hAnsi="宋体" w:eastAsia="宋体" w:cs="宋体"/>
        </w:rPr>
        <w:t>；</w:t>
      </w:r>
    </w:p>
    <w:p w14:paraId="48AAF2CD">
      <w:pPr>
        <w:pStyle w:val="17"/>
        <w:spacing w:after="0" w:line="360" w:lineRule="auto"/>
        <w:ind w:right="142"/>
        <w:rPr>
          <w:rFonts w:ascii="宋体"/>
          <w:sz w:val="21"/>
          <w:szCs w:val="21"/>
        </w:rPr>
      </w:pPr>
      <w:r>
        <w:rPr>
          <w:rFonts w:hint="eastAsia" w:ascii="宋体" w:hAnsi="宋体" w:cs="宋体"/>
          <w:sz w:val="21"/>
          <w:szCs w:val="21"/>
        </w:rPr>
        <w:t>……</w:t>
      </w:r>
      <w:r>
        <w:rPr>
          <w:rFonts w:ascii="宋体" w:hAnsi="宋体" w:cs="宋体"/>
          <w:sz w:val="21"/>
          <w:szCs w:val="21"/>
        </w:rPr>
        <w:t xml:space="preserve"> </w:t>
      </w:r>
    </w:p>
    <w:p w14:paraId="48A3E751">
      <w:pPr>
        <w:pStyle w:val="17"/>
        <w:spacing w:after="0" w:line="360" w:lineRule="auto"/>
        <w:ind w:right="142" w:firstLine="420" w:firstLineChars="200"/>
        <w:rPr>
          <w:rFonts w:ascii="宋体"/>
          <w:sz w:val="21"/>
          <w:szCs w:val="21"/>
        </w:rPr>
      </w:pPr>
      <w:r>
        <w:rPr>
          <w:rFonts w:hint="eastAsia" w:ascii="宋体" w:hAnsi="宋体" w:cs="宋体"/>
          <w:sz w:val="21"/>
          <w:szCs w:val="21"/>
        </w:rPr>
        <w:t>以上企业，不属于大企业的分支机构，不存在控股股东为大企业的情形，也不存在与大企业的负责人为同一人的情形。</w:t>
      </w:r>
    </w:p>
    <w:p w14:paraId="00E74467">
      <w:pPr>
        <w:pStyle w:val="17"/>
        <w:spacing w:after="0" w:line="360" w:lineRule="auto"/>
        <w:ind w:right="142" w:firstLine="420" w:firstLineChars="200"/>
        <w:rPr>
          <w:rFonts w:ascii="宋体"/>
          <w:sz w:val="21"/>
          <w:szCs w:val="21"/>
        </w:rPr>
      </w:pPr>
      <w:r>
        <w:rPr>
          <w:rFonts w:hint="eastAsia" w:ascii="宋体" w:hAnsi="宋体" w:cs="宋体"/>
          <w:sz w:val="21"/>
          <w:szCs w:val="21"/>
        </w:rPr>
        <w:t>本企业对上述声明内容的真实性负责。如有虚假，将依法承担相应责任。</w:t>
      </w:r>
    </w:p>
    <w:p w14:paraId="42A51E6A">
      <w:pPr>
        <w:pStyle w:val="17"/>
        <w:spacing w:after="0" w:line="360" w:lineRule="auto"/>
        <w:ind w:right="1808"/>
        <w:rPr>
          <w:rFonts w:ascii="宋体"/>
          <w:sz w:val="21"/>
          <w:szCs w:val="21"/>
        </w:rPr>
      </w:pPr>
    </w:p>
    <w:p w14:paraId="386783C6">
      <w:pPr>
        <w:autoSpaceDE w:val="0"/>
        <w:autoSpaceDN w:val="0"/>
        <w:spacing w:line="360" w:lineRule="auto"/>
        <w:ind w:firstLine="5670" w:firstLineChars="2700"/>
        <w:rPr>
          <w:rFonts w:ascii="宋体" w:hAnsi="宋体" w:eastAsia="宋体" w:cs="Times New Roman"/>
          <w:kern w:val="0"/>
        </w:rPr>
      </w:pPr>
      <w:r>
        <w:rPr>
          <w:rFonts w:hint="eastAsia" w:ascii="宋体" w:hAnsi="宋体" w:eastAsia="宋体" w:cs="宋体"/>
          <w:kern w:val="0"/>
        </w:rPr>
        <w:t>供应商名称（电子签章）：</w:t>
      </w:r>
    </w:p>
    <w:p w14:paraId="62476CD5">
      <w:pPr>
        <w:autoSpaceDE w:val="0"/>
        <w:autoSpaceDN w:val="0"/>
        <w:spacing w:line="360" w:lineRule="auto"/>
        <w:ind w:firstLine="5670" w:firstLineChars="2700"/>
        <w:rPr>
          <w:rFonts w:ascii="宋体" w:hAnsi="宋体" w:eastAsia="宋体" w:cs="Times New Roman"/>
          <w:kern w:val="0"/>
          <w:lang w:val="zh-CN"/>
        </w:rPr>
      </w:pPr>
      <w:r>
        <w:rPr>
          <w:rFonts w:hint="eastAsia" w:ascii="宋体" w:hAnsi="宋体" w:eastAsia="宋体" w:cs="宋体"/>
          <w:kern w:val="0"/>
          <w:lang w:val="zh-CN"/>
        </w:rPr>
        <w:t>日期：</w:t>
      </w:r>
      <w:r>
        <w:rPr>
          <w:rFonts w:ascii="宋体" w:hAnsi="宋体" w:eastAsia="宋体" w:cs="宋体"/>
          <w:kern w:val="0"/>
          <w:lang w:val="zh-CN"/>
        </w:rPr>
        <w:t xml:space="preserve">  </w:t>
      </w:r>
      <w:r>
        <w:rPr>
          <w:rFonts w:hint="eastAsia" w:ascii="宋体" w:hAnsi="宋体" w:eastAsia="宋体" w:cs="宋体"/>
          <w:kern w:val="0"/>
          <w:lang w:val="zh-CN"/>
        </w:rPr>
        <w:t>年</w:t>
      </w:r>
      <w:r>
        <w:rPr>
          <w:rFonts w:ascii="宋体" w:hAnsi="宋体" w:eastAsia="宋体" w:cs="宋体"/>
          <w:kern w:val="0"/>
          <w:lang w:val="zh-CN"/>
        </w:rPr>
        <w:t xml:space="preserve">  </w:t>
      </w:r>
      <w:r>
        <w:rPr>
          <w:rFonts w:hint="eastAsia" w:ascii="宋体" w:hAnsi="宋体" w:eastAsia="宋体" w:cs="宋体"/>
          <w:kern w:val="0"/>
          <w:lang w:val="zh-CN"/>
        </w:rPr>
        <w:t>月</w:t>
      </w:r>
      <w:r>
        <w:rPr>
          <w:rFonts w:ascii="宋体" w:hAnsi="宋体" w:eastAsia="宋体" w:cs="宋体"/>
          <w:kern w:val="0"/>
          <w:lang w:val="zh-CN"/>
        </w:rPr>
        <w:t xml:space="preserve">   </w:t>
      </w:r>
      <w:r>
        <w:rPr>
          <w:rFonts w:hint="eastAsia" w:ascii="宋体" w:hAnsi="宋体" w:eastAsia="宋体" w:cs="宋体"/>
          <w:kern w:val="0"/>
          <w:lang w:val="zh-CN"/>
        </w:rPr>
        <w:t>日</w:t>
      </w:r>
    </w:p>
    <w:p w14:paraId="61976876">
      <w:pPr>
        <w:pStyle w:val="17"/>
        <w:spacing w:after="0" w:line="360" w:lineRule="auto"/>
        <w:ind w:right="1808"/>
        <w:rPr>
          <w:rFonts w:ascii="宋体"/>
          <w:sz w:val="21"/>
          <w:szCs w:val="21"/>
        </w:rPr>
      </w:pPr>
    </w:p>
    <w:p w14:paraId="66B16F7F">
      <w:pPr>
        <w:pStyle w:val="7"/>
        <w:overflowPunct w:val="0"/>
        <w:spacing w:line="520" w:lineRule="exact"/>
        <w:ind w:firstLine="0"/>
        <w:rPr>
          <w:rFonts w:ascii="宋体"/>
          <w:b/>
          <w:bCs/>
          <w:kern w:val="0"/>
        </w:rPr>
      </w:pPr>
      <w:r>
        <w:rPr>
          <w:rFonts w:hint="eastAsia" w:ascii="宋体" w:hAnsi="宋体" w:cs="宋体"/>
        </w:rPr>
        <w:t>注：享受《政府采购促进中小企业发展管理办法》（财库〔</w:t>
      </w:r>
      <w:r>
        <w:rPr>
          <w:rFonts w:ascii="宋体" w:hAnsi="宋体" w:cs="宋体"/>
        </w:rPr>
        <w:t>2020</w:t>
      </w:r>
      <w:r>
        <w:rPr>
          <w:rFonts w:hint="eastAsia" w:ascii="宋体" w:hAnsi="宋体" w:cs="宋体"/>
        </w:rPr>
        <w:t>〕</w:t>
      </w:r>
      <w:r>
        <w:rPr>
          <w:rFonts w:ascii="宋体" w:hAnsi="宋体" w:cs="宋体"/>
        </w:rPr>
        <w:t>46</w:t>
      </w:r>
      <w:r>
        <w:rPr>
          <w:rFonts w:hint="eastAsia" w:ascii="宋体" w:hAnsi="宋体" w:cs="宋体"/>
        </w:rPr>
        <w:t>号）规定的中小企业扶持政策的，采购人、采购代理机构应当随成交结果公开成交供应商的《中小企业声明函》。从业人员、营业收入、资产总额填报上一年度数据，无上一年度数据的新成立企业可不填报。</w:t>
      </w:r>
    </w:p>
    <w:p w14:paraId="243EE22F">
      <w:pPr>
        <w:pStyle w:val="7"/>
        <w:overflowPunct w:val="0"/>
        <w:spacing w:line="520" w:lineRule="exact"/>
        <w:ind w:firstLine="0"/>
        <w:rPr>
          <w:rFonts w:ascii="宋体"/>
          <w:kern w:val="0"/>
          <w:lang w:val="zh-CN"/>
        </w:rPr>
      </w:pPr>
    </w:p>
    <w:p w14:paraId="3A3B72D0">
      <w:pPr>
        <w:spacing w:line="500" w:lineRule="exact"/>
        <w:jc w:val="center"/>
        <w:rPr>
          <w:rFonts w:hAnsi="宋体" w:cs="Times New Roman"/>
          <w:lang w:val="zh-CN"/>
        </w:rPr>
      </w:pPr>
    </w:p>
    <w:p w14:paraId="2A6B4CCF">
      <w:pPr>
        <w:widowControl/>
        <w:jc w:val="left"/>
        <w:rPr>
          <w:rFonts w:hAnsi="宋体" w:cs="Times New Roman"/>
          <w:lang w:val="zh-CN"/>
        </w:rPr>
      </w:pPr>
      <w:r>
        <w:rPr>
          <w:rFonts w:hAnsi="宋体" w:cs="Times New Roman"/>
          <w:lang w:val="zh-CN"/>
        </w:rPr>
        <w:br w:type="page"/>
      </w:r>
    </w:p>
    <w:p w14:paraId="36ABF891">
      <w:pPr>
        <w:spacing w:line="520" w:lineRule="exact"/>
        <w:jc w:val="center"/>
        <w:rPr>
          <w:rFonts w:ascii="宋体" w:hAnsi="宋体" w:eastAsia="宋体" w:cs="Times New Roman"/>
          <w:b/>
          <w:bCs/>
          <w:sz w:val="28"/>
          <w:szCs w:val="28"/>
        </w:rPr>
      </w:pPr>
      <w:r>
        <w:rPr>
          <w:rFonts w:hint="eastAsia" w:ascii="宋体" w:hAnsi="宋体" w:eastAsia="宋体" w:cs="宋体"/>
          <w:b/>
          <w:bCs/>
          <w:sz w:val="28"/>
          <w:szCs w:val="28"/>
        </w:rPr>
        <w:t>残疾人福利性单位声明函</w:t>
      </w:r>
    </w:p>
    <w:p w14:paraId="14E2FF2E">
      <w:pPr>
        <w:spacing w:line="520" w:lineRule="exact"/>
        <w:rPr>
          <w:rFonts w:ascii="宋体" w:hAnsi="宋体" w:eastAsia="宋体" w:cs="Times New Roman"/>
          <w:sz w:val="32"/>
          <w:szCs w:val="32"/>
        </w:rPr>
      </w:pPr>
    </w:p>
    <w:p w14:paraId="5722D691">
      <w:pPr>
        <w:spacing w:line="360" w:lineRule="auto"/>
        <w:ind w:firstLine="420" w:firstLineChars="200"/>
        <w:rPr>
          <w:rFonts w:ascii="宋体" w:hAnsi="宋体" w:eastAsia="宋体" w:cs="Times New Roman"/>
        </w:rPr>
      </w:pPr>
      <w:r>
        <w:rPr>
          <w:rFonts w:hint="eastAsia" w:ascii="宋体" w:hAnsi="宋体" w:eastAsia="宋体" w:cs="宋体"/>
        </w:rPr>
        <w:t>本单位郑重声明，根据《财政部</w:t>
      </w:r>
      <w:r>
        <w:rPr>
          <w:rFonts w:ascii="宋体" w:hAnsi="宋体" w:eastAsia="宋体" w:cs="宋体"/>
        </w:rPr>
        <w:t xml:space="preserve"> </w:t>
      </w:r>
      <w:r>
        <w:rPr>
          <w:rFonts w:hint="eastAsia" w:ascii="宋体" w:hAnsi="宋体" w:eastAsia="宋体" w:cs="宋体"/>
        </w:rPr>
        <w:t>民政部</w:t>
      </w:r>
      <w:r>
        <w:rPr>
          <w:rFonts w:ascii="宋体" w:hAnsi="宋体" w:eastAsia="宋体" w:cs="宋体"/>
        </w:rPr>
        <w:t xml:space="preserve"> </w:t>
      </w:r>
      <w:r>
        <w:rPr>
          <w:rFonts w:hint="eastAsia" w:ascii="宋体" w:hAnsi="宋体" w:eastAsia="宋体" w:cs="宋体"/>
        </w:rPr>
        <w:t>中国残疾人联合会关于促进残疾人就业政府采购政策的通知》（财库〔</w:t>
      </w:r>
      <w:r>
        <w:rPr>
          <w:rFonts w:ascii="宋体" w:hAnsi="宋体" w:eastAsia="宋体" w:cs="宋体"/>
        </w:rPr>
        <w:t>2017</w:t>
      </w:r>
      <w:r>
        <w:rPr>
          <w:rFonts w:hint="eastAsia" w:ascii="宋体" w:hAnsi="宋体" w:eastAsia="宋体" w:cs="宋体"/>
        </w:rPr>
        <w:t>〕</w:t>
      </w:r>
      <w:r>
        <w:rPr>
          <w:rFonts w:ascii="宋体" w:hAnsi="宋体" w:eastAsia="宋体" w:cs="宋体"/>
        </w:rPr>
        <w:t>141</w:t>
      </w:r>
      <w:r>
        <w:rPr>
          <w:rFonts w:hint="eastAsia" w:ascii="宋体" w:hAnsi="宋体" w:eastAsia="宋体" w:cs="宋体"/>
        </w:rPr>
        <w:t>号）的规定，本单位为符合条件的残疾人福利性单位，且本单位参加</w:t>
      </w:r>
      <w:r>
        <w:rPr>
          <w:rFonts w:ascii="宋体" w:hAnsi="宋体" w:eastAsia="宋体" w:cs="宋体"/>
          <w:u w:val="single"/>
        </w:rPr>
        <w:t xml:space="preserve"> </w:t>
      </w:r>
      <w:r>
        <w:rPr>
          <w:rFonts w:hint="eastAsia" w:ascii="宋体" w:hAnsi="宋体" w:eastAsia="宋体" w:cs="宋体"/>
          <w:u w:val="single"/>
        </w:rPr>
        <w:t>（采购人）</w:t>
      </w:r>
      <w:r>
        <w:rPr>
          <w:rFonts w:ascii="宋体" w:hAnsi="宋体" w:eastAsia="宋体" w:cs="宋体"/>
          <w:u w:val="single"/>
        </w:rPr>
        <w:t xml:space="preserve"> </w:t>
      </w:r>
      <w:r>
        <w:rPr>
          <w:rFonts w:hint="eastAsia" w:ascii="宋体" w:hAnsi="宋体" w:eastAsia="宋体" w:cs="宋体"/>
        </w:rPr>
        <w:t>单位的</w:t>
      </w:r>
      <w:r>
        <w:rPr>
          <w:rFonts w:ascii="宋体" w:hAnsi="宋体" w:eastAsia="宋体" w:cs="宋体"/>
          <w:u w:val="single"/>
        </w:rPr>
        <w:t xml:space="preserve"> </w:t>
      </w:r>
      <w:r>
        <w:rPr>
          <w:rFonts w:hint="eastAsia" w:ascii="宋体" w:hAnsi="宋体" w:eastAsia="宋体" w:cs="宋体"/>
          <w:u w:val="single"/>
        </w:rPr>
        <w:t>（项目名称）</w:t>
      </w:r>
      <w:r>
        <w:rPr>
          <w:rFonts w:ascii="宋体" w:hAnsi="宋体" w:eastAsia="宋体" w:cs="宋体"/>
          <w:u w:val="single"/>
        </w:rPr>
        <w:t xml:space="preserve"> </w:t>
      </w:r>
      <w:r>
        <w:rPr>
          <w:rFonts w:hint="eastAsia" w:ascii="宋体" w:hAnsi="宋体" w:eastAsia="宋体" w:cs="宋体"/>
        </w:rPr>
        <w:t>项目采购活动由本单位提供服务。</w:t>
      </w:r>
    </w:p>
    <w:p w14:paraId="3CBF062F">
      <w:pPr>
        <w:spacing w:line="360" w:lineRule="auto"/>
        <w:ind w:firstLine="420" w:firstLineChars="200"/>
        <w:rPr>
          <w:rFonts w:ascii="宋体" w:hAnsi="宋体" w:eastAsia="宋体" w:cs="Times New Roman"/>
        </w:rPr>
      </w:pPr>
      <w:r>
        <w:rPr>
          <w:rFonts w:hint="eastAsia" w:ascii="宋体" w:hAnsi="宋体" w:eastAsia="宋体" w:cs="宋体"/>
        </w:rPr>
        <w:t>本单位对上述声明的真实性负责。如有虚假，将依法承担相应责任。</w:t>
      </w:r>
    </w:p>
    <w:p w14:paraId="782D81A6">
      <w:pPr>
        <w:spacing w:line="360" w:lineRule="auto"/>
        <w:rPr>
          <w:rFonts w:ascii="宋体" w:hAnsi="宋体" w:eastAsia="宋体" w:cs="Times New Roman"/>
        </w:rPr>
      </w:pPr>
    </w:p>
    <w:p w14:paraId="1B42C254">
      <w:pPr>
        <w:spacing w:line="360" w:lineRule="auto"/>
        <w:rPr>
          <w:rFonts w:ascii="宋体" w:hAnsi="宋体" w:eastAsia="宋体" w:cs="Times New Roman"/>
        </w:rPr>
      </w:pPr>
    </w:p>
    <w:p w14:paraId="72C41685">
      <w:pPr>
        <w:spacing w:line="360" w:lineRule="auto"/>
        <w:rPr>
          <w:rFonts w:ascii="宋体" w:hAnsi="宋体" w:eastAsia="宋体" w:cs="Times New Roman"/>
        </w:rPr>
      </w:pPr>
    </w:p>
    <w:p w14:paraId="064D92C7">
      <w:pPr>
        <w:spacing w:line="360" w:lineRule="auto"/>
        <w:ind w:right="315"/>
        <w:jc w:val="right"/>
        <w:rPr>
          <w:rFonts w:ascii="宋体" w:hAnsi="宋体" w:eastAsia="宋体" w:cs="Times New Roman"/>
        </w:rPr>
      </w:pPr>
      <w:r>
        <w:rPr>
          <w:rFonts w:hint="eastAsia" w:ascii="宋体" w:hAnsi="宋体" w:eastAsia="宋体" w:cs="宋体"/>
        </w:rPr>
        <w:t>供应商名称（电子签章）：</w:t>
      </w:r>
    </w:p>
    <w:p w14:paraId="486EDA7B">
      <w:pPr>
        <w:spacing w:line="360" w:lineRule="auto"/>
        <w:jc w:val="right"/>
        <w:rPr>
          <w:rFonts w:ascii="宋体" w:hAnsi="宋体" w:eastAsia="宋体" w:cs="Times New Roman"/>
        </w:rPr>
      </w:pPr>
      <w:r>
        <w:rPr>
          <w:rFonts w:hint="eastAsia" w:ascii="宋体" w:hAnsi="宋体" w:eastAsia="宋体" w:cs="宋体"/>
        </w:rPr>
        <w:t>日</w:t>
      </w:r>
      <w:r>
        <w:rPr>
          <w:rFonts w:ascii="宋体" w:hAnsi="宋体" w:eastAsia="宋体" w:cs="宋体"/>
        </w:rPr>
        <w:t xml:space="preserve">  </w:t>
      </w:r>
      <w:r>
        <w:rPr>
          <w:rFonts w:hint="eastAsia" w:ascii="宋体" w:hAnsi="宋体" w:eastAsia="宋体" w:cs="宋体"/>
        </w:rPr>
        <w:t>期：</w:t>
      </w:r>
      <w:r>
        <w:rPr>
          <w:rFonts w:ascii="宋体" w:hAnsi="宋体" w:eastAsia="宋体" w:cs="宋体"/>
        </w:rPr>
        <w:t xml:space="preserve">     </w:t>
      </w: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p>
    <w:p w14:paraId="6D968E5A">
      <w:pPr>
        <w:spacing w:line="360" w:lineRule="auto"/>
        <w:rPr>
          <w:rFonts w:ascii="宋体" w:hAnsi="宋体" w:eastAsia="宋体" w:cs="Times New Roman"/>
        </w:rPr>
      </w:pPr>
    </w:p>
    <w:p w14:paraId="095FCE98">
      <w:pPr>
        <w:spacing w:line="360" w:lineRule="auto"/>
        <w:rPr>
          <w:rFonts w:ascii="宋体" w:hAnsi="宋体" w:eastAsia="宋体" w:cs="Times New Roman"/>
        </w:rPr>
      </w:pPr>
    </w:p>
    <w:p w14:paraId="11DE8730">
      <w:pPr>
        <w:spacing w:line="360" w:lineRule="auto"/>
        <w:rPr>
          <w:rFonts w:ascii="宋体" w:hAnsi="宋体" w:eastAsia="宋体" w:cs="Times New Roman"/>
        </w:rPr>
      </w:pPr>
    </w:p>
    <w:p w14:paraId="03303CBE">
      <w:pPr>
        <w:spacing w:line="360" w:lineRule="auto"/>
        <w:rPr>
          <w:rFonts w:ascii="宋体" w:hAnsi="宋体" w:eastAsia="宋体" w:cs="Times New Roman"/>
        </w:rPr>
      </w:pPr>
      <w:r>
        <w:rPr>
          <w:rFonts w:hint="eastAsia" w:ascii="宋体" w:hAnsi="宋体" w:eastAsia="宋体" w:cs="宋体"/>
        </w:rPr>
        <w:t>注：请根据自己的真实情况出具《残疾人福利性单位声明函》。依法享受中小企业优惠政策的，采购人或者采购代理机构在公告中标结果时，同时公告其《残疾人福利性单位声明函》，接受社会监督。</w:t>
      </w:r>
    </w:p>
    <w:p w14:paraId="51CAE179">
      <w:pPr>
        <w:spacing w:line="520" w:lineRule="exact"/>
        <w:jc w:val="center"/>
        <w:rPr>
          <w:rFonts w:ascii="宋体" w:hAnsi="宋体" w:eastAsia="宋体" w:cs="Times New Roman"/>
          <w:sz w:val="24"/>
          <w:szCs w:val="24"/>
        </w:rPr>
      </w:pPr>
    </w:p>
    <w:p w14:paraId="61DC2E42">
      <w:pPr>
        <w:spacing w:line="520" w:lineRule="exact"/>
        <w:jc w:val="center"/>
        <w:rPr>
          <w:rFonts w:ascii="宋体" w:hAnsi="宋体" w:eastAsia="宋体" w:cs="Times New Roman"/>
          <w:sz w:val="24"/>
          <w:szCs w:val="24"/>
        </w:rPr>
      </w:pPr>
    </w:p>
    <w:p w14:paraId="126C97C8">
      <w:pPr>
        <w:spacing w:line="520" w:lineRule="exact"/>
        <w:jc w:val="center"/>
        <w:rPr>
          <w:rFonts w:ascii="宋体" w:hAnsi="宋体" w:eastAsia="宋体" w:cs="Times New Roman"/>
          <w:sz w:val="24"/>
          <w:szCs w:val="24"/>
        </w:rPr>
      </w:pPr>
    </w:p>
    <w:p w14:paraId="70A982E0">
      <w:pPr>
        <w:spacing w:line="520" w:lineRule="exact"/>
        <w:jc w:val="center"/>
        <w:rPr>
          <w:rFonts w:ascii="宋体" w:hAnsi="宋体" w:eastAsia="宋体" w:cs="Times New Roman"/>
          <w:sz w:val="24"/>
          <w:szCs w:val="24"/>
        </w:rPr>
      </w:pPr>
    </w:p>
    <w:p w14:paraId="28887A0F">
      <w:pPr>
        <w:spacing w:line="520" w:lineRule="exact"/>
        <w:jc w:val="center"/>
        <w:rPr>
          <w:rFonts w:ascii="宋体" w:hAnsi="宋体" w:eastAsia="宋体" w:cs="Times New Roman"/>
          <w:sz w:val="24"/>
          <w:szCs w:val="24"/>
        </w:rPr>
      </w:pPr>
    </w:p>
    <w:p w14:paraId="2F886CE8">
      <w:pPr>
        <w:snapToGrid w:val="0"/>
        <w:spacing w:line="500" w:lineRule="exact"/>
        <w:rPr>
          <w:rFonts w:ascii="宋体" w:hAnsi="宋体" w:eastAsia="宋体" w:cs="Times New Roman"/>
          <w:b/>
          <w:bCs/>
          <w:kern w:val="0"/>
          <w:sz w:val="28"/>
          <w:szCs w:val="28"/>
        </w:rPr>
      </w:pPr>
    </w:p>
    <w:p w14:paraId="1815774D">
      <w:pPr>
        <w:widowControl/>
        <w:jc w:val="left"/>
        <w:rPr>
          <w:rFonts w:ascii="宋体" w:hAnsi="宋体" w:eastAsia="宋体" w:cs="Times New Roman"/>
          <w:b/>
          <w:bCs/>
          <w:kern w:val="0"/>
          <w:sz w:val="28"/>
          <w:szCs w:val="28"/>
        </w:rPr>
      </w:pPr>
      <w:r>
        <w:rPr>
          <w:rFonts w:hint="eastAsia" w:ascii="宋体" w:hAnsi="宋体" w:eastAsia="宋体" w:cs="宋体"/>
          <w:b/>
          <w:bCs/>
          <w:kern w:val="0"/>
          <w:sz w:val="28"/>
          <w:szCs w:val="28"/>
        </w:rPr>
        <w:t>九、</w:t>
      </w:r>
      <w:r>
        <w:rPr>
          <w:rFonts w:hint="eastAsia" w:ascii="宋体" w:hAnsi="宋体" w:eastAsia="宋体" w:cs="宋体"/>
          <w:b/>
          <w:bCs/>
          <w:sz w:val="28"/>
          <w:szCs w:val="28"/>
        </w:rPr>
        <w:t>除磋商文件规定必须提供以外，供应商认为需要提供的其他证明材料</w:t>
      </w:r>
    </w:p>
    <w:p w14:paraId="04E32AFF">
      <w:pPr>
        <w:spacing w:line="320" w:lineRule="exact"/>
        <w:jc w:val="left"/>
        <w:rPr>
          <w:rFonts w:ascii="宋体" w:hAnsi="宋体" w:eastAsia="宋体" w:cs="Times New Roman"/>
          <w:sz w:val="28"/>
          <w:szCs w:val="28"/>
        </w:rPr>
      </w:pPr>
      <w:r>
        <w:rPr>
          <w:rFonts w:ascii="宋体" w:hAnsi="宋体" w:eastAsia="宋体" w:cs="Times New Roman"/>
          <w:sz w:val="28"/>
          <w:szCs w:val="28"/>
        </w:rPr>
        <w:br w:type="page"/>
      </w:r>
    </w:p>
    <w:p w14:paraId="6BD7B42B">
      <w:pPr>
        <w:widowControl/>
        <w:spacing w:line="360" w:lineRule="auto"/>
        <w:jc w:val="left"/>
        <w:rPr>
          <w:rFonts w:ascii="宋体" w:hAnsi="宋体" w:eastAsia="宋体" w:cs="Times New Roman"/>
          <w:kern w:val="0"/>
          <w:sz w:val="24"/>
          <w:szCs w:val="24"/>
        </w:rPr>
        <w:sectPr>
          <w:pgSz w:w="11910" w:h="16840"/>
          <w:pgMar w:top="1247" w:right="1361" w:bottom="1247" w:left="1361" w:header="720" w:footer="720" w:gutter="0"/>
          <w:cols w:space="720" w:num="1"/>
        </w:sectPr>
      </w:pPr>
    </w:p>
    <w:p w14:paraId="4AD413C8">
      <w:pPr>
        <w:jc w:val="center"/>
        <w:outlineLvl w:val="1"/>
        <w:rPr>
          <w:rFonts w:ascii="宋体" w:hAnsi="宋体" w:eastAsia="宋体" w:cs="Times New Roman"/>
          <w:b/>
          <w:bCs/>
          <w:sz w:val="30"/>
          <w:szCs w:val="30"/>
        </w:rPr>
      </w:pPr>
      <w:bookmarkStart w:id="104" w:name="_Toc80205940"/>
      <w:bookmarkStart w:id="105" w:name="_Toc144977177"/>
      <w:bookmarkStart w:id="106" w:name="_Toc9458"/>
      <w:bookmarkStart w:id="107" w:name="_Toc137571899"/>
      <w:r>
        <w:rPr>
          <w:rFonts w:hint="eastAsia" w:ascii="宋体" w:hAnsi="宋体" w:eastAsia="宋体" w:cs="宋体"/>
          <w:b/>
          <w:bCs/>
          <w:sz w:val="30"/>
          <w:szCs w:val="30"/>
        </w:rPr>
        <w:t>第三节</w:t>
      </w:r>
      <w:r>
        <w:rPr>
          <w:rFonts w:ascii="宋体" w:hAnsi="宋体" w:eastAsia="宋体" w:cs="宋体"/>
          <w:b/>
          <w:bCs/>
          <w:sz w:val="30"/>
          <w:szCs w:val="30"/>
        </w:rPr>
        <w:t xml:space="preserve"> </w:t>
      </w:r>
      <w:r>
        <w:rPr>
          <w:rFonts w:hint="eastAsia" w:ascii="宋体" w:hAnsi="宋体" w:eastAsia="宋体" w:cs="宋体"/>
          <w:b/>
          <w:bCs/>
          <w:sz w:val="30"/>
          <w:szCs w:val="30"/>
        </w:rPr>
        <w:t>商务技术文件格式</w:t>
      </w:r>
      <w:bookmarkEnd w:id="104"/>
      <w:bookmarkEnd w:id="105"/>
      <w:bookmarkEnd w:id="106"/>
      <w:bookmarkEnd w:id="107"/>
    </w:p>
    <w:p w14:paraId="308713D7">
      <w:pPr>
        <w:snapToGrid w:val="0"/>
        <w:spacing w:beforeLines="50" w:after="50"/>
        <w:rPr>
          <w:rFonts w:ascii="宋体" w:hAnsi="宋体" w:eastAsia="宋体" w:cs="Times New Roman"/>
          <w:sz w:val="24"/>
          <w:szCs w:val="24"/>
        </w:rPr>
      </w:pPr>
    </w:p>
    <w:p w14:paraId="29E1D6DF">
      <w:pPr>
        <w:snapToGrid w:val="0"/>
        <w:spacing w:beforeLines="50" w:after="50"/>
        <w:rPr>
          <w:rFonts w:ascii="宋体" w:hAnsi="宋体" w:eastAsia="宋体" w:cs="Times New Roman"/>
          <w:sz w:val="24"/>
          <w:szCs w:val="24"/>
        </w:rPr>
      </w:pPr>
    </w:p>
    <w:p w14:paraId="710FC52E">
      <w:pPr>
        <w:snapToGrid w:val="0"/>
        <w:spacing w:beforeLines="50" w:after="50"/>
        <w:rPr>
          <w:rFonts w:ascii="宋体" w:hAnsi="宋体" w:eastAsia="宋体" w:cs="Times New Roman"/>
          <w:sz w:val="24"/>
          <w:szCs w:val="24"/>
        </w:rPr>
      </w:pPr>
    </w:p>
    <w:p w14:paraId="61E01909">
      <w:pPr>
        <w:snapToGrid w:val="0"/>
        <w:spacing w:beforeLines="50" w:after="50"/>
        <w:jc w:val="right"/>
        <w:rPr>
          <w:rFonts w:ascii="宋体" w:hAnsi="宋体" w:eastAsia="宋体" w:cs="Times New Roman"/>
          <w:sz w:val="32"/>
          <w:szCs w:val="32"/>
        </w:rPr>
      </w:pPr>
      <w:r>
        <w:rPr>
          <w:rFonts w:hint="eastAsia" w:ascii="宋体" w:hAnsi="宋体" w:eastAsia="宋体" w:cs="宋体"/>
        </w:rPr>
        <w:t>全流程电子文件</w:t>
      </w:r>
    </w:p>
    <w:p w14:paraId="7F55B574">
      <w:pPr>
        <w:snapToGrid w:val="0"/>
        <w:spacing w:beforeLines="50" w:after="50"/>
        <w:rPr>
          <w:rFonts w:ascii="宋体" w:hAnsi="宋体" w:eastAsia="宋体" w:cs="Times New Roman"/>
          <w:sz w:val="24"/>
          <w:szCs w:val="24"/>
        </w:rPr>
      </w:pPr>
    </w:p>
    <w:p w14:paraId="7F0EBA36">
      <w:pPr>
        <w:snapToGrid w:val="0"/>
        <w:spacing w:beforeLines="50" w:after="50"/>
        <w:jc w:val="center"/>
        <w:rPr>
          <w:rFonts w:ascii="宋体" w:hAnsi="宋体" w:eastAsia="宋体" w:cs="Times New Roman"/>
          <w:sz w:val="24"/>
          <w:szCs w:val="24"/>
        </w:rPr>
      </w:pPr>
      <w:r>
        <w:rPr>
          <w:rFonts w:hint="eastAsia" w:ascii="宋体" w:hAnsi="宋体" w:eastAsia="宋体" w:cs="宋体"/>
          <w:sz w:val="44"/>
          <w:szCs w:val="44"/>
        </w:rPr>
        <w:t>响</w:t>
      </w:r>
      <w:r>
        <w:rPr>
          <w:rFonts w:ascii="宋体" w:hAnsi="宋体" w:eastAsia="宋体" w:cs="宋体"/>
          <w:sz w:val="44"/>
          <w:szCs w:val="44"/>
        </w:rPr>
        <w:t xml:space="preserve">  </w:t>
      </w:r>
      <w:r>
        <w:rPr>
          <w:rFonts w:hint="eastAsia" w:ascii="宋体" w:hAnsi="宋体" w:eastAsia="宋体" w:cs="宋体"/>
          <w:sz w:val="44"/>
          <w:szCs w:val="44"/>
        </w:rPr>
        <w:t>应</w:t>
      </w:r>
      <w:r>
        <w:rPr>
          <w:rFonts w:ascii="宋体" w:hAnsi="宋体" w:eastAsia="宋体" w:cs="宋体"/>
          <w:sz w:val="44"/>
          <w:szCs w:val="44"/>
        </w:rPr>
        <w:t xml:space="preserve">  </w:t>
      </w:r>
      <w:r>
        <w:rPr>
          <w:rFonts w:hint="eastAsia" w:ascii="宋体" w:hAnsi="宋体" w:eastAsia="宋体" w:cs="宋体"/>
          <w:sz w:val="44"/>
          <w:szCs w:val="44"/>
        </w:rPr>
        <w:t>文</w:t>
      </w:r>
      <w:r>
        <w:rPr>
          <w:rFonts w:ascii="宋体" w:hAnsi="宋体" w:eastAsia="宋体" w:cs="宋体"/>
          <w:sz w:val="44"/>
          <w:szCs w:val="44"/>
        </w:rPr>
        <w:t xml:space="preserve">  </w:t>
      </w:r>
      <w:r>
        <w:rPr>
          <w:rFonts w:hint="eastAsia" w:ascii="宋体" w:hAnsi="宋体" w:eastAsia="宋体" w:cs="宋体"/>
          <w:sz w:val="44"/>
          <w:szCs w:val="44"/>
        </w:rPr>
        <w:t>件</w:t>
      </w:r>
    </w:p>
    <w:p w14:paraId="4BF4BA8D">
      <w:pPr>
        <w:snapToGrid w:val="0"/>
        <w:spacing w:beforeLines="50" w:after="50"/>
        <w:rPr>
          <w:rFonts w:ascii="宋体" w:hAnsi="宋体" w:eastAsia="宋体" w:cs="Times New Roman"/>
          <w:sz w:val="24"/>
          <w:szCs w:val="24"/>
        </w:rPr>
      </w:pPr>
    </w:p>
    <w:p w14:paraId="11864CC6">
      <w:pPr>
        <w:snapToGrid w:val="0"/>
        <w:spacing w:beforeLines="50" w:after="50"/>
        <w:rPr>
          <w:rFonts w:ascii="宋体" w:hAnsi="宋体" w:eastAsia="宋体" w:cs="Times New Roman"/>
          <w:sz w:val="24"/>
          <w:szCs w:val="24"/>
        </w:rPr>
      </w:pPr>
    </w:p>
    <w:p w14:paraId="0D42AA80">
      <w:pPr>
        <w:snapToGrid w:val="0"/>
        <w:spacing w:beforeLines="50" w:after="50"/>
        <w:jc w:val="center"/>
        <w:rPr>
          <w:rFonts w:ascii="宋体" w:hAnsi="宋体" w:eastAsia="宋体" w:cs="Times New Roman"/>
          <w:sz w:val="44"/>
          <w:szCs w:val="44"/>
        </w:rPr>
      </w:pPr>
      <w:r>
        <w:rPr>
          <w:rFonts w:hint="eastAsia" w:ascii="宋体" w:hAnsi="宋体" w:eastAsia="宋体" w:cs="宋体"/>
          <w:sz w:val="44"/>
          <w:szCs w:val="44"/>
        </w:rPr>
        <w:t>商</w:t>
      </w:r>
      <w:r>
        <w:rPr>
          <w:rFonts w:ascii="宋体" w:hAnsi="宋体" w:eastAsia="宋体" w:cs="宋体"/>
          <w:sz w:val="44"/>
          <w:szCs w:val="44"/>
        </w:rPr>
        <w:t xml:space="preserve"> </w:t>
      </w:r>
      <w:r>
        <w:rPr>
          <w:rFonts w:hint="eastAsia" w:ascii="宋体" w:hAnsi="宋体" w:eastAsia="宋体" w:cs="宋体"/>
          <w:sz w:val="44"/>
          <w:szCs w:val="44"/>
        </w:rPr>
        <w:t>务</w:t>
      </w:r>
      <w:r>
        <w:rPr>
          <w:rFonts w:ascii="宋体" w:hAnsi="宋体" w:eastAsia="宋体" w:cs="宋体"/>
          <w:sz w:val="44"/>
          <w:szCs w:val="44"/>
        </w:rPr>
        <w:t xml:space="preserve"> </w:t>
      </w:r>
      <w:r>
        <w:rPr>
          <w:rFonts w:hint="eastAsia" w:ascii="宋体" w:hAnsi="宋体" w:eastAsia="宋体" w:cs="宋体"/>
          <w:sz w:val="44"/>
          <w:szCs w:val="44"/>
        </w:rPr>
        <w:t>技</w:t>
      </w:r>
      <w:r>
        <w:rPr>
          <w:rFonts w:ascii="宋体" w:hAnsi="宋体" w:eastAsia="宋体" w:cs="宋体"/>
          <w:sz w:val="44"/>
          <w:szCs w:val="44"/>
        </w:rPr>
        <w:t xml:space="preserve"> </w:t>
      </w:r>
      <w:r>
        <w:rPr>
          <w:rFonts w:hint="eastAsia" w:ascii="宋体" w:hAnsi="宋体" w:eastAsia="宋体" w:cs="宋体"/>
          <w:sz w:val="44"/>
          <w:szCs w:val="44"/>
        </w:rPr>
        <w:t>术</w:t>
      </w:r>
      <w:r>
        <w:rPr>
          <w:rFonts w:ascii="宋体" w:hAnsi="宋体" w:eastAsia="宋体" w:cs="宋体"/>
          <w:sz w:val="44"/>
          <w:szCs w:val="44"/>
        </w:rPr>
        <w:t xml:space="preserve"> </w:t>
      </w:r>
      <w:r>
        <w:rPr>
          <w:rFonts w:hint="eastAsia" w:ascii="宋体" w:hAnsi="宋体" w:eastAsia="宋体" w:cs="宋体"/>
          <w:sz w:val="44"/>
          <w:szCs w:val="44"/>
        </w:rPr>
        <w:t>文</w:t>
      </w:r>
      <w:r>
        <w:rPr>
          <w:rFonts w:ascii="宋体" w:hAnsi="宋体" w:eastAsia="宋体" w:cs="宋体"/>
          <w:sz w:val="44"/>
          <w:szCs w:val="44"/>
        </w:rPr>
        <w:t xml:space="preserve"> </w:t>
      </w:r>
      <w:r>
        <w:rPr>
          <w:rFonts w:hint="eastAsia" w:ascii="宋体" w:hAnsi="宋体" w:eastAsia="宋体" w:cs="宋体"/>
          <w:sz w:val="44"/>
          <w:szCs w:val="44"/>
        </w:rPr>
        <w:t>件（封面）</w:t>
      </w:r>
    </w:p>
    <w:p w14:paraId="1D841C8C">
      <w:pPr>
        <w:snapToGrid w:val="0"/>
        <w:spacing w:beforeLines="50" w:after="50"/>
        <w:rPr>
          <w:rFonts w:ascii="宋体" w:hAnsi="宋体" w:eastAsia="宋体" w:cs="Times New Roman"/>
          <w:sz w:val="24"/>
          <w:szCs w:val="24"/>
        </w:rPr>
      </w:pPr>
    </w:p>
    <w:p w14:paraId="6ED47AFD">
      <w:pPr>
        <w:snapToGrid w:val="0"/>
        <w:spacing w:beforeLines="50" w:after="50"/>
        <w:rPr>
          <w:rFonts w:ascii="宋体" w:hAnsi="宋体" w:eastAsia="宋体" w:cs="Times New Roman"/>
          <w:sz w:val="24"/>
          <w:szCs w:val="24"/>
        </w:rPr>
      </w:pPr>
    </w:p>
    <w:p w14:paraId="7FFC75FF">
      <w:pPr>
        <w:snapToGrid w:val="0"/>
        <w:spacing w:beforeLines="50" w:after="50"/>
        <w:rPr>
          <w:rFonts w:ascii="宋体" w:hAnsi="宋体" w:eastAsia="宋体" w:cs="Times New Roman"/>
          <w:sz w:val="24"/>
          <w:szCs w:val="24"/>
        </w:rPr>
      </w:pPr>
    </w:p>
    <w:p w14:paraId="2A0DD46F">
      <w:pPr>
        <w:snapToGrid w:val="0"/>
        <w:spacing w:beforeLines="50" w:after="50"/>
        <w:rPr>
          <w:rFonts w:ascii="宋体" w:hAnsi="宋体" w:eastAsia="宋体" w:cs="Times New Roman"/>
          <w:sz w:val="24"/>
          <w:szCs w:val="24"/>
        </w:rPr>
      </w:pPr>
    </w:p>
    <w:p w14:paraId="01D05D2A">
      <w:pPr>
        <w:snapToGrid w:val="0"/>
        <w:spacing w:beforeLines="50" w:after="50"/>
        <w:rPr>
          <w:rFonts w:ascii="宋体" w:hAnsi="宋体" w:eastAsia="宋体" w:cs="Times New Roman"/>
          <w:sz w:val="24"/>
          <w:szCs w:val="24"/>
        </w:rPr>
      </w:pPr>
    </w:p>
    <w:p w14:paraId="5CB77C86">
      <w:pPr>
        <w:snapToGrid w:val="0"/>
        <w:spacing w:beforeLines="50" w:after="50"/>
        <w:rPr>
          <w:rFonts w:ascii="宋体" w:hAnsi="宋体" w:eastAsia="宋体" w:cs="Times New Roman"/>
          <w:sz w:val="24"/>
          <w:szCs w:val="24"/>
        </w:rPr>
      </w:pPr>
    </w:p>
    <w:p w14:paraId="5E895308">
      <w:pPr>
        <w:snapToGrid w:val="0"/>
        <w:spacing w:beforeLines="50" w:after="50"/>
        <w:rPr>
          <w:rFonts w:ascii="宋体" w:hAnsi="宋体" w:eastAsia="宋体" w:cs="Times New Roman"/>
          <w:sz w:val="24"/>
          <w:szCs w:val="24"/>
        </w:rPr>
      </w:pPr>
    </w:p>
    <w:p w14:paraId="2244BA1C">
      <w:pPr>
        <w:snapToGrid w:val="0"/>
        <w:spacing w:beforeLines="50" w:after="50"/>
        <w:rPr>
          <w:rFonts w:ascii="宋体" w:hAnsi="宋体" w:eastAsia="宋体" w:cs="Times New Roman"/>
          <w:sz w:val="24"/>
          <w:szCs w:val="24"/>
        </w:rPr>
      </w:pPr>
    </w:p>
    <w:p w14:paraId="5234F8E4">
      <w:pPr>
        <w:snapToGrid w:val="0"/>
        <w:spacing w:beforeLines="50" w:after="50"/>
        <w:rPr>
          <w:rFonts w:ascii="宋体" w:hAnsi="宋体" w:eastAsia="宋体" w:cs="宋体"/>
          <w:sz w:val="32"/>
          <w:szCs w:val="32"/>
        </w:rPr>
      </w:pPr>
      <w:r>
        <w:rPr>
          <w:rFonts w:hint="eastAsia" w:ascii="宋体" w:hAnsi="宋体" w:eastAsia="宋体" w:cs="宋体"/>
          <w:sz w:val="32"/>
          <w:szCs w:val="32"/>
        </w:rPr>
        <w:t>项目名称：</w:t>
      </w:r>
      <w:r>
        <w:rPr>
          <w:rFonts w:ascii="宋体" w:hAnsi="宋体" w:eastAsia="宋体" w:cs="宋体"/>
          <w:sz w:val="32"/>
          <w:szCs w:val="32"/>
        </w:rPr>
        <w:t xml:space="preserve"> </w:t>
      </w:r>
    </w:p>
    <w:p w14:paraId="768ECBFD">
      <w:pPr>
        <w:snapToGrid w:val="0"/>
        <w:spacing w:beforeLines="50" w:after="50"/>
        <w:rPr>
          <w:rFonts w:ascii="宋体" w:hAnsi="宋体" w:eastAsia="宋体" w:cs="宋体"/>
          <w:sz w:val="32"/>
          <w:szCs w:val="32"/>
        </w:rPr>
      </w:pPr>
    </w:p>
    <w:p w14:paraId="538AC5A8">
      <w:pPr>
        <w:snapToGrid w:val="0"/>
        <w:spacing w:beforeLines="50" w:after="50"/>
        <w:rPr>
          <w:rFonts w:ascii="宋体" w:hAnsi="宋体" w:eastAsia="宋体" w:cs="Times New Roman"/>
          <w:sz w:val="32"/>
          <w:szCs w:val="32"/>
        </w:rPr>
      </w:pPr>
      <w:r>
        <w:rPr>
          <w:rFonts w:hint="eastAsia" w:ascii="宋体" w:hAnsi="宋体" w:eastAsia="宋体" w:cs="宋体"/>
          <w:sz w:val="32"/>
          <w:szCs w:val="32"/>
        </w:rPr>
        <w:t>项目编号：</w:t>
      </w:r>
    </w:p>
    <w:p w14:paraId="107A2C2D">
      <w:pPr>
        <w:snapToGrid w:val="0"/>
        <w:spacing w:beforeLines="50" w:after="50"/>
        <w:rPr>
          <w:rFonts w:ascii="宋体" w:hAnsi="宋体" w:eastAsia="宋体" w:cs="Times New Roman"/>
          <w:sz w:val="32"/>
          <w:szCs w:val="32"/>
        </w:rPr>
      </w:pPr>
    </w:p>
    <w:p w14:paraId="7B9B6A12">
      <w:pPr>
        <w:snapToGrid w:val="0"/>
        <w:spacing w:beforeLines="50" w:after="50"/>
        <w:rPr>
          <w:rFonts w:ascii="宋体" w:hAnsi="宋体" w:eastAsia="宋体" w:cs="Times New Roman"/>
          <w:sz w:val="32"/>
          <w:szCs w:val="32"/>
        </w:rPr>
      </w:pPr>
      <w:r>
        <w:rPr>
          <w:rFonts w:hint="eastAsia" w:ascii="宋体" w:hAnsi="宋体" w:eastAsia="宋体" w:cs="宋体"/>
          <w:sz w:val="32"/>
          <w:szCs w:val="32"/>
        </w:rPr>
        <w:t>所竞分标（如有则填写，无分标时填写“无”或者留空）：</w:t>
      </w:r>
    </w:p>
    <w:p w14:paraId="64197411">
      <w:pPr>
        <w:snapToGrid w:val="0"/>
        <w:spacing w:beforeLines="50" w:after="50"/>
        <w:rPr>
          <w:rFonts w:ascii="宋体" w:hAnsi="宋体" w:eastAsia="宋体" w:cs="Times New Roman"/>
          <w:sz w:val="32"/>
          <w:szCs w:val="32"/>
        </w:rPr>
      </w:pPr>
    </w:p>
    <w:p w14:paraId="679995A0">
      <w:pPr>
        <w:pStyle w:val="7"/>
        <w:snapToGrid w:val="0"/>
        <w:spacing w:before="50" w:after="50"/>
        <w:ind w:firstLine="0"/>
        <w:rPr>
          <w:rFonts w:ascii="宋体"/>
          <w:sz w:val="32"/>
          <w:szCs w:val="32"/>
        </w:rPr>
      </w:pPr>
      <w:r>
        <w:rPr>
          <w:rFonts w:hint="eastAsia" w:ascii="宋体" w:hAnsi="宋体" w:cs="宋体"/>
          <w:sz w:val="32"/>
          <w:szCs w:val="32"/>
        </w:rPr>
        <w:t>供应商名称：</w:t>
      </w:r>
    </w:p>
    <w:p w14:paraId="5CAED84D">
      <w:pPr>
        <w:pStyle w:val="7"/>
        <w:snapToGrid w:val="0"/>
        <w:spacing w:before="50" w:after="50"/>
        <w:ind w:firstLine="0"/>
        <w:rPr>
          <w:rFonts w:ascii="宋体"/>
          <w:sz w:val="32"/>
          <w:szCs w:val="32"/>
        </w:rPr>
      </w:pPr>
    </w:p>
    <w:p w14:paraId="7E6444D6">
      <w:pPr>
        <w:pStyle w:val="7"/>
        <w:snapToGrid w:val="0"/>
        <w:spacing w:before="50" w:after="50"/>
        <w:ind w:firstLine="0"/>
        <w:rPr>
          <w:rFonts w:ascii="宋体"/>
          <w:sz w:val="32"/>
          <w:szCs w:val="32"/>
        </w:rPr>
      </w:pPr>
    </w:p>
    <w:p w14:paraId="22A40F35">
      <w:pPr>
        <w:pStyle w:val="7"/>
        <w:snapToGrid w:val="0"/>
        <w:spacing w:before="50" w:after="50"/>
        <w:ind w:firstLine="0"/>
        <w:rPr>
          <w:rFonts w:ascii="宋体"/>
          <w:sz w:val="32"/>
          <w:szCs w:val="32"/>
        </w:rPr>
      </w:pPr>
    </w:p>
    <w:p w14:paraId="51F9894E">
      <w:pPr>
        <w:snapToGrid w:val="0"/>
        <w:spacing w:beforeLines="50" w:after="50"/>
        <w:jc w:val="center"/>
        <w:rPr>
          <w:rFonts w:ascii="宋体" w:hAnsi="宋体" w:eastAsia="宋体" w:cs="Times New Roman"/>
          <w:sz w:val="32"/>
          <w:szCs w:val="32"/>
        </w:rPr>
      </w:pPr>
      <w:r>
        <w:rPr>
          <w:rFonts w:hint="eastAsia" w:ascii="宋体" w:hAnsi="宋体" w:eastAsia="宋体" w:cs="宋体"/>
          <w:sz w:val="32"/>
          <w:szCs w:val="32"/>
        </w:rPr>
        <w:t>年</w:t>
      </w:r>
      <w:r>
        <w:rPr>
          <w:rFonts w:ascii="宋体" w:hAnsi="宋体" w:eastAsia="宋体" w:cs="宋体"/>
          <w:sz w:val="32"/>
          <w:szCs w:val="32"/>
        </w:rPr>
        <w:t xml:space="preserve">    </w:t>
      </w:r>
      <w:r>
        <w:rPr>
          <w:rFonts w:hint="eastAsia" w:ascii="宋体" w:hAnsi="宋体" w:eastAsia="宋体" w:cs="宋体"/>
          <w:sz w:val="32"/>
          <w:szCs w:val="32"/>
        </w:rPr>
        <w:t>月</w:t>
      </w:r>
      <w:r>
        <w:rPr>
          <w:rFonts w:ascii="宋体" w:hAnsi="宋体" w:eastAsia="宋体" w:cs="宋体"/>
          <w:sz w:val="32"/>
          <w:szCs w:val="32"/>
        </w:rPr>
        <w:t xml:space="preserve">    </w:t>
      </w:r>
      <w:r>
        <w:rPr>
          <w:rFonts w:hint="eastAsia" w:ascii="宋体" w:hAnsi="宋体" w:eastAsia="宋体" w:cs="宋体"/>
          <w:sz w:val="32"/>
          <w:szCs w:val="32"/>
        </w:rPr>
        <w:t>日</w:t>
      </w:r>
    </w:p>
    <w:p w14:paraId="28FA4A56">
      <w:pPr>
        <w:widowControl/>
        <w:spacing w:line="360" w:lineRule="auto"/>
        <w:jc w:val="left"/>
        <w:rPr>
          <w:rFonts w:ascii="宋体" w:hAnsi="宋体" w:eastAsia="宋体" w:cs="Times New Roman"/>
          <w:b/>
          <w:bCs/>
          <w:sz w:val="32"/>
          <w:szCs w:val="32"/>
        </w:rPr>
        <w:sectPr>
          <w:pgSz w:w="11910" w:h="16840"/>
          <w:pgMar w:top="1247" w:right="1361" w:bottom="1247" w:left="1361" w:header="720" w:footer="720" w:gutter="0"/>
          <w:cols w:space="720" w:num="1"/>
        </w:sectPr>
      </w:pPr>
    </w:p>
    <w:p w14:paraId="41E2E65D">
      <w:pPr>
        <w:jc w:val="center"/>
        <w:rPr>
          <w:rFonts w:ascii="宋体" w:hAnsi="宋体" w:eastAsia="宋体" w:cs="Times New Roman"/>
          <w:b/>
          <w:bCs/>
          <w:kern w:val="0"/>
          <w:sz w:val="32"/>
          <w:szCs w:val="32"/>
        </w:rPr>
      </w:pPr>
      <w:r>
        <w:rPr>
          <w:rFonts w:hint="eastAsia" w:ascii="宋体" w:hAnsi="宋体" w:eastAsia="宋体" w:cs="宋体"/>
          <w:b/>
          <w:bCs/>
          <w:kern w:val="0"/>
          <w:sz w:val="32"/>
          <w:szCs w:val="32"/>
        </w:rPr>
        <w:t>商务技术文件目录</w:t>
      </w:r>
    </w:p>
    <w:p w14:paraId="79CD6A68">
      <w:pPr>
        <w:jc w:val="center"/>
        <w:rPr>
          <w:rFonts w:ascii="宋体" w:hAnsi="宋体" w:eastAsia="宋体" w:cs="Times New Roman"/>
          <w:b/>
          <w:bCs/>
          <w:kern w:val="0"/>
        </w:rPr>
      </w:pPr>
    </w:p>
    <w:p w14:paraId="0C230CAB">
      <w:pPr>
        <w:jc w:val="center"/>
        <w:rPr>
          <w:rFonts w:ascii="宋体" w:hAnsi="宋体" w:eastAsia="宋体" w:cs="Times New Roman"/>
          <w:b/>
          <w:bCs/>
          <w:kern w:val="0"/>
        </w:rPr>
      </w:pPr>
    </w:p>
    <w:p w14:paraId="6761381B">
      <w:pPr>
        <w:pStyle w:val="133"/>
        <w:spacing w:line="500" w:lineRule="exact"/>
        <w:ind w:left="0" w:firstLine="0" w:firstLineChars="0"/>
        <w:rPr>
          <w:rFonts w:ascii="宋体" w:hAnsi="宋体" w:eastAsia="宋体" w:cs="Times New Roman"/>
          <w:sz w:val="21"/>
          <w:szCs w:val="21"/>
        </w:rPr>
      </w:pPr>
      <w:r>
        <w:rPr>
          <w:rFonts w:hint="eastAsia" w:ascii="宋体" w:hAnsi="宋体" w:eastAsia="宋体" w:cs="宋体"/>
          <w:sz w:val="21"/>
          <w:szCs w:val="21"/>
        </w:rPr>
        <w:t>一、无串通竞标行为的承诺函………………………………………………………（页码）</w:t>
      </w:r>
    </w:p>
    <w:p w14:paraId="40C29EB9">
      <w:pPr>
        <w:pStyle w:val="133"/>
        <w:spacing w:line="500" w:lineRule="exact"/>
        <w:ind w:left="0" w:firstLine="0" w:firstLineChars="0"/>
        <w:rPr>
          <w:rFonts w:ascii="宋体" w:hAnsi="宋体" w:eastAsia="宋体" w:cs="Times New Roman"/>
          <w:sz w:val="21"/>
          <w:szCs w:val="21"/>
        </w:rPr>
      </w:pPr>
      <w:r>
        <w:rPr>
          <w:rFonts w:hint="eastAsia" w:ascii="宋体" w:hAnsi="宋体" w:eastAsia="宋体" w:cs="宋体"/>
          <w:sz w:val="21"/>
          <w:szCs w:val="21"/>
        </w:rPr>
        <w:t>二、法定代表人身份证明书及法定代表人有效身份证正反面复印件……………（页码）</w:t>
      </w:r>
    </w:p>
    <w:p w14:paraId="20340659">
      <w:pPr>
        <w:pStyle w:val="133"/>
        <w:spacing w:line="500" w:lineRule="exact"/>
        <w:ind w:left="0" w:firstLine="0" w:firstLineChars="0"/>
        <w:rPr>
          <w:rFonts w:ascii="宋体" w:hAnsi="宋体" w:eastAsia="宋体" w:cs="Times New Roman"/>
          <w:sz w:val="21"/>
          <w:szCs w:val="21"/>
        </w:rPr>
      </w:pPr>
      <w:r>
        <w:rPr>
          <w:rFonts w:hint="eastAsia" w:ascii="宋体" w:hAnsi="宋体" w:eastAsia="宋体" w:cs="宋体"/>
          <w:sz w:val="21"/>
          <w:szCs w:val="21"/>
        </w:rPr>
        <w:t>三、法定代表人授权委托书及委托代理人有效身份证正反面复印件（如有委托时）…（页码）</w:t>
      </w:r>
    </w:p>
    <w:p w14:paraId="74548922">
      <w:pPr>
        <w:pStyle w:val="133"/>
        <w:spacing w:line="500" w:lineRule="exact"/>
        <w:ind w:left="0" w:firstLine="0" w:firstLineChars="0"/>
        <w:rPr>
          <w:rFonts w:ascii="宋体" w:hAnsi="宋体" w:eastAsia="宋体" w:cs="Times New Roman"/>
          <w:sz w:val="21"/>
          <w:szCs w:val="21"/>
        </w:rPr>
      </w:pPr>
      <w:r>
        <w:rPr>
          <w:rFonts w:hint="eastAsia" w:ascii="宋体" w:hAnsi="宋体" w:eastAsia="宋体" w:cs="宋体"/>
          <w:sz w:val="21"/>
          <w:szCs w:val="21"/>
        </w:rPr>
        <w:t>四、</w:t>
      </w:r>
      <w:r>
        <w:rPr>
          <w:rFonts w:hint="eastAsia" w:ascii="宋体" w:hAnsi="宋体" w:eastAsia="宋体" w:cs="宋体"/>
          <w:sz w:val="21"/>
          <w:szCs w:val="21"/>
          <w:lang w:val="zh-CN"/>
        </w:rPr>
        <w:t>商务条款偏离表</w:t>
      </w:r>
      <w:r>
        <w:rPr>
          <w:rFonts w:hint="eastAsia" w:ascii="宋体" w:hAnsi="宋体" w:eastAsia="宋体" w:cs="宋体"/>
          <w:sz w:val="21"/>
          <w:szCs w:val="21"/>
        </w:rPr>
        <w:t>…………………………………………………………………（页码）</w:t>
      </w:r>
    </w:p>
    <w:p w14:paraId="6FFED45D">
      <w:pPr>
        <w:pStyle w:val="133"/>
        <w:spacing w:line="500" w:lineRule="exact"/>
        <w:ind w:left="0" w:firstLine="0" w:firstLineChars="0"/>
        <w:rPr>
          <w:rFonts w:ascii="宋体" w:hAnsi="宋体" w:eastAsia="宋体" w:cs="Times New Roman"/>
          <w:sz w:val="21"/>
          <w:szCs w:val="21"/>
        </w:rPr>
      </w:pPr>
      <w:r>
        <w:rPr>
          <w:rFonts w:hint="eastAsia" w:ascii="宋体" w:hAnsi="宋体" w:eastAsia="宋体" w:cs="宋体"/>
          <w:sz w:val="21"/>
          <w:szCs w:val="21"/>
        </w:rPr>
        <w:t>五、技术偏离表………………………………………………………………………（页码）</w:t>
      </w:r>
    </w:p>
    <w:p w14:paraId="4C6456DB">
      <w:pPr>
        <w:pStyle w:val="133"/>
        <w:spacing w:line="500" w:lineRule="exact"/>
        <w:ind w:left="0" w:firstLine="0" w:firstLineChars="0"/>
        <w:rPr>
          <w:rFonts w:ascii="宋体" w:hAnsi="宋体" w:eastAsia="宋体" w:cs="Times New Roman"/>
          <w:sz w:val="21"/>
          <w:szCs w:val="21"/>
        </w:rPr>
      </w:pPr>
      <w:r>
        <w:rPr>
          <w:rFonts w:hint="eastAsia" w:ascii="宋体" w:hAnsi="宋体" w:eastAsia="宋体" w:cs="宋体"/>
          <w:sz w:val="21"/>
          <w:szCs w:val="21"/>
        </w:rPr>
        <w:t>六、</w:t>
      </w:r>
      <w:r>
        <w:rPr>
          <w:rFonts w:hint="eastAsia" w:ascii="宋体" w:eastAsia="宋体" w:cs="宋体"/>
          <w:kern w:val="0"/>
          <w:sz w:val="21"/>
          <w:szCs w:val="21"/>
        </w:rPr>
        <w:t>项目实施方案</w:t>
      </w:r>
      <w:r>
        <w:rPr>
          <w:rFonts w:hint="eastAsia" w:ascii="宋体" w:hAnsi="宋体" w:eastAsia="宋体" w:cs="宋体"/>
          <w:sz w:val="21"/>
          <w:szCs w:val="21"/>
          <w:lang w:val="zh-CN"/>
        </w:rPr>
        <w:t>………………………………</w:t>
      </w:r>
      <w:r>
        <w:rPr>
          <w:rFonts w:hint="eastAsia" w:ascii="宋体" w:hAnsi="宋体" w:eastAsia="宋体" w:cs="宋体"/>
          <w:sz w:val="21"/>
          <w:szCs w:val="21"/>
        </w:rPr>
        <w:t>……………………………………（页码）</w:t>
      </w:r>
    </w:p>
    <w:p w14:paraId="16BD7121">
      <w:pPr>
        <w:pStyle w:val="133"/>
        <w:spacing w:line="500" w:lineRule="exact"/>
        <w:ind w:left="0" w:firstLine="0" w:firstLineChars="0"/>
        <w:rPr>
          <w:rFonts w:ascii="宋体" w:hAnsi="宋体" w:eastAsia="宋体" w:cs="Times New Roman"/>
          <w:sz w:val="21"/>
          <w:szCs w:val="21"/>
        </w:rPr>
      </w:pPr>
      <w:bookmarkStart w:id="108" w:name="OLE_LINK6"/>
      <w:bookmarkStart w:id="109" w:name="OLE_LINK7"/>
      <w:bookmarkStart w:id="110" w:name="OLE_LINK5"/>
      <w:r>
        <w:rPr>
          <w:rFonts w:hint="eastAsia" w:ascii="宋体" w:hAnsi="宋体" w:eastAsia="宋体" w:cs="宋体"/>
          <w:sz w:val="21"/>
          <w:szCs w:val="21"/>
        </w:rPr>
        <w:t>七、项目经理简历表…………………………………………………………………（页码）</w:t>
      </w:r>
    </w:p>
    <w:p w14:paraId="159164FC">
      <w:pPr>
        <w:pStyle w:val="133"/>
        <w:spacing w:line="500" w:lineRule="exact"/>
        <w:ind w:left="0" w:firstLine="0" w:firstLineChars="0"/>
        <w:rPr>
          <w:rFonts w:ascii="宋体" w:hAnsi="宋体" w:eastAsia="宋体" w:cs="Times New Roman"/>
          <w:sz w:val="21"/>
          <w:szCs w:val="21"/>
        </w:rPr>
      </w:pPr>
      <w:r>
        <w:rPr>
          <w:rFonts w:hint="eastAsia" w:ascii="宋体" w:hAnsi="宋体" w:eastAsia="宋体" w:cs="宋体"/>
          <w:sz w:val="21"/>
          <w:szCs w:val="21"/>
        </w:rPr>
        <w:t>八、项目管理机构配备情况表</w:t>
      </w:r>
      <w:r>
        <w:rPr>
          <w:rFonts w:hint="eastAsia" w:ascii="宋体" w:hAnsi="宋体" w:eastAsia="宋体" w:cs="宋体"/>
          <w:sz w:val="21"/>
          <w:szCs w:val="21"/>
          <w:lang w:val="zh-CN"/>
        </w:rPr>
        <w:t>………………………………………………………</w:t>
      </w:r>
      <w:r>
        <w:rPr>
          <w:rFonts w:hint="eastAsia" w:ascii="宋体" w:hAnsi="宋体" w:eastAsia="宋体" w:cs="宋体"/>
          <w:sz w:val="21"/>
          <w:szCs w:val="21"/>
        </w:rPr>
        <w:t>（页码）</w:t>
      </w:r>
    </w:p>
    <w:p w14:paraId="09E8B3E4">
      <w:pPr>
        <w:pStyle w:val="133"/>
        <w:spacing w:line="500" w:lineRule="exact"/>
        <w:ind w:left="0" w:firstLine="0" w:firstLineChars="0"/>
        <w:rPr>
          <w:rFonts w:ascii="宋体" w:hAnsi="宋体" w:eastAsia="宋体" w:cs="Times New Roman"/>
          <w:sz w:val="21"/>
          <w:szCs w:val="21"/>
        </w:rPr>
      </w:pPr>
      <w:r>
        <w:rPr>
          <w:rFonts w:hint="eastAsia" w:ascii="宋体" w:hAnsi="宋体" w:eastAsia="宋体" w:cs="宋体"/>
          <w:sz w:val="21"/>
          <w:szCs w:val="21"/>
        </w:rPr>
        <w:t>九、</w:t>
      </w:r>
      <w:bookmarkEnd w:id="108"/>
      <w:bookmarkEnd w:id="109"/>
      <w:bookmarkEnd w:id="110"/>
      <w:r>
        <w:rPr>
          <w:rFonts w:hint="eastAsia" w:ascii="宋体" w:hAnsi="宋体" w:eastAsia="宋体" w:cs="宋体"/>
          <w:sz w:val="21"/>
          <w:szCs w:val="21"/>
        </w:rPr>
        <w:t>供应商认为需要提供的其他有关资料…………………………………………（页码）</w:t>
      </w:r>
    </w:p>
    <w:p w14:paraId="108CABEF">
      <w:pPr>
        <w:spacing w:line="500" w:lineRule="exact"/>
        <w:rPr>
          <w:rFonts w:ascii="宋体" w:hAnsi="宋体" w:eastAsia="宋体" w:cs="Times New Roman"/>
          <w:b/>
          <w:bCs/>
        </w:rPr>
      </w:pPr>
      <w:r>
        <w:rPr>
          <w:rFonts w:hint="eastAsia" w:ascii="宋体" w:hAnsi="宋体" w:eastAsia="宋体" w:cs="宋体"/>
          <w:b/>
          <w:bCs/>
        </w:rPr>
        <w:t>注：以上目录是基本格式要求，各供应商可根据自身情况进一步向下增加内容或细化。</w:t>
      </w:r>
    </w:p>
    <w:p w14:paraId="50E75420">
      <w:pPr>
        <w:spacing w:line="400" w:lineRule="exact"/>
        <w:rPr>
          <w:rFonts w:ascii="宋体" w:hAnsi="宋体" w:eastAsia="宋体" w:cs="Times New Roman"/>
          <w:sz w:val="32"/>
          <w:szCs w:val="32"/>
        </w:rPr>
      </w:pPr>
    </w:p>
    <w:p w14:paraId="78248F47">
      <w:pPr>
        <w:spacing w:line="520" w:lineRule="exact"/>
        <w:rPr>
          <w:rFonts w:ascii="宋体" w:hAnsi="宋体" w:eastAsia="宋体" w:cs="Times New Roman"/>
          <w:sz w:val="44"/>
          <w:szCs w:val="44"/>
        </w:rPr>
      </w:pPr>
      <w:r>
        <w:rPr>
          <w:rFonts w:ascii="宋体" w:hAnsi="宋体" w:eastAsia="宋体" w:cs="Times New Roman"/>
          <w:sz w:val="44"/>
          <w:szCs w:val="44"/>
        </w:rPr>
        <w:br w:type="page"/>
      </w:r>
    </w:p>
    <w:p w14:paraId="5413B06E">
      <w:pPr>
        <w:spacing w:line="520" w:lineRule="exact"/>
        <w:jc w:val="left"/>
        <w:rPr>
          <w:rFonts w:ascii="宋体" w:hAnsi="宋体" w:eastAsia="宋体" w:cs="Times New Roman"/>
          <w:b/>
          <w:bCs/>
          <w:sz w:val="28"/>
          <w:szCs w:val="28"/>
        </w:rPr>
      </w:pPr>
      <w:r>
        <w:rPr>
          <w:rFonts w:hint="eastAsia" w:ascii="宋体" w:hAnsi="宋体" w:eastAsia="宋体" w:cs="宋体"/>
          <w:b/>
          <w:bCs/>
          <w:sz w:val="28"/>
          <w:szCs w:val="28"/>
        </w:rPr>
        <w:t>一、无串通竞标行为的承诺函</w:t>
      </w:r>
    </w:p>
    <w:p w14:paraId="2362D54D">
      <w:pPr>
        <w:spacing w:line="520" w:lineRule="exact"/>
        <w:jc w:val="center"/>
        <w:rPr>
          <w:rFonts w:ascii="宋体" w:hAnsi="宋体" w:eastAsia="宋体" w:cs="Times New Roman"/>
          <w:b/>
          <w:bCs/>
          <w:sz w:val="32"/>
          <w:szCs w:val="32"/>
        </w:rPr>
      </w:pPr>
    </w:p>
    <w:p w14:paraId="281BD39A">
      <w:pPr>
        <w:spacing w:line="520" w:lineRule="exact"/>
        <w:jc w:val="center"/>
        <w:rPr>
          <w:rFonts w:ascii="宋体" w:hAnsi="宋体" w:eastAsia="宋体" w:cs="Times New Roman"/>
          <w:b/>
          <w:bCs/>
          <w:sz w:val="32"/>
          <w:szCs w:val="32"/>
        </w:rPr>
      </w:pPr>
      <w:r>
        <w:rPr>
          <w:rFonts w:hint="eastAsia" w:ascii="宋体" w:hAnsi="宋体" w:eastAsia="宋体" w:cs="宋体"/>
          <w:b/>
          <w:bCs/>
          <w:sz w:val="32"/>
          <w:szCs w:val="32"/>
        </w:rPr>
        <w:t>无串通竞标行为的承诺函</w:t>
      </w:r>
    </w:p>
    <w:p w14:paraId="28DE3829">
      <w:pPr>
        <w:spacing w:line="520" w:lineRule="exact"/>
        <w:rPr>
          <w:rFonts w:ascii="宋体" w:hAnsi="宋体" w:eastAsia="宋体" w:cs="Times New Roman"/>
          <w:sz w:val="32"/>
          <w:szCs w:val="32"/>
        </w:rPr>
      </w:pPr>
    </w:p>
    <w:p w14:paraId="60D79B74">
      <w:pPr>
        <w:spacing w:line="500" w:lineRule="exact"/>
        <w:rPr>
          <w:rFonts w:ascii="宋体" w:hAnsi="宋体" w:eastAsia="宋体" w:cs="Times New Roman"/>
          <w:b/>
          <w:bCs/>
        </w:rPr>
      </w:pPr>
      <w:r>
        <w:rPr>
          <w:rFonts w:hint="eastAsia" w:ascii="宋体" w:hAnsi="宋体" w:eastAsia="宋体" w:cs="宋体"/>
          <w:b/>
          <w:bCs/>
        </w:rPr>
        <w:t>一、我方承诺无下列相互串通竞标的情形：</w:t>
      </w:r>
    </w:p>
    <w:p w14:paraId="0D138B28">
      <w:pPr>
        <w:spacing w:line="500" w:lineRule="exact"/>
        <w:rPr>
          <w:rFonts w:ascii="宋体" w:hAnsi="宋体" w:eastAsia="宋体" w:cs="Times New Roman"/>
        </w:rPr>
      </w:pPr>
      <w:r>
        <w:rPr>
          <w:rFonts w:ascii="宋体" w:hAnsi="宋体" w:eastAsia="宋体" w:cs="宋体"/>
        </w:rPr>
        <w:t>1.</w:t>
      </w:r>
      <w:r>
        <w:rPr>
          <w:rFonts w:hint="eastAsia" w:ascii="宋体" w:hAnsi="宋体" w:eastAsia="宋体" w:cs="宋体"/>
        </w:rPr>
        <w:t>不同供应商的响应文件由同一单位或者个人编制；或者不同供应商报名的</w:t>
      </w:r>
      <w:r>
        <w:rPr>
          <w:rFonts w:ascii="宋体" w:hAnsi="宋体" w:eastAsia="宋体" w:cs="宋体"/>
        </w:rPr>
        <w:t>IP</w:t>
      </w:r>
      <w:r>
        <w:rPr>
          <w:rFonts w:hint="eastAsia" w:ascii="宋体" w:hAnsi="宋体" w:eastAsia="宋体" w:cs="宋体"/>
        </w:rPr>
        <w:t>地址一致的；或者编制响应文件硬件设备</w:t>
      </w:r>
      <w:r>
        <w:rPr>
          <w:rFonts w:ascii="宋体" w:hAnsi="宋体" w:eastAsia="宋体" w:cs="宋体"/>
        </w:rPr>
        <w:t>CPU</w:t>
      </w:r>
      <w:r>
        <w:rPr>
          <w:rFonts w:hint="eastAsia" w:ascii="宋体" w:hAnsi="宋体" w:eastAsia="宋体" w:cs="宋体"/>
        </w:rPr>
        <w:t>编号、硬盘编号、网卡地址一致的情况。</w:t>
      </w:r>
    </w:p>
    <w:p w14:paraId="7795FF15">
      <w:pPr>
        <w:spacing w:line="500" w:lineRule="exact"/>
        <w:rPr>
          <w:rFonts w:ascii="宋体" w:hAnsi="宋体" w:eastAsia="宋体" w:cs="Times New Roman"/>
        </w:rPr>
      </w:pPr>
      <w:r>
        <w:rPr>
          <w:rFonts w:ascii="宋体" w:hAnsi="宋体" w:eastAsia="宋体" w:cs="宋体"/>
        </w:rPr>
        <w:t>2.</w:t>
      </w:r>
      <w:r>
        <w:rPr>
          <w:rFonts w:hint="eastAsia" w:ascii="宋体" w:hAnsi="宋体" w:eastAsia="宋体" w:cs="宋体"/>
        </w:rPr>
        <w:t>不同供应商委托同一单位或者个人办理竞标事宜；</w:t>
      </w:r>
    </w:p>
    <w:p w14:paraId="1DE87C5A">
      <w:pPr>
        <w:spacing w:line="500" w:lineRule="exact"/>
        <w:rPr>
          <w:rFonts w:ascii="宋体" w:hAnsi="宋体" w:eastAsia="宋体" w:cs="Times New Roman"/>
        </w:rPr>
      </w:pPr>
      <w:r>
        <w:rPr>
          <w:rFonts w:ascii="宋体" w:hAnsi="宋体" w:eastAsia="宋体" w:cs="宋体"/>
        </w:rPr>
        <w:t>3.</w:t>
      </w:r>
      <w:r>
        <w:rPr>
          <w:rFonts w:hint="eastAsia" w:ascii="宋体" w:hAnsi="宋体" w:eastAsia="宋体" w:cs="宋体"/>
        </w:rPr>
        <w:t>不同供应商的响应文件载明的项目管理员为同一个人；</w:t>
      </w:r>
    </w:p>
    <w:p w14:paraId="5B5A4FBE">
      <w:pPr>
        <w:spacing w:line="500" w:lineRule="exact"/>
        <w:rPr>
          <w:rFonts w:ascii="宋体" w:hAnsi="宋体" w:eastAsia="宋体" w:cs="Times New Roman"/>
        </w:rPr>
      </w:pPr>
      <w:r>
        <w:rPr>
          <w:rFonts w:ascii="宋体" w:hAnsi="宋体" w:eastAsia="宋体" w:cs="宋体"/>
        </w:rPr>
        <w:t>4.</w:t>
      </w:r>
      <w:r>
        <w:rPr>
          <w:rFonts w:hint="eastAsia" w:ascii="宋体" w:hAnsi="宋体" w:eastAsia="宋体" w:cs="宋体"/>
        </w:rPr>
        <w:t>不</w:t>
      </w:r>
      <w:r>
        <w:rPr>
          <w:rFonts w:hint="eastAsia" w:ascii="宋体" w:hAnsi="宋体" w:eastAsia="宋体" w:cs="宋体"/>
          <w:spacing w:val="-6"/>
        </w:rPr>
        <w:t>同供应商的响应文件异常一致或者响应报价呈规律性差异；</w:t>
      </w:r>
    </w:p>
    <w:p w14:paraId="2693380E">
      <w:pPr>
        <w:spacing w:line="500" w:lineRule="exact"/>
        <w:rPr>
          <w:rFonts w:ascii="宋体" w:hAnsi="宋体" w:eastAsia="宋体" w:cs="Times New Roman"/>
        </w:rPr>
      </w:pPr>
      <w:r>
        <w:rPr>
          <w:rFonts w:ascii="宋体" w:hAnsi="宋体" w:eastAsia="宋体" w:cs="宋体"/>
        </w:rPr>
        <w:t>5.</w:t>
      </w:r>
      <w:r>
        <w:rPr>
          <w:rFonts w:hint="eastAsia" w:ascii="宋体" w:hAnsi="宋体" w:eastAsia="宋体" w:cs="宋体"/>
        </w:rPr>
        <w:t>不同供应商的响应文件相互混装；</w:t>
      </w:r>
    </w:p>
    <w:p w14:paraId="6696724B">
      <w:pPr>
        <w:spacing w:line="500" w:lineRule="exact"/>
        <w:rPr>
          <w:rFonts w:ascii="宋体" w:hAnsi="宋体" w:eastAsia="宋体" w:cs="Times New Roman"/>
        </w:rPr>
      </w:pPr>
      <w:r>
        <w:rPr>
          <w:rFonts w:ascii="宋体" w:hAnsi="宋体" w:eastAsia="宋体" w:cs="宋体"/>
        </w:rPr>
        <w:t>6.</w:t>
      </w:r>
      <w:r>
        <w:rPr>
          <w:rFonts w:hint="eastAsia" w:ascii="宋体" w:hAnsi="宋体" w:eastAsia="宋体" w:cs="宋体"/>
        </w:rPr>
        <w:t>不同供应商的磋商保证金从同一单位或者个人账户转出。</w:t>
      </w:r>
    </w:p>
    <w:p w14:paraId="3514162F">
      <w:pPr>
        <w:spacing w:line="500" w:lineRule="exact"/>
        <w:rPr>
          <w:rFonts w:ascii="宋体" w:hAnsi="宋体" w:eastAsia="宋体" w:cs="Times New Roman"/>
          <w:b/>
          <w:bCs/>
        </w:rPr>
      </w:pPr>
      <w:r>
        <w:rPr>
          <w:rFonts w:hint="eastAsia" w:ascii="宋体" w:hAnsi="宋体" w:eastAsia="宋体" w:cs="宋体"/>
          <w:b/>
          <w:bCs/>
        </w:rPr>
        <w:t>二、我方承诺无下列恶意串通的情形：</w:t>
      </w:r>
    </w:p>
    <w:p w14:paraId="3B350224">
      <w:pPr>
        <w:spacing w:line="500" w:lineRule="exact"/>
        <w:rPr>
          <w:rFonts w:ascii="宋体" w:hAnsi="宋体" w:eastAsia="宋体" w:cs="Times New Roman"/>
        </w:rPr>
      </w:pPr>
      <w:r>
        <w:rPr>
          <w:rFonts w:ascii="宋体" w:hAnsi="宋体" w:eastAsia="宋体" w:cs="宋体"/>
        </w:rPr>
        <w:t>1.</w:t>
      </w:r>
      <w:r>
        <w:rPr>
          <w:rFonts w:hint="eastAsia" w:ascii="宋体" w:hAnsi="宋体" w:eastAsia="宋体" w:cs="宋体"/>
        </w:rPr>
        <w:t>供应商直接或者间接从采购人或者采购代理机构处获得其他供应商的相关信息并修改其响应文件；</w:t>
      </w:r>
    </w:p>
    <w:p w14:paraId="2FD9986F">
      <w:pPr>
        <w:spacing w:line="500" w:lineRule="exact"/>
        <w:rPr>
          <w:rFonts w:ascii="宋体" w:hAnsi="宋体" w:eastAsia="宋体" w:cs="Times New Roman"/>
        </w:rPr>
      </w:pPr>
      <w:r>
        <w:rPr>
          <w:rFonts w:ascii="宋体" w:hAnsi="宋体" w:eastAsia="宋体" w:cs="宋体"/>
        </w:rPr>
        <w:t>2.</w:t>
      </w:r>
      <w:r>
        <w:rPr>
          <w:rFonts w:hint="eastAsia" w:ascii="宋体" w:hAnsi="宋体" w:eastAsia="宋体" w:cs="宋体"/>
        </w:rPr>
        <w:t>供应商按照采购人或者采购代理机构的授意撤换、修改响应文件；</w:t>
      </w:r>
    </w:p>
    <w:p w14:paraId="76406484">
      <w:pPr>
        <w:spacing w:line="500" w:lineRule="exact"/>
        <w:rPr>
          <w:rFonts w:ascii="宋体" w:hAnsi="宋体" w:eastAsia="宋体" w:cs="Times New Roman"/>
        </w:rPr>
      </w:pPr>
      <w:r>
        <w:rPr>
          <w:rFonts w:ascii="宋体" w:hAnsi="宋体" w:eastAsia="宋体" w:cs="宋体"/>
        </w:rPr>
        <w:t>3.</w:t>
      </w:r>
      <w:r>
        <w:rPr>
          <w:rFonts w:hint="eastAsia" w:ascii="宋体" w:hAnsi="宋体" w:eastAsia="宋体" w:cs="宋体"/>
        </w:rPr>
        <w:t>供</w:t>
      </w:r>
      <w:r>
        <w:rPr>
          <w:rFonts w:hint="eastAsia" w:ascii="宋体" w:hAnsi="宋体" w:eastAsia="宋体" w:cs="宋体"/>
          <w:spacing w:val="-6"/>
        </w:rPr>
        <w:t>应商之间协商报价、技术方案等响应文件的实质性内容；</w:t>
      </w:r>
    </w:p>
    <w:p w14:paraId="387A6444">
      <w:pPr>
        <w:spacing w:line="500" w:lineRule="exact"/>
        <w:rPr>
          <w:rFonts w:ascii="宋体" w:hAnsi="宋体" w:eastAsia="宋体" w:cs="Times New Roman"/>
        </w:rPr>
      </w:pPr>
      <w:r>
        <w:rPr>
          <w:rFonts w:ascii="宋体" w:hAnsi="宋体" w:eastAsia="宋体" w:cs="宋体"/>
        </w:rPr>
        <w:t>4.</w:t>
      </w:r>
      <w:r>
        <w:rPr>
          <w:rFonts w:hint="eastAsia" w:ascii="宋体" w:hAnsi="宋体" w:eastAsia="宋体" w:cs="宋体"/>
        </w:rPr>
        <w:t>属于同一集团、协会、商会等组织成员的供应商按照该组织要求协同参加政府采购活动；</w:t>
      </w:r>
    </w:p>
    <w:p w14:paraId="65624A50">
      <w:pPr>
        <w:spacing w:line="500" w:lineRule="exact"/>
        <w:rPr>
          <w:rFonts w:ascii="宋体" w:hAnsi="宋体" w:eastAsia="宋体" w:cs="Times New Roman"/>
        </w:rPr>
      </w:pPr>
      <w:r>
        <w:rPr>
          <w:rFonts w:ascii="宋体" w:hAnsi="宋体" w:eastAsia="宋体" w:cs="宋体"/>
        </w:rPr>
        <w:t>5.</w:t>
      </w:r>
      <w:r>
        <w:rPr>
          <w:rFonts w:hint="eastAsia" w:ascii="宋体" w:hAnsi="宋体" w:eastAsia="宋体" w:cs="宋体"/>
        </w:rPr>
        <w:t>供应商之间事先约定一致抬高或者压低响应报价，或者在竞争性磋商项目中事先约定轮流以高价位或者低价位成交，或者事先约定由某一特定供应商成交，然后再参加竞标；</w:t>
      </w:r>
    </w:p>
    <w:p w14:paraId="4E781B27">
      <w:pPr>
        <w:spacing w:line="500" w:lineRule="exact"/>
        <w:rPr>
          <w:rFonts w:ascii="宋体" w:hAnsi="宋体" w:eastAsia="宋体" w:cs="Times New Roman"/>
        </w:rPr>
      </w:pPr>
      <w:r>
        <w:rPr>
          <w:rFonts w:ascii="宋体" w:hAnsi="宋体" w:eastAsia="宋体" w:cs="宋体"/>
        </w:rPr>
        <w:t>6.</w:t>
      </w:r>
      <w:r>
        <w:rPr>
          <w:rFonts w:hint="eastAsia" w:ascii="宋体" w:hAnsi="宋体" w:eastAsia="宋体" w:cs="宋体"/>
        </w:rPr>
        <w:t>供应商之间商定部分供应商放弃参加政府采购活动或者放弃成交；</w:t>
      </w:r>
    </w:p>
    <w:p w14:paraId="3973BEE1">
      <w:pPr>
        <w:spacing w:line="500" w:lineRule="exact"/>
        <w:rPr>
          <w:rFonts w:ascii="宋体" w:hAnsi="宋体" w:eastAsia="宋体" w:cs="Times New Roman"/>
        </w:rPr>
      </w:pPr>
      <w:r>
        <w:rPr>
          <w:rFonts w:ascii="宋体" w:hAnsi="宋体" w:eastAsia="宋体" w:cs="宋体"/>
        </w:rPr>
        <w:t>7.</w:t>
      </w:r>
      <w:r>
        <w:rPr>
          <w:rFonts w:hint="eastAsia" w:ascii="宋体" w:hAnsi="宋体" w:eastAsia="宋体" w:cs="宋体"/>
        </w:rPr>
        <w:t>供应商与采购人或者采购代理机构之间、供应商相互之间，为</w:t>
      </w:r>
      <w:r>
        <w:rPr>
          <w:rFonts w:hint="eastAsia" w:ascii="宋体" w:hAnsi="宋体" w:eastAsia="宋体" w:cs="宋体"/>
          <w:spacing w:val="-6"/>
        </w:rPr>
        <w:t>谋求特定供应商成交或者排斥其他供应商的其他串通行为。</w:t>
      </w:r>
    </w:p>
    <w:p w14:paraId="7CA44707">
      <w:pPr>
        <w:spacing w:line="500" w:lineRule="exact"/>
        <w:rPr>
          <w:rFonts w:ascii="宋体" w:hAnsi="宋体" w:eastAsia="宋体" w:cs="Times New Roman"/>
          <w:b/>
          <w:bCs/>
        </w:rPr>
      </w:pPr>
      <w:r>
        <w:rPr>
          <w:rFonts w:hint="eastAsia" w:ascii="宋体" w:hAnsi="宋体" w:eastAsia="宋体" w:cs="宋体"/>
          <w:b/>
          <w:bCs/>
        </w:rPr>
        <w:t>以上情形一经核查属实，接受政府采购监管部门对我方认定存在围标串标行为，我方愿意承担一切后果，并不再寻求任何旨在减轻或者免除法律责任的辩解。</w:t>
      </w:r>
    </w:p>
    <w:p w14:paraId="020F6F1D">
      <w:pPr>
        <w:autoSpaceDE w:val="0"/>
        <w:autoSpaceDN w:val="0"/>
        <w:spacing w:line="500" w:lineRule="exact"/>
        <w:rPr>
          <w:rFonts w:ascii="宋体" w:hAnsi="宋体" w:eastAsia="宋体" w:cs="Times New Roman"/>
          <w:kern w:val="0"/>
        </w:rPr>
      </w:pPr>
    </w:p>
    <w:p w14:paraId="3725ACBD">
      <w:pPr>
        <w:autoSpaceDE w:val="0"/>
        <w:autoSpaceDN w:val="0"/>
        <w:spacing w:line="360" w:lineRule="auto"/>
        <w:rPr>
          <w:rFonts w:ascii="宋体" w:hAnsi="宋体" w:eastAsia="宋体" w:cs="Times New Roman"/>
          <w:kern w:val="0"/>
        </w:rPr>
      </w:pPr>
    </w:p>
    <w:p w14:paraId="16B35E83">
      <w:pPr>
        <w:autoSpaceDE w:val="0"/>
        <w:autoSpaceDN w:val="0"/>
        <w:spacing w:line="360" w:lineRule="auto"/>
        <w:ind w:firstLine="6405" w:firstLineChars="3050"/>
        <w:rPr>
          <w:rFonts w:ascii="宋体" w:hAnsi="宋体" w:eastAsia="宋体" w:cs="Times New Roman"/>
          <w:kern w:val="0"/>
        </w:rPr>
      </w:pPr>
      <w:r>
        <w:rPr>
          <w:rFonts w:hint="eastAsia" w:ascii="宋体" w:hAnsi="宋体" w:eastAsia="宋体" w:cs="宋体"/>
          <w:kern w:val="0"/>
        </w:rPr>
        <w:t>供应商名称（电子签章）：</w:t>
      </w:r>
    </w:p>
    <w:p w14:paraId="73DACC65">
      <w:pPr>
        <w:spacing w:line="520" w:lineRule="exact"/>
        <w:ind w:firstLine="6405" w:firstLineChars="3050"/>
        <w:jc w:val="left"/>
        <w:rPr>
          <w:rFonts w:ascii="宋体" w:hAnsi="宋体" w:eastAsia="宋体" w:cs="Times New Roman"/>
          <w:b/>
          <w:bCs/>
          <w:kern w:val="0"/>
          <w:sz w:val="28"/>
          <w:szCs w:val="28"/>
        </w:rPr>
      </w:pPr>
      <w:r>
        <w:rPr>
          <w:rFonts w:hint="eastAsia" w:ascii="宋体" w:hAnsi="宋体" w:eastAsia="宋体" w:cs="宋体"/>
          <w:kern w:val="0"/>
          <w:lang w:val="zh-CN"/>
        </w:rPr>
        <w:t>日期：</w:t>
      </w:r>
      <w:r>
        <w:rPr>
          <w:rFonts w:ascii="宋体" w:hAnsi="宋体" w:eastAsia="宋体" w:cs="宋体"/>
          <w:kern w:val="0"/>
          <w:lang w:val="zh-CN"/>
        </w:rPr>
        <w:t xml:space="preserve">  </w:t>
      </w:r>
      <w:r>
        <w:rPr>
          <w:rFonts w:hint="eastAsia" w:ascii="宋体" w:hAnsi="宋体" w:eastAsia="宋体" w:cs="宋体"/>
          <w:kern w:val="0"/>
          <w:lang w:val="zh-CN"/>
        </w:rPr>
        <w:t>年</w:t>
      </w:r>
      <w:r>
        <w:rPr>
          <w:rFonts w:ascii="宋体" w:hAnsi="宋体" w:eastAsia="宋体" w:cs="宋体"/>
          <w:kern w:val="0"/>
          <w:lang w:val="zh-CN"/>
        </w:rPr>
        <w:t xml:space="preserve">  </w:t>
      </w:r>
      <w:r>
        <w:rPr>
          <w:rFonts w:hint="eastAsia" w:ascii="宋体" w:hAnsi="宋体" w:eastAsia="宋体" w:cs="宋体"/>
          <w:kern w:val="0"/>
          <w:lang w:val="zh-CN"/>
        </w:rPr>
        <w:t>月</w:t>
      </w:r>
      <w:r>
        <w:rPr>
          <w:rFonts w:ascii="宋体" w:hAnsi="宋体" w:eastAsia="宋体" w:cs="宋体"/>
          <w:kern w:val="0"/>
          <w:lang w:val="zh-CN"/>
        </w:rPr>
        <w:t xml:space="preserve">   </w:t>
      </w:r>
      <w:r>
        <w:rPr>
          <w:rFonts w:hint="eastAsia" w:ascii="宋体" w:hAnsi="宋体" w:eastAsia="宋体" w:cs="宋体"/>
          <w:kern w:val="0"/>
          <w:lang w:val="zh-CN"/>
        </w:rPr>
        <w:t>日</w:t>
      </w:r>
      <w:r>
        <w:rPr>
          <w:rFonts w:ascii="宋体" w:hAnsi="宋体" w:eastAsia="宋体" w:cs="Times New Roman"/>
          <w:b/>
          <w:bCs/>
          <w:sz w:val="32"/>
          <w:szCs w:val="32"/>
        </w:rPr>
        <w:br w:type="page"/>
      </w:r>
      <w:r>
        <w:rPr>
          <w:rFonts w:hint="eastAsia" w:ascii="宋体" w:hAnsi="宋体" w:eastAsia="宋体" w:cs="宋体"/>
          <w:b/>
          <w:bCs/>
          <w:sz w:val="28"/>
          <w:szCs w:val="28"/>
        </w:rPr>
        <w:t>二、法定代表人身份证明书及法定代表人有效身份证正反面复印件</w:t>
      </w:r>
    </w:p>
    <w:p w14:paraId="3CDB2EBE">
      <w:pPr>
        <w:tabs>
          <w:tab w:val="left" w:pos="3119"/>
        </w:tabs>
        <w:spacing w:line="520" w:lineRule="exact"/>
        <w:jc w:val="center"/>
        <w:rPr>
          <w:rFonts w:ascii="宋体" w:hAnsi="宋体" w:eastAsia="宋体" w:cs="Times New Roman"/>
          <w:b/>
          <w:bCs/>
          <w:sz w:val="28"/>
          <w:szCs w:val="28"/>
        </w:rPr>
      </w:pPr>
    </w:p>
    <w:p w14:paraId="35A88ED8">
      <w:pPr>
        <w:tabs>
          <w:tab w:val="left" w:pos="3119"/>
        </w:tabs>
        <w:spacing w:line="520" w:lineRule="exact"/>
        <w:jc w:val="center"/>
        <w:rPr>
          <w:rFonts w:ascii="宋体" w:hAnsi="宋体" w:eastAsia="宋体" w:cs="Times New Roman"/>
          <w:b/>
          <w:bCs/>
          <w:sz w:val="28"/>
          <w:szCs w:val="28"/>
        </w:rPr>
      </w:pPr>
      <w:r>
        <w:rPr>
          <w:rFonts w:hint="eastAsia" w:ascii="宋体" w:hAnsi="宋体" w:eastAsia="宋体" w:cs="宋体"/>
          <w:b/>
          <w:bCs/>
          <w:sz w:val="28"/>
          <w:szCs w:val="28"/>
        </w:rPr>
        <w:t>法定代表人证明书</w:t>
      </w:r>
    </w:p>
    <w:p w14:paraId="354566D1">
      <w:pPr>
        <w:spacing w:line="360" w:lineRule="auto"/>
        <w:rPr>
          <w:rFonts w:ascii="宋体" w:hAnsi="宋体" w:eastAsia="宋体" w:cs="Times New Roman"/>
          <w:sz w:val="32"/>
          <w:szCs w:val="32"/>
        </w:rPr>
      </w:pPr>
    </w:p>
    <w:p w14:paraId="28CABE97">
      <w:pPr>
        <w:spacing w:line="360" w:lineRule="auto"/>
        <w:rPr>
          <w:rFonts w:ascii="宋体" w:hAnsi="宋体" w:eastAsia="宋体" w:cs="Times New Roman"/>
          <w:u w:val="single"/>
        </w:rPr>
      </w:pPr>
      <w:r>
        <w:rPr>
          <w:rFonts w:hint="eastAsia" w:ascii="宋体" w:hAnsi="宋体" w:eastAsia="宋体" w:cs="宋体"/>
        </w:rPr>
        <w:t>供应商名称：</w:t>
      </w:r>
    </w:p>
    <w:p w14:paraId="410ED15B">
      <w:pPr>
        <w:spacing w:line="360" w:lineRule="auto"/>
        <w:rPr>
          <w:rFonts w:ascii="宋体" w:hAnsi="宋体" w:eastAsia="宋体" w:cs="宋体"/>
        </w:rPr>
      </w:pPr>
      <w:r>
        <w:rPr>
          <w:rFonts w:hint="eastAsia" w:ascii="宋体" w:hAnsi="宋体" w:eastAsia="宋体" w:cs="宋体"/>
        </w:rPr>
        <w:t>地</w:t>
      </w:r>
      <w:r>
        <w:rPr>
          <w:rFonts w:ascii="宋体" w:hAnsi="宋体" w:eastAsia="宋体" w:cs="宋体"/>
        </w:rPr>
        <w:t xml:space="preserve">    </w:t>
      </w:r>
      <w:r>
        <w:rPr>
          <w:rFonts w:hint="eastAsia" w:ascii="宋体" w:hAnsi="宋体" w:eastAsia="宋体" w:cs="宋体"/>
        </w:rPr>
        <w:t>址：</w:t>
      </w:r>
      <w:r>
        <w:rPr>
          <w:rFonts w:ascii="宋体" w:hAnsi="宋体" w:eastAsia="宋体" w:cs="宋体"/>
        </w:rPr>
        <w:t xml:space="preserve"> </w:t>
      </w:r>
    </w:p>
    <w:p w14:paraId="384D236E">
      <w:pPr>
        <w:spacing w:line="360" w:lineRule="auto"/>
        <w:rPr>
          <w:rFonts w:ascii="宋体" w:hAnsi="宋体" w:eastAsia="宋体" w:cs="Times New Roman"/>
        </w:rPr>
      </w:pPr>
      <w:r>
        <w:rPr>
          <w:rFonts w:hint="eastAsia" w:ascii="宋体" w:hAnsi="宋体" w:eastAsia="宋体" w:cs="宋体"/>
        </w:rPr>
        <w:t>姓</w:t>
      </w:r>
      <w:r>
        <w:rPr>
          <w:rFonts w:ascii="宋体" w:hAnsi="宋体" w:eastAsia="宋体" w:cs="宋体"/>
        </w:rPr>
        <w:t xml:space="preserve">    </w:t>
      </w:r>
      <w:r>
        <w:rPr>
          <w:rFonts w:hint="eastAsia" w:ascii="宋体" w:hAnsi="宋体" w:eastAsia="宋体" w:cs="宋体"/>
        </w:rPr>
        <w:t>名：</w:t>
      </w:r>
      <w:r>
        <w:rPr>
          <w:rFonts w:ascii="宋体" w:hAnsi="宋体" w:eastAsia="宋体" w:cs="宋体"/>
        </w:rPr>
        <w:t xml:space="preserve">        </w:t>
      </w:r>
      <w:r>
        <w:rPr>
          <w:rFonts w:hint="eastAsia" w:ascii="宋体" w:hAnsi="宋体" w:eastAsia="宋体" w:cs="宋体"/>
        </w:rPr>
        <w:t>性</w:t>
      </w:r>
      <w:r>
        <w:rPr>
          <w:rFonts w:ascii="宋体" w:hAnsi="宋体" w:eastAsia="宋体" w:cs="宋体"/>
        </w:rPr>
        <w:t xml:space="preserve">     </w:t>
      </w:r>
      <w:r>
        <w:rPr>
          <w:rFonts w:hint="eastAsia" w:ascii="宋体" w:hAnsi="宋体" w:eastAsia="宋体" w:cs="宋体"/>
        </w:rPr>
        <w:t>别：</w:t>
      </w:r>
    </w:p>
    <w:p w14:paraId="0871CC6C">
      <w:pPr>
        <w:spacing w:line="360" w:lineRule="auto"/>
        <w:rPr>
          <w:rFonts w:ascii="宋体" w:hAnsi="宋体" w:eastAsia="宋体" w:cs="Times New Roman"/>
          <w:u w:val="single"/>
        </w:rPr>
      </w:pP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龄：</w:t>
      </w:r>
      <w:r>
        <w:rPr>
          <w:rFonts w:ascii="宋体" w:hAnsi="宋体" w:eastAsia="宋体" w:cs="宋体"/>
        </w:rPr>
        <w:t xml:space="preserve">        </w:t>
      </w:r>
      <w:r>
        <w:rPr>
          <w:rFonts w:hint="eastAsia" w:ascii="宋体" w:hAnsi="宋体" w:eastAsia="宋体" w:cs="宋体"/>
        </w:rPr>
        <w:t>职</w:t>
      </w:r>
      <w:r>
        <w:rPr>
          <w:rFonts w:ascii="宋体" w:hAnsi="宋体" w:eastAsia="宋体" w:cs="宋体"/>
        </w:rPr>
        <w:t xml:space="preserve">     </w:t>
      </w:r>
      <w:r>
        <w:rPr>
          <w:rFonts w:hint="eastAsia" w:ascii="宋体" w:hAnsi="宋体" w:eastAsia="宋体" w:cs="宋体"/>
        </w:rPr>
        <w:t>务：</w:t>
      </w:r>
    </w:p>
    <w:p w14:paraId="4C30EFE9">
      <w:pPr>
        <w:spacing w:line="360" w:lineRule="auto"/>
        <w:rPr>
          <w:rFonts w:ascii="宋体" w:hAnsi="宋体" w:eastAsia="宋体" w:cs="Times New Roman"/>
        </w:rPr>
      </w:pPr>
      <w:r>
        <w:rPr>
          <w:rFonts w:hint="eastAsia" w:ascii="宋体" w:hAnsi="宋体" w:eastAsia="宋体" w:cs="宋体"/>
        </w:rPr>
        <w:t>身份证号码：</w:t>
      </w:r>
    </w:p>
    <w:p w14:paraId="6221AD72">
      <w:pPr>
        <w:spacing w:line="360" w:lineRule="auto"/>
        <w:rPr>
          <w:rFonts w:ascii="宋体" w:hAnsi="宋体" w:eastAsia="宋体" w:cs="Times New Roman"/>
        </w:rPr>
      </w:pPr>
      <w:r>
        <w:rPr>
          <w:rFonts w:hint="eastAsia" w:ascii="宋体" w:hAnsi="宋体" w:eastAsia="宋体" w:cs="宋体"/>
        </w:rPr>
        <w:t>系</w:t>
      </w:r>
      <w:r>
        <w:rPr>
          <w:rFonts w:hint="eastAsia" w:ascii="宋体" w:hAnsi="宋体" w:eastAsia="宋体" w:cs="宋体"/>
          <w:u w:val="single"/>
        </w:rPr>
        <w:t>（供应商名称）</w:t>
      </w:r>
      <w:r>
        <w:rPr>
          <w:rFonts w:hint="eastAsia" w:ascii="宋体" w:hAnsi="宋体" w:eastAsia="宋体" w:cs="宋体"/>
        </w:rPr>
        <w:t>的法定代表人。</w:t>
      </w:r>
    </w:p>
    <w:p w14:paraId="5614B589">
      <w:pPr>
        <w:spacing w:line="360" w:lineRule="auto"/>
        <w:rPr>
          <w:rFonts w:ascii="宋体" w:hAnsi="宋体" w:eastAsia="宋体" w:cs="Times New Roman"/>
        </w:rPr>
      </w:pPr>
      <w:r>
        <w:rPr>
          <w:rFonts w:hint="eastAsia" w:ascii="宋体" w:hAnsi="宋体" w:eastAsia="宋体" w:cs="宋体"/>
        </w:rPr>
        <w:t>特此证明。</w:t>
      </w:r>
    </w:p>
    <w:p w14:paraId="2A3CB052">
      <w:pPr>
        <w:spacing w:line="360" w:lineRule="auto"/>
        <w:rPr>
          <w:rFonts w:ascii="宋体" w:hAnsi="宋体" w:eastAsia="宋体" w:cs="Times New Roman"/>
        </w:rPr>
      </w:pPr>
    </w:p>
    <w:p w14:paraId="15346FA6">
      <w:pPr>
        <w:spacing w:line="360" w:lineRule="auto"/>
        <w:rPr>
          <w:rFonts w:ascii="宋体" w:hAnsi="宋体" w:eastAsia="宋体" w:cs="Times New Roman"/>
        </w:rPr>
      </w:pPr>
    </w:p>
    <w:p w14:paraId="495493B8">
      <w:pPr>
        <w:spacing w:line="360" w:lineRule="auto"/>
        <w:rPr>
          <w:rFonts w:ascii="宋体" w:hAnsi="宋体" w:eastAsia="宋体" w:cs="Times New Roman"/>
        </w:rPr>
      </w:pPr>
    </w:p>
    <w:p w14:paraId="2B2E214E">
      <w:pPr>
        <w:spacing w:line="360" w:lineRule="auto"/>
        <w:rPr>
          <w:rFonts w:ascii="宋体" w:hAnsi="宋体" w:eastAsia="宋体" w:cs="Times New Roman"/>
        </w:rPr>
      </w:pPr>
      <w:r>
        <w:rPr>
          <w:rFonts w:hint="eastAsia" w:ascii="宋体" w:hAnsi="宋体" w:eastAsia="宋体" w:cs="宋体"/>
        </w:rPr>
        <w:t>附件：法定代表人有效身份证正反面复印件</w:t>
      </w:r>
    </w:p>
    <w:p w14:paraId="2FE1B3D7">
      <w:pPr>
        <w:spacing w:line="360" w:lineRule="auto"/>
        <w:rPr>
          <w:rFonts w:ascii="宋体" w:hAnsi="宋体" w:eastAsia="宋体" w:cs="Times New Roman"/>
        </w:rPr>
      </w:pPr>
    </w:p>
    <w:p w14:paraId="2DDF156B">
      <w:pPr>
        <w:autoSpaceDE w:val="0"/>
        <w:autoSpaceDN w:val="0"/>
        <w:spacing w:line="360" w:lineRule="auto"/>
        <w:ind w:firstLine="6195" w:firstLineChars="2950"/>
        <w:rPr>
          <w:rFonts w:ascii="宋体" w:hAnsi="宋体" w:eastAsia="宋体" w:cs="Times New Roman"/>
          <w:kern w:val="0"/>
        </w:rPr>
      </w:pPr>
    </w:p>
    <w:p w14:paraId="517F8715">
      <w:pPr>
        <w:autoSpaceDE w:val="0"/>
        <w:autoSpaceDN w:val="0"/>
        <w:spacing w:line="360" w:lineRule="auto"/>
        <w:ind w:firstLine="6195" w:firstLineChars="2950"/>
        <w:rPr>
          <w:rFonts w:ascii="宋体" w:hAnsi="宋体" w:eastAsia="宋体" w:cs="Times New Roman"/>
          <w:kern w:val="0"/>
        </w:rPr>
      </w:pPr>
    </w:p>
    <w:p w14:paraId="37C69F07">
      <w:pPr>
        <w:autoSpaceDE w:val="0"/>
        <w:autoSpaceDN w:val="0"/>
        <w:spacing w:line="360" w:lineRule="auto"/>
        <w:ind w:firstLine="6195" w:firstLineChars="2950"/>
        <w:rPr>
          <w:rFonts w:ascii="宋体" w:hAnsi="宋体" w:eastAsia="宋体" w:cs="Times New Roman"/>
          <w:kern w:val="0"/>
        </w:rPr>
      </w:pPr>
      <w:r>
        <w:rPr>
          <w:rFonts w:hint="eastAsia" w:ascii="宋体" w:hAnsi="宋体" w:eastAsia="宋体" w:cs="宋体"/>
          <w:kern w:val="0"/>
        </w:rPr>
        <w:t>供应商名称（电子签章）：</w:t>
      </w:r>
    </w:p>
    <w:p w14:paraId="35828C44">
      <w:pPr>
        <w:spacing w:line="360" w:lineRule="auto"/>
        <w:jc w:val="center"/>
        <w:rPr>
          <w:rFonts w:ascii="宋体" w:hAnsi="宋体" w:eastAsia="宋体" w:cs="Times New Roman"/>
          <w:b/>
          <w:bCs/>
        </w:rPr>
      </w:pPr>
      <w:r>
        <w:rPr>
          <w:rFonts w:ascii="宋体" w:hAnsi="宋体" w:eastAsia="宋体" w:cs="宋体"/>
          <w:kern w:val="0"/>
          <w:lang w:val="zh-CN"/>
        </w:rPr>
        <w:t xml:space="preserve">                                                   </w:t>
      </w:r>
      <w:r>
        <w:rPr>
          <w:rFonts w:hint="eastAsia" w:ascii="宋体" w:hAnsi="宋体" w:eastAsia="宋体" w:cs="宋体"/>
          <w:kern w:val="0"/>
          <w:lang w:val="zh-CN"/>
        </w:rPr>
        <w:t>日期：</w:t>
      </w:r>
      <w:r>
        <w:rPr>
          <w:rFonts w:ascii="宋体" w:hAnsi="宋体" w:eastAsia="宋体" w:cs="宋体"/>
          <w:kern w:val="0"/>
          <w:lang w:val="zh-CN"/>
        </w:rPr>
        <w:t xml:space="preserve">  </w:t>
      </w:r>
      <w:r>
        <w:rPr>
          <w:rFonts w:hint="eastAsia" w:ascii="宋体" w:hAnsi="宋体" w:eastAsia="宋体" w:cs="宋体"/>
          <w:kern w:val="0"/>
          <w:lang w:val="zh-CN"/>
        </w:rPr>
        <w:t>年</w:t>
      </w:r>
      <w:r>
        <w:rPr>
          <w:rFonts w:ascii="宋体" w:hAnsi="宋体" w:eastAsia="宋体" w:cs="宋体"/>
          <w:kern w:val="0"/>
          <w:lang w:val="zh-CN"/>
        </w:rPr>
        <w:t xml:space="preserve">  </w:t>
      </w:r>
      <w:r>
        <w:rPr>
          <w:rFonts w:hint="eastAsia" w:ascii="宋体" w:hAnsi="宋体" w:eastAsia="宋体" w:cs="宋体"/>
          <w:kern w:val="0"/>
          <w:lang w:val="zh-CN"/>
        </w:rPr>
        <w:t>月</w:t>
      </w:r>
      <w:r>
        <w:rPr>
          <w:rFonts w:ascii="宋体" w:hAnsi="宋体" w:eastAsia="宋体" w:cs="宋体"/>
          <w:kern w:val="0"/>
          <w:lang w:val="zh-CN"/>
        </w:rPr>
        <w:t xml:space="preserve">   </w:t>
      </w:r>
      <w:r>
        <w:rPr>
          <w:rFonts w:hint="eastAsia" w:ascii="宋体" w:hAnsi="宋体" w:eastAsia="宋体" w:cs="宋体"/>
          <w:kern w:val="0"/>
          <w:lang w:val="zh-CN"/>
        </w:rPr>
        <w:t>日</w:t>
      </w:r>
    </w:p>
    <w:p w14:paraId="3440B65B">
      <w:pPr>
        <w:spacing w:line="360" w:lineRule="auto"/>
        <w:jc w:val="left"/>
        <w:rPr>
          <w:rFonts w:ascii="宋体" w:hAnsi="宋体" w:eastAsia="宋体" w:cs="Times New Roman"/>
        </w:rPr>
      </w:pPr>
    </w:p>
    <w:p w14:paraId="1379F660">
      <w:pPr>
        <w:spacing w:line="360" w:lineRule="auto"/>
        <w:jc w:val="left"/>
        <w:rPr>
          <w:rFonts w:ascii="宋体" w:hAnsi="宋体" w:eastAsia="宋体" w:cs="Times New Roman"/>
        </w:rPr>
      </w:pPr>
    </w:p>
    <w:p w14:paraId="6C952D78">
      <w:pPr>
        <w:spacing w:line="360" w:lineRule="auto"/>
        <w:jc w:val="left"/>
        <w:rPr>
          <w:rFonts w:ascii="宋体" w:hAnsi="宋体" w:eastAsia="宋体" w:cs="Times New Roman"/>
        </w:rPr>
      </w:pPr>
    </w:p>
    <w:p w14:paraId="15055805">
      <w:pPr>
        <w:spacing w:line="360" w:lineRule="auto"/>
        <w:jc w:val="left"/>
        <w:rPr>
          <w:rFonts w:ascii="宋体" w:hAnsi="宋体" w:eastAsia="宋体" w:cs="Times New Roman"/>
        </w:rPr>
      </w:pPr>
    </w:p>
    <w:p w14:paraId="30731BA8">
      <w:pPr>
        <w:spacing w:line="360" w:lineRule="auto"/>
        <w:jc w:val="left"/>
        <w:rPr>
          <w:rFonts w:ascii="宋体" w:hAnsi="宋体" w:eastAsia="宋体" w:cs="Times New Roman"/>
        </w:rPr>
      </w:pPr>
      <w:r>
        <w:rPr>
          <w:rFonts w:hint="eastAsia" w:ascii="宋体" w:hAnsi="宋体" w:eastAsia="宋体" w:cs="宋体"/>
        </w:rPr>
        <w:t>注：</w:t>
      </w:r>
      <w:r>
        <w:rPr>
          <w:rFonts w:ascii="宋体" w:hAnsi="宋体" w:eastAsia="宋体" w:cs="宋体"/>
        </w:rPr>
        <w:t>1.</w:t>
      </w:r>
      <w:r>
        <w:rPr>
          <w:rFonts w:hint="eastAsia" w:ascii="宋体" w:hAnsi="宋体" w:eastAsia="宋体" w:cs="宋体"/>
        </w:rPr>
        <w:t>自然人竞标的无需提供。</w:t>
      </w:r>
    </w:p>
    <w:p w14:paraId="7AC442B8">
      <w:pPr>
        <w:widowControl/>
        <w:spacing w:line="360" w:lineRule="auto"/>
        <w:jc w:val="left"/>
        <w:rPr>
          <w:rFonts w:ascii="宋体" w:hAnsi="宋体" w:eastAsia="宋体" w:cs="Times New Roman"/>
          <w:sz w:val="24"/>
          <w:szCs w:val="24"/>
        </w:rPr>
        <w:sectPr>
          <w:pgSz w:w="11910" w:h="16840"/>
          <w:pgMar w:top="1247" w:right="1361" w:bottom="1247" w:left="1361" w:header="720" w:footer="720" w:gutter="0"/>
          <w:cols w:space="720" w:num="1"/>
        </w:sectPr>
      </w:pPr>
    </w:p>
    <w:p w14:paraId="1396E1A1">
      <w:pPr>
        <w:spacing w:line="360" w:lineRule="auto"/>
        <w:jc w:val="left"/>
        <w:rPr>
          <w:rFonts w:ascii="宋体" w:hAnsi="宋体" w:eastAsia="宋体" w:cs="Times New Roman"/>
          <w:b/>
          <w:bCs/>
        </w:rPr>
      </w:pPr>
      <w:r>
        <w:rPr>
          <w:rFonts w:hint="eastAsia" w:ascii="宋体" w:hAnsi="宋体" w:eastAsia="宋体" w:cs="宋体"/>
          <w:b/>
          <w:bCs/>
        </w:rPr>
        <w:t>附件：</w:t>
      </w:r>
    </w:p>
    <w:tbl>
      <w:tblPr>
        <w:tblStyle w:val="44"/>
        <w:tblpPr w:leftFromText="180" w:rightFromText="180" w:vertAnchor="text" w:horzAnchor="margin" w:tblpY="31"/>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B3E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Pr>
          <w:p w14:paraId="04D1BE6F">
            <w:pPr>
              <w:spacing w:line="360" w:lineRule="auto"/>
              <w:rPr>
                <w:rFonts w:ascii="宋体" w:hAnsi="宋体" w:eastAsia="宋体" w:cs="Times New Roman"/>
                <w:b/>
                <w:bCs/>
              </w:rPr>
            </w:pPr>
          </w:p>
          <w:p w14:paraId="12EB5E96">
            <w:pPr>
              <w:spacing w:line="360" w:lineRule="auto"/>
              <w:rPr>
                <w:rFonts w:ascii="宋体" w:hAnsi="宋体" w:eastAsia="宋体" w:cs="Times New Roman"/>
                <w:b/>
                <w:bCs/>
              </w:rPr>
            </w:pPr>
            <w:r>
              <w:rPr>
                <w:rFonts w:hint="eastAsia" w:ascii="宋体" w:hAnsi="宋体" w:eastAsia="宋体" w:cs="宋体"/>
                <w:b/>
                <w:bCs/>
              </w:rPr>
              <w:t>法定代表身份证复印件粘帖处（正、反面）</w:t>
            </w:r>
          </w:p>
        </w:tc>
      </w:tr>
    </w:tbl>
    <w:p w14:paraId="6E52DEAB">
      <w:pPr>
        <w:adjustRightInd w:val="0"/>
        <w:snapToGrid w:val="0"/>
        <w:spacing w:line="300" w:lineRule="auto"/>
        <w:jc w:val="left"/>
        <w:rPr>
          <w:rFonts w:ascii="宋体" w:hAnsi="宋体" w:eastAsia="宋体" w:cs="Times New Roman"/>
          <w:b/>
          <w:bCs/>
        </w:rPr>
      </w:pPr>
    </w:p>
    <w:p w14:paraId="273EFFCA">
      <w:pPr>
        <w:adjustRightInd w:val="0"/>
        <w:snapToGrid w:val="0"/>
        <w:spacing w:line="300" w:lineRule="auto"/>
        <w:jc w:val="left"/>
        <w:rPr>
          <w:rFonts w:ascii="宋体" w:hAnsi="宋体" w:eastAsia="宋体" w:cs="Times New Roman"/>
          <w:b/>
          <w:bCs/>
        </w:rPr>
      </w:pPr>
    </w:p>
    <w:p w14:paraId="41E3910F">
      <w:pPr>
        <w:adjustRightInd w:val="0"/>
        <w:snapToGrid w:val="0"/>
        <w:spacing w:line="300" w:lineRule="auto"/>
        <w:jc w:val="left"/>
        <w:rPr>
          <w:rFonts w:ascii="宋体" w:hAnsi="宋体" w:eastAsia="宋体" w:cs="Times New Roman"/>
          <w:b/>
          <w:bCs/>
        </w:rPr>
      </w:pPr>
    </w:p>
    <w:p w14:paraId="162A17DD">
      <w:pPr>
        <w:spacing w:line="520" w:lineRule="exact"/>
        <w:jc w:val="left"/>
        <w:rPr>
          <w:rFonts w:ascii="宋体" w:hAnsi="宋体" w:eastAsia="宋体" w:cs="Times New Roman"/>
          <w:b/>
          <w:bCs/>
          <w:sz w:val="28"/>
          <w:szCs w:val="28"/>
        </w:rPr>
      </w:pPr>
      <w:r>
        <w:rPr>
          <w:rFonts w:ascii="宋体" w:hAnsi="宋体" w:eastAsia="宋体" w:cs="Times New Roman"/>
        </w:rPr>
        <w:br w:type="page"/>
      </w:r>
      <w:r>
        <w:rPr>
          <w:rFonts w:hint="eastAsia" w:ascii="宋体" w:hAnsi="宋体" w:eastAsia="宋体" w:cs="宋体"/>
          <w:b/>
          <w:bCs/>
          <w:sz w:val="28"/>
          <w:szCs w:val="28"/>
        </w:rPr>
        <w:t>三、法定代表人授权委托书及委托代理人有效身份证正反面复印件</w:t>
      </w:r>
    </w:p>
    <w:p w14:paraId="45F67058">
      <w:pPr>
        <w:spacing w:line="520" w:lineRule="exact"/>
        <w:jc w:val="center"/>
        <w:rPr>
          <w:rFonts w:ascii="宋体" w:hAnsi="宋体" w:eastAsia="宋体" w:cs="Times New Roman"/>
          <w:b/>
          <w:bCs/>
          <w:sz w:val="32"/>
          <w:szCs w:val="32"/>
        </w:rPr>
      </w:pPr>
    </w:p>
    <w:p w14:paraId="44ED40CA">
      <w:pPr>
        <w:spacing w:line="520" w:lineRule="exact"/>
        <w:jc w:val="center"/>
        <w:rPr>
          <w:rFonts w:ascii="宋体" w:hAnsi="宋体" w:eastAsia="宋体" w:cs="Times New Roman"/>
          <w:b/>
          <w:bCs/>
          <w:sz w:val="32"/>
          <w:szCs w:val="32"/>
        </w:rPr>
      </w:pPr>
      <w:r>
        <w:rPr>
          <w:rFonts w:hint="eastAsia" w:ascii="宋体" w:hAnsi="宋体" w:eastAsia="宋体" w:cs="宋体"/>
          <w:b/>
          <w:bCs/>
          <w:sz w:val="32"/>
          <w:szCs w:val="32"/>
        </w:rPr>
        <w:t>授权委托书（如有委托时）</w:t>
      </w:r>
    </w:p>
    <w:p w14:paraId="01948477">
      <w:pPr>
        <w:spacing w:line="520" w:lineRule="exact"/>
        <w:rPr>
          <w:rFonts w:ascii="宋体" w:hAnsi="宋体" w:eastAsia="宋体" w:cs="Times New Roman"/>
          <w:sz w:val="32"/>
          <w:szCs w:val="32"/>
        </w:rPr>
      </w:pPr>
    </w:p>
    <w:p w14:paraId="34D2B0BB">
      <w:pPr>
        <w:spacing w:line="500" w:lineRule="exact"/>
        <w:rPr>
          <w:rFonts w:ascii="宋体" w:hAnsi="宋体" w:eastAsia="宋体" w:cs="Times New Roman"/>
        </w:rPr>
      </w:pPr>
      <w:r>
        <w:rPr>
          <w:rFonts w:hint="eastAsia" w:ascii="宋体" w:hAnsi="宋体" w:eastAsia="宋体" w:cs="宋体"/>
        </w:rPr>
        <w:t>致：</w:t>
      </w:r>
      <w:r>
        <w:rPr>
          <w:rFonts w:hint="eastAsia" w:ascii="宋体" w:hAnsi="宋体" w:eastAsia="宋体" w:cs="宋体"/>
          <w:u w:val="single"/>
        </w:rPr>
        <w:t>（采购代理机构）</w:t>
      </w:r>
      <w:r>
        <w:rPr>
          <w:rFonts w:hint="eastAsia" w:ascii="宋体" w:hAnsi="宋体" w:eastAsia="宋体" w:cs="宋体"/>
        </w:rPr>
        <w:t>：</w:t>
      </w:r>
    </w:p>
    <w:p w14:paraId="4F242085">
      <w:pPr>
        <w:spacing w:line="500" w:lineRule="exact"/>
        <w:ind w:firstLine="420" w:firstLineChars="200"/>
        <w:rPr>
          <w:rFonts w:ascii="宋体" w:hAnsi="宋体" w:eastAsia="宋体" w:cs="Times New Roman"/>
        </w:rPr>
      </w:pPr>
      <w:r>
        <w:rPr>
          <w:rFonts w:hint="eastAsia" w:ascii="宋体" w:hAnsi="宋体" w:eastAsia="宋体" w:cs="宋体"/>
        </w:rPr>
        <w:t>我</w:t>
      </w:r>
      <w:r>
        <w:rPr>
          <w:rFonts w:ascii="宋体" w:hAnsi="宋体" w:eastAsia="宋体" w:cs="宋体"/>
          <w:u w:val="single"/>
        </w:rPr>
        <w:t xml:space="preserve">  </w:t>
      </w:r>
      <w:r>
        <w:rPr>
          <w:rFonts w:hint="eastAsia" w:ascii="宋体" w:hAnsi="宋体" w:eastAsia="宋体" w:cs="宋体"/>
          <w:u w:val="single"/>
        </w:rPr>
        <w:t>（姓名）</w:t>
      </w:r>
      <w:r>
        <w:rPr>
          <w:rFonts w:ascii="宋体" w:hAnsi="宋体" w:eastAsia="宋体" w:cs="宋体"/>
          <w:u w:val="single"/>
        </w:rPr>
        <w:t xml:space="preserve">  </w:t>
      </w:r>
      <w:r>
        <w:rPr>
          <w:rFonts w:hint="eastAsia" w:ascii="宋体" w:hAnsi="宋体" w:eastAsia="宋体" w:cs="宋体"/>
        </w:rPr>
        <w:t>系</w:t>
      </w:r>
      <w:r>
        <w:rPr>
          <w:rFonts w:ascii="宋体" w:hAnsi="宋体" w:eastAsia="宋体" w:cs="宋体"/>
          <w:u w:val="single"/>
        </w:rPr>
        <w:t xml:space="preserve">  </w:t>
      </w:r>
      <w:r>
        <w:rPr>
          <w:rFonts w:hint="eastAsia" w:ascii="宋体" w:hAnsi="宋体" w:eastAsia="宋体" w:cs="宋体"/>
          <w:u w:val="single"/>
        </w:rPr>
        <w:t>（供应商名称）</w:t>
      </w:r>
      <w:r>
        <w:rPr>
          <w:rFonts w:ascii="宋体" w:hAnsi="宋体" w:eastAsia="宋体" w:cs="宋体"/>
          <w:u w:val="single"/>
        </w:rPr>
        <w:t xml:space="preserve">  </w:t>
      </w:r>
      <w:r>
        <w:rPr>
          <w:rFonts w:hint="eastAsia" w:ascii="宋体" w:hAnsi="宋体" w:eastAsia="宋体" w:cs="宋体"/>
        </w:rPr>
        <w:t>的（</w:t>
      </w:r>
      <w:r>
        <w:rPr>
          <w:rFonts w:hint="eastAsia" w:ascii="宋体" w:hAnsi="宋体" w:eastAsia="宋体" w:cs="宋体"/>
          <w:u w:val="single"/>
        </w:rPr>
        <w:t>□法定代表人</w:t>
      </w:r>
      <w:r>
        <w:rPr>
          <w:rFonts w:ascii="宋体" w:hAnsi="宋体" w:eastAsia="宋体" w:cs="宋体"/>
          <w:u w:val="single"/>
        </w:rPr>
        <w:t>/</w:t>
      </w:r>
      <w:r>
        <w:rPr>
          <w:rFonts w:hint="eastAsia" w:ascii="宋体" w:hAnsi="宋体" w:eastAsia="宋体" w:cs="宋体"/>
          <w:u w:val="single"/>
        </w:rPr>
        <w:t>□负责人</w:t>
      </w:r>
      <w:r>
        <w:rPr>
          <w:rFonts w:ascii="宋体" w:hAnsi="宋体" w:eastAsia="宋体" w:cs="宋体"/>
          <w:u w:val="single"/>
        </w:rPr>
        <w:t>/</w:t>
      </w:r>
      <w:r>
        <w:rPr>
          <w:rFonts w:hint="eastAsia" w:ascii="宋体" w:hAnsi="宋体" w:eastAsia="宋体" w:cs="宋体"/>
          <w:u w:val="single"/>
        </w:rPr>
        <w:t>□自然人本人</w:t>
      </w:r>
      <w:r>
        <w:rPr>
          <w:rFonts w:hint="eastAsia" w:ascii="宋体" w:hAnsi="宋体" w:eastAsia="宋体" w:cs="宋体"/>
        </w:rPr>
        <w:t>），现授权</w:t>
      </w:r>
      <w:r>
        <w:rPr>
          <w:rFonts w:ascii="宋体" w:hAnsi="宋体" w:eastAsia="宋体" w:cs="宋体"/>
          <w:u w:val="single"/>
        </w:rPr>
        <w:t xml:space="preserve"> </w:t>
      </w:r>
      <w:r>
        <w:rPr>
          <w:rFonts w:hint="eastAsia" w:ascii="宋体" w:hAnsi="宋体" w:eastAsia="宋体" w:cs="宋体"/>
          <w:u w:val="single"/>
        </w:rPr>
        <w:t>（姓名）</w:t>
      </w:r>
      <w:r>
        <w:rPr>
          <w:rFonts w:ascii="宋体" w:hAnsi="宋体" w:eastAsia="宋体" w:cs="宋体"/>
          <w:u w:val="single"/>
        </w:rPr>
        <w:t xml:space="preserve"> </w:t>
      </w:r>
      <w:r>
        <w:rPr>
          <w:rFonts w:hint="eastAsia" w:ascii="宋体" w:hAnsi="宋体" w:eastAsia="宋体" w:cs="宋体"/>
        </w:rPr>
        <w:t>以我方的名义参加</w:t>
      </w:r>
      <w:r>
        <w:rPr>
          <w:rFonts w:hint="eastAsia" w:ascii="宋体" w:hAnsi="宋体" w:eastAsia="宋体" w:cs="宋体"/>
          <w:u w:val="single"/>
        </w:rPr>
        <w:t>（项目名称）</w:t>
      </w:r>
      <w:r>
        <w:rPr>
          <w:rFonts w:ascii="宋体" w:hAnsi="宋体" w:eastAsia="宋体" w:cs="宋体"/>
          <w:u w:val="single"/>
        </w:rPr>
        <w:t xml:space="preserve"> </w:t>
      </w:r>
      <w:r>
        <w:rPr>
          <w:rFonts w:hint="eastAsia" w:ascii="宋体" w:hAnsi="宋体" w:eastAsia="宋体" w:cs="宋体"/>
        </w:rPr>
        <w:t>项目的竞标活动，并代表我方全权办理针对上述项目的所有采购程序和环节的具体事务和签署相关文件。</w:t>
      </w:r>
    </w:p>
    <w:p w14:paraId="106D08AF">
      <w:pPr>
        <w:spacing w:line="500" w:lineRule="exact"/>
        <w:rPr>
          <w:rFonts w:ascii="宋体" w:hAnsi="宋体" w:eastAsia="宋体" w:cs="Times New Roman"/>
        </w:rPr>
      </w:pPr>
      <w:r>
        <w:rPr>
          <w:rFonts w:ascii="宋体" w:hAnsi="宋体" w:eastAsia="宋体" w:cs="宋体"/>
        </w:rPr>
        <w:t xml:space="preserve">    </w:t>
      </w:r>
      <w:r>
        <w:rPr>
          <w:rFonts w:hint="eastAsia" w:ascii="宋体" w:hAnsi="宋体" w:eastAsia="宋体" w:cs="宋体"/>
        </w:rPr>
        <w:t>我方对委托代理人的签字事项负全部责任。</w:t>
      </w:r>
    </w:p>
    <w:p w14:paraId="449A052A">
      <w:pPr>
        <w:spacing w:line="500" w:lineRule="exact"/>
        <w:ind w:firstLine="420" w:firstLineChars="200"/>
        <w:rPr>
          <w:rFonts w:ascii="宋体" w:hAnsi="宋体" w:eastAsia="宋体" w:cs="Times New Roman"/>
        </w:rPr>
      </w:pPr>
      <w:r>
        <w:rPr>
          <w:rFonts w:hint="eastAsia" w:ascii="宋体" w:hAnsi="宋体" w:eastAsia="宋体" w:cs="宋体"/>
        </w:rPr>
        <w:t>本授权书自签署之日起生效，在撤销授权的书面通知以前，本授权书一直有效。委托代理人在授权书有效期内签署的所有文件不因授权的撤销而失效。</w:t>
      </w:r>
    </w:p>
    <w:p w14:paraId="463112F4">
      <w:pPr>
        <w:spacing w:line="500" w:lineRule="exact"/>
        <w:ind w:firstLine="420" w:firstLineChars="200"/>
        <w:rPr>
          <w:rFonts w:ascii="宋体" w:hAnsi="宋体" w:eastAsia="宋体" w:cs="Times New Roman"/>
        </w:rPr>
      </w:pPr>
      <w:r>
        <w:rPr>
          <w:rFonts w:hint="eastAsia" w:ascii="宋体" w:hAnsi="宋体" w:eastAsia="宋体" w:cs="宋体"/>
        </w:rPr>
        <w:t>委托代理人无转委托权，特此委托。</w:t>
      </w:r>
    </w:p>
    <w:p w14:paraId="2599D33D">
      <w:pPr>
        <w:spacing w:line="500" w:lineRule="exact"/>
        <w:ind w:firstLine="420" w:firstLineChars="200"/>
        <w:rPr>
          <w:rFonts w:ascii="宋体" w:hAnsi="宋体" w:eastAsia="宋体" w:cs="Times New Roman"/>
        </w:rPr>
      </w:pPr>
      <w:r>
        <w:rPr>
          <w:rFonts w:hint="eastAsia" w:ascii="宋体" w:hAnsi="宋体" w:eastAsia="宋体" w:cs="宋体"/>
        </w:rPr>
        <w:t>附：法定代表人身份证明书及委托代理人有效身份证正反面复印件</w:t>
      </w:r>
    </w:p>
    <w:p w14:paraId="46AA8A09">
      <w:pPr>
        <w:spacing w:line="500" w:lineRule="exact"/>
        <w:rPr>
          <w:rFonts w:ascii="宋体" w:hAnsi="宋体" w:eastAsia="宋体" w:cs="Times New Roman"/>
        </w:rPr>
      </w:pPr>
    </w:p>
    <w:p w14:paraId="44DC9DA2">
      <w:pPr>
        <w:spacing w:line="500" w:lineRule="exact"/>
        <w:rPr>
          <w:rFonts w:ascii="宋体" w:hAnsi="宋体" w:eastAsia="宋体" w:cs="宋体"/>
        </w:rPr>
      </w:pPr>
      <w:r>
        <w:rPr>
          <w:rFonts w:hint="eastAsia" w:ascii="宋体" w:hAnsi="宋体" w:eastAsia="宋体" w:cs="宋体"/>
        </w:rPr>
        <w:t>委托代理人（签字）：</w:t>
      </w:r>
      <w:r>
        <w:rPr>
          <w:rFonts w:ascii="宋体" w:hAnsi="宋体" w:eastAsia="宋体" w:cs="宋体"/>
        </w:rPr>
        <w:t xml:space="preserve">         </w:t>
      </w:r>
      <w:r>
        <w:rPr>
          <w:rFonts w:hint="eastAsia" w:ascii="宋体" w:hAnsi="宋体" w:eastAsia="宋体" w:cs="宋体"/>
        </w:rPr>
        <w:t>法定代表人（签字或盖章）：</w:t>
      </w:r>
      <w:r>
        <w:rPr>
          <w:rFonts w:ascii="宋体" w:hAnsi="宋体" w:eastAsia="宋体" w:cs="宋体"/>
        </w:rPr>
        <w:t xml:space="preserve">                    </w:t>
      </w:r>
    </w:p>
    <w:p w14:paraId="580E9F41">
      <w:pPr>
        <w:spacing w:line="500" w:lineRule="exact"/>
        <w:rPr>
          <w:rFonts w:ascii="宋体" w:hAnsi="宋体" w:eastAsia="宋体" w:cs="宋体"/>
        </w:rPr>
      </w:pPr>
      <w:r>
        <w:rPr>
          <w:rFonts w:hint="eastAsia" w:ascii="宋体" w:hAnsi="宋体" w:eastAsia="宋体" w:cs="宋体"/>
        </w:rPr>
        <w:t>委托代理人身份证号码：</w:t>
      </w:r>
      <w:r>
        <w:rPr>
          <w:rFonts w:ascii="宋体" w:hAnsi="宋体" w:eastAsia="宋体" w:cs="宋体"/>
        </w:rPr>
        <w:t xml:space="preserve">                              </w:t>
      </w:r>
    </w:p>
    <w:p w14:paraId="47348C29">
      <w:pPr>
        <w:spacing w:line="500" w:lineRule="exact"/>
        <w:rPr>
          <w:rFonts w:ascii="宋体" w:hAnsi="宋体" w:eastAsia="宋体" w:cs="宋体"/>
        </w:rPr>
      </w:pPr>
    </w:p>
    <w:p w14:paraId="5C58F404">
      <w:pPr>
        <w:spacing w:line="500" w:lineRule="exact"/>
        <w:ind w:firstLine="6300" w:firstLineChars="3000"/>
        <w:rPr>
          <w:rFonts w:ascii="宋体" w:hAnsi="宋体" w:eastAsia="宋体" w:cs="Times New Roman"/>
        </w:rPr>
      </w:pPr>
      <w:r>
        <w:rPr>
          <w:rFonts w:hint="eastAsia" w:ascii="宋体" w:hAnsi="宋体" w:eastAsia="宋体" w:cs="宋体"/>
          <w:kern w:val="0"/>
        </w:rPr>
        <w:t>供应商名称（电子签章）：</w:t>
      </w:r>
    </w:p>
    <w:p w14:paraId="53BEEE0F">
      <w:pPr>
        <w:spacing w:line="500" w:lineRule="exact"/>
        <w:jc w:val="center"/>
        <w:rPr>
          <w:rFonts w:ascii="宋体" w:hAnsi="宋体" w:eastAsia="宋体" w:cs="Times New Roman"/>
          <w:b/>
          <w:bCs/>
        </w:rPr>
      </w:pPr>
      <w:r>
        <w:rPr>
          <w:rFonts w:ascii="宋体" w:hAnsi="宋体" w:eastAsia="宋体" w:cs="宋体"/>
          <w:kern w:val="0"/>
          <w:lang w:val="zh-CN"/>
        </w:rPr>
        <w:t xml:space="preserve">                                                   </w:t>
      </w:r>
      <w:r>
        <w:rPr>
          <w:rFonts w:hint="eastAsia" w:ascii="宋体" w:hAnsi="宋体" w:eastAsia="宋体" w:cs="宋体"/>
          <w:kern w:val="0"/>
          <w:lang w:val="zh-CN"/>
        </w:rPr>
        <w:t>日期：</w:t>
      </w:r>
      <w:r>
        <w:rPr>
          <w:rFonts w:ascii="宋体" w:hAnsi="宋体" w:eastAsia="宋体" w:cs="宋体"/>
          <w:kern w:val="0"/>
          <w:lang w:val="zh-CN"/>
        </w:rPr>
        <w:t xml:space="preserve">  </w:t>
      </w:r>
      <w:r>
        <w:rPr>
          <w:rFonts w:hint="eastAsia" w:ascii="宋体" w:hAnsi="宋体" w:eastAsia="宋体" w:cs="宋体"/>
          <w:kern w:val="0"/>
          <w:lang w:val="zh-CN"/>
        </w:rPr>
        <w:t>年</w:t>
      </w:r>
      <w:r>
        <w:rPr>
          <w:rFonts w:ascii="宋体" w:hAnsi="宋体" w:eastAsia="宋体" w:cs="宋体"/>
          <w:kern w:val="0"/>
          <w:lang w:val="zh-CN"/>
        </w:rPr>
        <w:t xml:space="preserve">  </w:t>
      </w:r>
      <w:r>
        <w:rPr>
          <w:rFonts w:hint="eastAsia" w:ascii="宋体" w:hAnsi="宋体" w:eastAsia="宋体" w:cs="宋体"/>
          <w:kern w:val="0"/>
          <w:lang w:val="zh-CN"/>
        </w:rPr>
        <w:t>月</w:t>
      </w:r>
      <w:r>
        <w:rPr>
          <w:rFonts w:ascii="宋体" w:hAnsi="宋体" w:eastAsia="宋体" w:cs="宋体"/>
          <w:kern w:val="0"/>
          <w:lang w:val="zh-CN"/>
        </w:rPr>
        <w:t xml:space="preserve">   </w:t>
      </w:r>
      <w:r>
        <w:rPr>
          <w:rFonts w:hint="eastAsia" w:ascii="宋体" w:hAnsi="宋体" w:eastAsia="宋体" w:cs="宋体"/>
          <w:kern w:val="0"/>
          <w:lang w:val="zh-CN"/>
        </w:rPr>
        <w:t>日</w:t>
      </w:r>
    </w:p>
    <w:p w14:paraId="0F0804A6">
      <w:pPr>
        <w:spacing w:line="500" w:lineRule="exact"/>
        <w:rPr>
          <w:rFonts w:ascii="宋体" w:hAnsi="宋体" w:eastAsia="宋体" w:cs="Times New Roman"/>
        </w:rPr>
      </w:pPr>
    </w:p>
    <w:p w14:paraId="24E9A560">
      <w:pPr>
        <w:spacing w:line="500" w:lineRule="exact"/>
        <w:rPr>
          <w:rFonts w:ascii="宋体" w:hAnsi="宋体" w:eastAsia="宋体" w:cs="Times New Roman"/>
        </w:rPr>
      </w:pPr>
      <w:r>
        <w:rPr>
          <w:rFonts w:hint="eastAsia" w:ascii="宋体" w:hAnsi="宋体" w:eastAsia="宋体" w:cs="宋体"/>
        </w:rPr>
        <w:t>注：</w:t>
      </w:r>
      <w:r>
        <w:rPr>
          <w:rFonts w:ascii="宋体" w:hAnsi="宋体" w:eastAsia="宋体" w:cs="宋体"/>
        </w:rPr>
        <w:t xml:space="preserve">1. </w:t>
      </w:r>
      <w:r>
        <w:rPr>
          <w:rFonts w:hint="eastAsia" w:ascii="宋体" w:hAnsi="宋体" w:eastAsia="宋体" w:cs="宋体"/>
        </w:rPr>
        <w:t>法定代表人必须在授权委托书上亲笔签字或盖章，委托代理人必须在授权委托书上亲笔签字，</w:t>
      </w:r>
      <w:r>
        <w:rPr>
          <w:rFonts w:hint="eastAsia" w:ascii="宋体" w:hAnsi="宋体" w:eastAsia="宋体" w:cs="宋体"/>
          <w:b/>
          <w:bCs/>
        </w:rPr>
        <w:t>否则其响应文件按无效响应处理。</w:t>
      </w:r>
    </w:p>
    <w:p w14:paraId="163F7C6F">
      <w:pPr>
        <w:spacing w:line="500" w:lineRule="exact"/>
        <w:jc w:val="left"/>
        <w:rPr>
          <w:rFonts w:ascii="宋体" w:hAnsi="宋体" w:eastAsia="宋体" w:cs="Times New Roman"/>
        </w:rPr>
      </w:pPr>
      <w:r>
        <w:rPr>
          <w:rFonts w:ascii="宋体" w:hAnsi="宋体" w:eastAsia="宋体" w:cs="宋体"/>
        </w:rPr>
        <w:t>2.</w:t>
      </w:r>
      <w:r>
        <w:rPr>
          <w:rFonts w:hint="eastAsia" w:ascii="宋体" w:hAnsi="宋体" w:eastAsia="宋体" w:cs="宋体"/>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03DADF9">
      <w:pPr>
        <w:spacing w:line="500" w:lineRule="exact"/>
        <w:jc w:val="left"/>
        <w:rPr>
          <w:rFonts w:ascii="宋体" w:hAnsi="宋体" w:eastAsia="宋体" w:cs="Times New Roman"/>
        </w:rPr>
      </w:pPr>
      <w:r>
        <w:rPr>
          <w:rFonts w:ascii="宋体" w:hAnsi="宋体" w:eastAsia="宋体" w:cs="宋体"/>
        </w:rPr>
        <w:t xml:space="preserve">3. </w:t>
      </w:r>
      <w:r>
        <w:rPr>
          <w:rFonts w:hint="eastAsia" w:ascii="宋体" w:hAnsi="宋体" w:eastAsia="宋体" w:cs="宋体"/>
        </w:rPr>
        <w:t>法人、其他组织竞标时“我方”是指“我单位”，自然人竞标时“我方”是指“本人”。</w:t>
      </w:r>
    </w:p>
    <w:p w14:paraId="5527323D">
      <w:pPr>
        <w:spacing w:line="500" w:lineRule="exact"/>
        <w:rPr>
          <w:rFonts w:ascii="宋体" w:hAnsi="宋体" w:eastAsia="宋体" w:cs="Times New Roman"/>
          <w:b/>
          <w:bCs/>
        </w:rPr>
      </w:pPr>
      <w:r>
        <w:rPr>
          <w:rFonts w:ascii="宋体" w:hAnsi="宋体" w:eastAsia="宋体" w:cs="Times New Roman"/>
        </w:rPr>
        <w:br w:type="page"/>
      </w:r>
      <w:r>
        <w:rPr>
          <w:rFonts w:hint="eastAsia" w:ascii="宋体" w:hAnsi="宋体" w:eastAsia="宋体" w:cs="宋体"/>
          <w:b/>
          <w:bCs/>
        </w:rPr>
        <w:t>附件：</w:t>
      </w:r>
    </w:p>
    <w:tbl>
      <w:tblPr>
        <w:tblStyle w:val="44"/>
        <w:tblpPr w:leftFromText="180" w:rightFromText="180" w:vertAnchor="text" w:horzAnchor="margin" w:tblpY="266"/>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AB5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3F8514CB">
            <w:pPr>
              <w:spacing w:line="360" w:lineRule="auto"/>
              <w:rPr>
                <w:rFonts w:ascii="宋体" w:hAnsi="宋体" w:eastAsia="宋体" w:cs="Times New Roman"/>
                <w:b/>
                <w:bCs/>
              </w:rPr>
            </w:pPr>
          </w:p>
          <w:p w14:paraId="58803CB7">
            <w:pPr>
              <w:spacing w:line="360" w:lineRule="auto"/>
              <w:rPr>
                <w:rFonts w:ascii="宋体" w:hAnsi="宋体" w:eastAsia="宋体" w:cs="Times New Roman"/>
                <w:b/>
                <w:bCs/>
              </w:rPr>
            </w:pPr>
            <w:r>
              <w:rPr>
                <w:rFonts w:hint="eastAsia" w:ascii="宋体" w:hAnsi="宋体" w:eastAsia="宋体" w:cs="宋体"/>
                <w:b/>
                <w:bCs/>
              </w:rPr>
              <w:t>委托代理人身份证复印件粘帖处（正、反面）</w:t>
            </w:r>
          </w:p>
        </w:tc>
      </w:tr>
    </w:tbl>
    <w:p w14:paraId="1C351F44">
      <w:pPr>
        <w:spacing w:line="500" w:lineRule="exact"/>
        <w:jc w:val="center"/>
        <w:rPr>
          <w:rFonts w:ascii="宋体" w:hAnsi="宋体" w:eastAsia="宋体" w:cs="Times New Roman"/>
        </w:rPr>
      </w:pPr>
    </w:p>
    <w:p w14:paraId="2B13BF7E">
      <w:pPr>
        <w:widowControl/>
        <w:jc w:val="left"/>
        <w:rPr>
          <w:rFonts w:ascii="宋体" w:hAnsi="宋体" w:eastAsia="宋体" w:cs="Times New Roman"/>
          <w:b/>
          <w:bCs/>
          <w:kern w:val="0"/>
          <w:sz w:val="32"/>
          <w:szCs w:val="32"/>
        </w:rPr>
      </w:pPr>
    </w:p>
    <w:p w14:paraId="084383F1">
      <w:pPr>
        <w:widowControl/>
        <w:jc w:val="left"/>
        <w:rPr>
          <w:rFonts w:ascii="宋体" w:hAnsi="宋体" w:eastAsia="宋体" w:cs="Times New Roman"/>
          <w:b/>
          <w:bCs/>
          <w:kern w:val="0"/>
          <w:sz w:val="32"/>
          <w:szCs w:val="32"/>
        </w:rPr>
      </w:pPr>
      <w:r>
        <w:rPr>
          <w:rFonts w:hAnsi="宋体" w:cs="Times New Roman"/>
          <w:b/>
          <w:bCs/>
          <w:sz w:val="32"/>
          <w:szCs w:val="32"/>
        </w:rPr>
        <w:br w:type="page"/>
      </w:r>
    </w:p>
    <w:p w14:paraId="08F56788">
      <w:pPr>
        <w:spacing w:line="520" w:lineRule="exact"/>
        <w:jc w:val="left"/>
        <w:rPr>
          <w:rFonts w:ascii="宋体" w:hAnsi="宋体" w:eastAsia="宋体" w:cs="Times New Roman"/>
          <w:b/>
          <w:bCs/>
          <w:sz w:val="28"/>
          <w:szCs w:val="28"/>
        </w:rPr>
      </w:pPr>
      <w:r>
        <w:rPr>
          <w:rFonts w:hint="eastAsia" w:ascii="宋体" w:hAnsi="宋体" w:eastAsia="宋体" w:cs="宋体"/>
          <w:b/>
          <w:bCs/>
          <w:sz w:val="28"/>
          <w:szCs w:val="28"/>
        </w:rPr>
        <w:t>四、</w:t>
      </w:r>
      <w:r>
        <w:rPr>
          <w:rFonts w:hint="eastAsia" w:ascii="宋体" w:hAnsi="宋体" w:eastAsia="宋体" w:cs="宋体"/>
          <w:b/>
          <w:bCs/>
          <w:sz w:val="28"/>
          <w:szCs w:val="28"/>
          <w:lang w:val="zh-CN"/>
        </w:rPr>
        <w:t>商务条款偏离表</w:t>
      </w:r>
    </w:p>
    <w:p w14:paraId="5CBDF782">
      <w:pPr>
        <w:spacing w:line="500" w:lineRule="exact"/>
        <w:jc w:val="center"/>
        <w:rPr>
          <w:rFonts w:ascii="宋体" w:hAnsi="宋体" w:eastAsia="宋体" w:cs="Times New Roman"/>
          <w:b/>
          <w:bCs/>
          <w:sz w:val="32"/>
          <w:szCs w:val="32"/>
        </w:rPr>
      </w:pPr>
    </w:p>
    <w:p w14:paraId="4FB820FD">
      <w:pPr>
        <w:spacing w:line="500" w:lineRule="exact"/>
        <w:jc w:val="center"/>
        <w:rPr>
          <w:rFonts w:ascii="宋体" w:hAnsi="宋体" w:eastAsia="宋体" w:cs="Times New Roman"/>
          <w:b/>
          <w:bCs/>
          <w:sz w:val="32"/>
          <w:szCs w:val="32"/>
        </w:rPr>
      </w:pPr>
      <w:r>
        <w:rPr>
          <w:rFonts w:hint="eastAsia" w:ascii="宋体" w:hAnsi="宋体" w:eastAsia="宋体" w:cs="宋体"/>
          <w:b/>
          <w:bCs/>
          <w:sz w:val="32"/>
          <w:szCs w:val="32"/>
        </w:rPr>
        <w:t>商务条款偏离表</w:t>
      </w:r>
    </w:p>
    <w:p w14:paraId="3AAF77D5">
      <w:pPr>
        <w:spacing w:line="520" w:lineRule="exact"/>
        <w:rPr>
          <w:rFonts w:ascii="宋体" w:hAnsi="宋体" w:eastAsia="宋体" w:cs="Times New Roman"/>
          <w:sz w:val="32"/>
          <w:szCs w:val="32"/>
        </w:rPr>
      </w:pPr>
    </w:p>
    <w:p w14:paraId="758AFFF5">
      <w:pPr>
        <w:spacing w:line="500" w:lineRule="exact"/>
        <w:rPr>
          <w:rFonts w:ascii="宋体" w:hAnsi="宋体" w:eastAsia="宋体" w:cs="Times New Roman"/>
          <w:u w:val="single"/>
        </w:rPr>
      </w:pPr>
      <w:r>
        <w:rPr>
          <w:rFonts w:hint="eastAsia" w:ascii="宋体" w:hAnsi="宋体" w:eastAsia="宋体" w:cs="宋体"/>
        </w:rPr>
        <w:t>采购项目编号：</w:t>
      </w:r>
    </w:p>
    <w:p w14:paraId="2EE6BFC2">
      <w:pPr>
        <w:spacing w:line="500" w:lineRule="exact"/>
        <w:rPr>
          <w:rFonts w:ascii="宋体" w:hAnsi="宋体" w:eastAsia="宋体" w:cs="Times New Roman"/>
        </w:rPr>
      </w:pPr>
      <w:r>
        <w:rPr>
          <w:rFonts w:hint="eastAsia" w:ascii="宋体" w:hAnsi="宋体" w:eastAsia="宋体" w:cs="宋体"/>
        </w:rPr>
        <w:t>采购项目名称：</w:t>
      </w:r>
    </w:p>
    <w:p w14:paraId="21087D00">
      <w:pPr>
        <w:spacing w:line="500" w:lineRule="exact"/>
        <w:rPr>
          <w:rFonts w:ascii="宋体" w:hAnsi="宋体" w:eastAsia="宋体" w:cs="Times New Roman"/>
          <w:u w:val="single"/>
        </w:rPr>
      </w:pPr>
      <w:r>
        <w:rPr>
          <w:rFonts w:hint="eastAsia" w:ascii="宋体" w:hAnsi="宋体" w:eastAsia="宋体" w:cs="宋体"/>
        </w:rPr>
        <w:t>分标号（此处有分标时填写具体分标号，无分标时填写“无”）：</w:t>
      </w:r>
    </w:p>
    <w:tbl>
      <w:tblPr>
        <w:tblStyle w:val="4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1A6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vAlign w:val="center"/>
          </w:tcPr>
          <w:p w14:paraId="6F99B5C2">
            <w:pPr>
              <w:spacing w:line="500" w:lineRule="exact"/>
              <w:jc w:val="center"/>
              <w:rPr>
                <w:rFonts w:ascii="宋体" w:hAnsi="宋体" w:eastAsia="宋体" w:cs="Times New Roman"/>
              </w:rPr>
            </w:pPr>
            <w:r>
              <w:rPr>
                <w:rFonts w:hint="eastAsia" w:ascii="宋体" w:hAnsi="宋体" w:eastAsia="宋体" w:cs="宋体"/>
              </w:rPr>
              <w:t>项号</w:t>
            </w:r>
          </w:p>
        </w:tc>
        <w:tc>
          <w:tcPr>
            <w:tcW w:w="3926" w:type="dxa"/>
            <w:vAlign w:val="center"/>
          </w:tcPr>
          <w:p w14:paraId="05E09CB0">
            <w:pPr>
              <w:spacing w:line="500" w:lineRule="exact"/>
              <w:jc w:val="center"/>
              <w:rPr>
                <w:rFonts w:ascii="宋体" w:hAnsi="宋体" w:eastAsia="宋体" w:cs="Times New Roman"/>
              </w:rPr>
            </w:pPr>
            <w:r>
              <w:rPr>
                <w:rFonts w:hint="eastAsia" w:ascii="宋体" w:hAnsi="宋体" w:eastAsia="宋体" w:cs="宋体"/>
              </w:rPr>
              <w:t>竞争性磋商采购文件的商务需求</w:t>
            </w:r>
          </w:p>
        </w:tc>
        <w:tc>
          <w:tcPr>
            <w:tcW w:w="3589" w:type="dxa"/>
            <w:vAlign w:val="center"/>
          </w:tcPr>
          <w:p w14:paraId="42025255">
            <w:pPr>
              <w:spacing w:line="500" w:lineRule="exact"/>
              <w:jc w:val="center"/>
              <w:rPr>
                <w:rFonts w:ascii="宋体" w:hAnsi="宋体" w:eastAsia="宋体" w:cs="Times New Roman"/>
              </w:rPr>
            </w:pPr>
            <w:r>
              <w:rPr>
                <w:rFonts w:hint="eastAsia" w:ascii="宋体" w:hAnsi="宋体" w:eastAsia="宋体" w:cs="宋体"/>
              </w:rPr>
              <w:t>响应文件承诺的商务条款</w:t>
            </w:r>
          </w:p>
        </w:tc>
        <w:tc>
          <w:tcPr>
            <w:tcW w:w="1274" w:type="dxa"/>
            <w:vAlign w:val="center"/>
          </w:tcPr>
          <w:p w14:paraId="6A48ABDF">
            <w:pPr>
              <w:spacing w:line="500" w:lineRule="exact"/>
              <w:jc w:val="center"/>
              <w:rPr>
                <w:rFonts w:ascii="宋体" w:hAnsi="宋体" w:eastAsia="宋体" w:cs="Times New Roman"/>
              </w:rPr>
            </w:pPr>
            <w:r>
              <w:rPr>
                <w:rFonts w:hint="eastAsia" w:ascii="宋体" w:hAnsi="宋体" w:eastAsia="宋体" w:cs="宋体"/>
              </w:rPr>
              <w:t>偏离说明</w:t>
            </w:r>
          </w:p>
        </w:tc>
      </w:tr>
      <w:tr w14:paraId="7BA2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Pr>
          <w:p w14:paraId="09DA6B20">
            <w:pPr>
              <w:spacing w:line="500" w:lineRule="exact"/>
              <w:rPr>
                <w:rFonts w:ascii="宋体" w:hAnsi="宋体" w:eastAsia="宋体" w:cs="Times New Roman"/>
              </w:rPr>
            </w:pPr>
            <w:r>
              <w:rPr>
                <w:rFonts w:hint="eastAsia" w:ascii="宋体" w:hAnsi="宋体" w:eastAsia="宋体" w:cs="宋体"/>
              </w:rPr>
              <w:t>一</w:t>
            </w:r>
          </w:p>
        </w:tc>
        <w:tc>
          <w:tcPr>
            <w:tcW w:w="3926" w:type="dxa"/>
          </w:tcPr>
          <w:p w14:paraId="1FA9770D">
            <w:pPr>
              <w:spacing w:line="500" w:lineRule="exact"/>
              <w:rPr>
                <w:rFonts w:ascii="宋体" w:hAnsi="宋体" w:eastAsia="宋体" w:cs="Times New Roman"/>
              </w:rPr>
            </w:pPr>
            <w:r>
              <w:rPr>
                <w:rFonts w:ascii="宋体" w:hAnsi="宋体" w:eastAsia="宋体" w:cs="宋体"/>
              </w:rPr>
              <w:t xml:space="preserve">1  </w:t>
            </w:r>
            <w:r>
              <w:rPr>
                <w:rFonts w:hint="eastAsia" w:ascii="宋体" w:hAnsi="宋体" w:eastAsia="宋体" w:cs="宋体"/>
              </w:rPr>
              <w:t>……</w:t>
            </w:r>
          </w:p>
          <w:p w14:paraId="12638124">
            <w:pPr>
              <w:spacing w:line="500" w:lineRule="exact"/>
              <w:rPr>
                <w:rFonts w:ascii="宋体" w:hAnsi="宋体" w:eastAsia="宋体" w:cs="Times New Roman"/>
              </w:rPr>
            </w:pPr>
            <w:r>
              <w:rPr>
                <w:rFonts w:ascii="宋体" w:hAnsi="宋体" w:eastAsia="宋体" w:cs="宋体"/>
              </w:rPr>
              <w:t xml:space="preserve">2  </w:t>
            </w:r>
            <w:r>
              <w:rPr>
                <w:rFonts w:hint="eastAsia" w:ascii="宋体" w:hAnsi="宋体" w:eastAsia="宋体" w:cs="宋体"/>
              </w:rPr>
              <w:t>……</w:t>
            </w:r>
          </w:p>
          <w:p w14:paraId="1501A034">
            <w:pPr>
              <w:spacing w:line="500" w:lineRule="exact"/>
              <w:rPr>
                <w:rFonts w:ascii="宋体" w:hAnsi="宋体" w:eastAsia="宋体" w:cs="Times New Roman"/>
              </w:rPr>
            </w:pPr>
            <w:r>
              <w:rPr>
                <w:rFonts w:ascii="宋体" w:hAnsi="宋体" w:eastAsia="宋体" w:cs="宋体"/>
              </w:rPr>
              <w:t xml:space="preserve">3  </w:t>
            </w:r>
            <w:r>
              <w:rPr>
                <w:rFonts w:hint="eastAsia" w:ascii="宋体" w:hAnsi="宋体" w:eastAsia="宋体" w:cs="宋体"/>
              </w:rPr>
              <w:t>……</w:t>
            </w:r>
          </w:p>
          <w:p w14:paraId="221FD8D1">
            <w:pPr>
              <w:spacing w:line="500" w:lineRule="exact"/>
              <w:rPr>
                <w:rFonts w:ascii="宋体" w:hAnsi="宋体" w:eastAsia="宋体" w:cs="Times New Roman"/>
              </w:rPr>
            </w:pPr>
            <w:r>
              <w:rPr>
                <w:rFonts w:hint="eastAsia" w:ascii="宋体" w:hAnsi="宋体" w:eastAsia="宋体" w:cs="宋体"/>
              </w:rPr>
              <w:t>……</w:t>
            </w:r>
          </w:p>
        </w:tc>
        <w:tc>
          <w:tcPr>
            <w:tcW w:w="3589" w:type="dxa"/>
          </w:tcPr>
          <w:p w14:paraId="75F346A7">
            <w:pPr>
              <w:spacing w:line="500" w:lineRule="exact"/>
              <w:rPr>
                <w:rFonts w:ascii="宋体" w:hAnsi="宋体" w:eastAsia="宋体" w:cs="Times New Roman"/>
              </w:rPr>
            </w:pPr>
            <w:r>
              <w:rPr>
                <w:rFonts w:ascii="宋体" w:hAnsi="宋体" w:eastAsia="宋体" w:cs="宋体"/>
              </w:rPr>
              <w:t xml:space="preserve">1  </w:t>
            </w:r>
            <w:r>
              <w:rPr>
                <w:rFonts w:hint="eastAsia" w:ascii="宋体" w:hAnsi="宋体" w:eastAsia="宋体" w:cs="宋体"/>
              </w:rPr>
              <w:t>……</w:t>
            </w:r>
          </w:p>
          <w:p w14:paraId="5B12FF45">
            <w:pPr>
              <w:spacing w:line="500" w:lineRule="exact"/>
              <w:rPr>
                <w:rFonts w:ascii="宋体" w:hAnsi="宋体" w:eastAsia="宋体" w:cs="Times New Roman"/>
              </w:rPr>
            </w:pPr>
            <w:r>
              <w:rPr>
                <w:rFonts w:ascii="宋体" w:hAnsi="宋体" w:eastAsia="宋体" w:cs="宋体"/>
              </w:rPr>
              <w:t xml:space="preserve">2  </w:t>
            </w:r>
            <w:r>
              <w:rPr>
                <w:rFonts w:hint="eastAsia" w:ascii="宋体" w:hAnsi="宋体" w:eastAsia="宋体" w:cs="宋体"/>
              </w:rPr>
              <w:t>……</w:t>
            </w:r>
          </w:p>
          <w:p w14:paraId="0D9B4F34">
            <w:pPr>
              <w:spacing w:line="500" w:lineRule="exact"/>
              <w:rPr>
                <w:rFonts w:ascii="宋体" w:hAnsi="宋体" w:eastAsia="宋体" w:cs="Times New Roman"/>
              </w:rPr>
            </w:pPr>
            <w:r>
              <w:rPr>
                <w:rFonts w:ascii="宋体" w:hAnsi="宋体" w:eastAsia="宋体" w:cs="宋体"/>
              </w:rPr>
              <w:t xml:space="preserve">3  </w:t>
            </w:r>
            <w:r>
              <w:rPr>
                <w:rFonts w:hint="eastAsia" w:ascii="宋体" w:hAnsi="宋体" w:eastAsia="宋体" w:cs="宋体"/>
              </w:rPr>
              <w:t>……</w:t>
            </w:r>
          </w:p>
          <w:p w14:paraId="2AB9A771">
            <w:pPr>
              <w:spacing w:line="500" w:lineRule="exact"/>
              <w:rPr>
                <w:rFonts w:ascii="宋体" w:hAnsi="宋体" w:eastAsia="宋体" w:cs="Times New Roman"/>
              </w:rPr>
            </w:pPr>
            <w:r>
              <w:rPr>
                <w:rFonts w:hint="eastAsia" w:ascii="宋体" w:hAnsi="宋体" w:eastAsia="宋体" w:cs="宋体"/>
              </w:rPr>
              <w:t>……</w:t>
            </w:r>
          </w:p>
        </w:tc>
        <w:tc>
          <w:tcPr>
            <w:tcW w:w="1274" w:type="dxa"/>
          </w:tcPr>
          <w:p w14:paraId="30320599">
            <w:pPr>
              <w:spacing w:line="500" w:lineRule="exact"/>
              <w:rPr>
                <w:rFonts w:ascii="宋体" w:hAnsi="宋体" w:eastAsia="宋体" w:cs="Times New Roman"/>
              </w:rPr>
            </w:pPr>
          </w:p>
        </w:tc>
      </w:tr>
      <w:tr w14:paraId="31B0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Pr>
          <w:p w14:paraId="659C8216">
            <w:pPr>
              <w:spacing w:line="500" w:lineRule="exact"/>
              <w:rPr>
                <w:rFonts w:ascii="宋体" w:hAnsi="宋体" w:eastAsia="宋体" w:cs="Times New Roman"/>
              </w:rPr>
            </w:pPr>
            <w:r>
              <w:rPr>
                <w:rFonts w:hint="eastAsia" w:ascii="宋体" w:hAnsi="宋体" w:eastAsia="宋体" w:cs="宋体"/>
              </w:rPr>
              <w:t>二</w:t>
            </w:r>
          </w:p>
        </w:tc>
        <w:tc>
          <w:tcPr>
            <w:tcW w:w="3926" w:type="dxa"/>
          </w:tcPr>
          <w:p w14:paraId="5E8BC5EC">
            <w:pPr>
              <w:spacing w:line="500" w:lineRule="exact"/>
              <w:rPr>
                <w:rFonts w:ascii="宋体" w:hAnsi="宋体" w:eastAsia="宋体" w:cs="Times New Roman"/>
              </w:rPr>
            </w:pPr>
            <w:r>
              <w:rPr>
                <w:rFonts w:ascii="宋体" w:hAnsi="宋体" w:eastAsia="宋体" w:cs="宋体"/>
              </w:rPr>
              <w:t xml:space="preserve">1  </w:t>
            </w:r>
            <w:r>
              <w:rPr>
                <w:rFonts w:hint="eastAsia" w:ascii="宋体" w:hAnsi="宋体" w:eastAsia="宋体" w:cs="宋体"/>
              </w:rPr>
              <w:t>……</w:t>
            </w:r>
          </w:p>
          <w:p w14:paraId="17924FFF">
            <w:pPr>
              <w:spacing w:line="500" w:lineRule="exact"/>
              <w:rPr>
                <w:rFonts w:ascii="宋体" w:hAnsi="宋体" w:eastAsia="宋体" w:cs="Times New Roman"/>
              </w:rPr>
            </w:pPr>
            <w:r>
              <w:rPr>
                <w:rFonts w:ascii="宋体" w:hAnsi="宋体" w:eastAsia="宋体" w:cs="宋体"/>
              </w:rPr>
              <w:t xml:space="preserve">2  </w:t>
            </w:r>
            <w:r>
              <w:rPr>
                <w:rFonts w:hint="eastAsia" w:ascii="宋体" w:hAnsi="宋体" w:eastAsia="宋体" w:cs="宋体"/>
              </w:rPr>
              <w:t>……</w:t>
            </w:r>
          </w:p>
          <w:p w14:paraId="1928498A">
            <w:pPr>
              <w:spacing w:line="500" w:lineRule="exact"/>
              <w:rPr>
                <w:rFonts w:ascii="宋体" w:hAnsi="宋体" w:eastAsia="宋体" w:cs="Times New Roman"/>
              </w:rPr>
            </w:pPr>
            <w:r>
              <w:rPr>
                <w:rFonts w:ascii="宋体" w:hAnsi="宋体" w:eastAsia="宋体" w:cs="宋体"/>
              </w:rPr>
              <w:t xml:space="preserve">3  </w:t>
            </w:r>
            <w:r>
              <w:rPr>
                <w:rFonts w:hint="eastAsia" w:ascii="宋体" w:hAnsi="宋体" w:eastAsia="宋体" w:cs="宋体"/>
              </w:rPr>
              <w:t>……</w:t>
            </w:r>
          </w:p>
          <w:p w14:paraId="51B6FED4">
            <w:pPr>
              <w:spacing w:line="500" w:lineRule="exact"/>
              <w:rPr>
                <w:rFonts w:ascii="宋体" w:hAnsi="宋体" w:eastAsia="宋体" w:cs="Times New Roman"/>
              </w:rPr>
            </w:pPr>
            <w:r>
              <w:rPr>
                <w:rFonts w:hint="eastAsia" w:ascii="宋体" w:hAnsi="宋体" w:eastAsia="宋体" w:cs="宋体"/>
              </w:rPr>
              <w:t>……</w:t>
            </w:r>
          </w:p>
        </w:tc>
        <w:tc>
          <w:tcPr>
            <w:tcW w:w="3589" w:type="dxa"/>
          </w:tcPr>
          <w:p w14:paraId="36E89C04">
            <w:pPr>
              <w:spacing w:line="500" w:lineRule="exact"/>
              <w:rPr>
                <w:rFonts w:ascii="宋体" w:hAnsi="宋体" w:eastAsia="宋体" w:cs="Times New Roman"/>
              </w:rPr>
            </w:pPr>
            <w:r>
              <w:rPr>
                <w:rFonts w:ascii="宋体" w:hAnsi="宋体" w:eastAsia="宋体" w:cs="宋体"/>
              </w:rPr>
              <w:t xml:space="preserve">1  </w:t>
            </w:r>
            <w:r>
              <w:rPr>
                <w:rFonts w:hint="eastAsia" w:ascii="宋体" w:hAnsi="宋体" w:eastAsia="宋体" w:cs="宋体"/>
              </w:rPr>
              <w:t>……</w:t>
            </w:r>
          </w:p>
          <w:p w14:paraId="1CE315A8">
            <w:pPr>
              <w:spacing w:line="500" w:lineRule="exact"/>
              <w:rPr>
                <w:rFonts w:ascii="宋体" w:hAnsi="宋体" w:eastAsia="宋体" w:cs="Times New Roman"/>
              </w:rPr>
            </w:pPr>
            <w:r>
              <w:rPr>
                <w:rFonts w:ascii="宋体" w:hAnsi="宋体" w:eastAsia="宋体" w:cs="宋体"/>
              </w:rPr>
              <w:t xml:space="preserve">2  </w:t>
            </w:r>
            <w:r>
              <w:rPr>
                <w:rFonts w:hint="eastAsia" w:ascii="宋体" w:hAnsi="宋体" w:eastAsia="宋体" w:cs="宋体"/>
              </w:rPr>
              <w:t>……</w:t>
            </w:r>
          </w:p>
          <w:p w14:paraId="4721F595">
            <w:pPr>
              <w:spacing w:line="500" w:lineRule="exact"/>
              <w:rPr>
                <w:rFonts w:ascii="宋体" w:hAnsi="宋体" w:eastAsia="宋体" w:cs="Times New Roman"/>
              </w:rPr>
            </w:pPr>
            <w:r>
              <w:rPr>
                <w:rFonts w:ascii="宋体" w:hAnsi="宋体" w:eastAsia="宋体" w:cs="宋体"/>
              </w:rPr>
              <w:t xml:space="preserve">3  </w:t>
            </w:r>
            <w:r>
              <w:rPr>
                <w:rFonts w:hint="eastAsia" w:ascii="宋体" w:hAnsi="宋体" w:eastAsia="宋体" w:cs="宋体"/>
              </w:rPr>
              <w:t>……</w:t>
            </w:r>
          </w:p>
          <w:p w14:paraId="6AEB26D3">
            <w:pPr>
              <w:spacing w:line="500" w:lineRule="exact"/>
              <w:rPr>
                <w:rFonts w:ascii="宋体" w:hAnsi="宋体" w:eastAsia="宋体" w:cs="Times New Roman"/>
              </w:rPr>
            </w:pPr>
            <w:r>
              <w:rPr>
                <w:rFonts w:hint="eastAsia" w:ascii="宋体" w:hAnsi="宋体" w:eastAsia="宋体" w:cs="宋体"/>
              </w:rPr>
              <w:t>……</w:t>
            </w:r>
          </w:p>
        </w:tc>
        <w:tc>
          <w:tcPr>
            <w:tcW w:w="1274" w:type="dxa"/>
          </w:tcPr>
          <w:p w14:paraId="55C178FA">
            <w:pPr>
              <w:spacing w:line="500" w:lineRule="exact"/>
              <w:rPr>
                <w:rFonts w:ascii="宋体" w:hAnsi="宋体" w:eastAsia="宋体" w:cs="Times New Roman"/>
              </w:rPr>
            </w:pPr>
          </w:p>
        </w:tc>
      </w:tr>
      <w:tr w14:paraId="3836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Pr>
          <w:p w14:paraId="393665F1">
            <w:pPr>
              <w:spacing w:line="500" w:lineRule="exact"/>
              <w:rPr>
                <w:rFonts w:ascii="宋体" w:hAnsi="宋体" w:eastAsia="宋体" w:cs="宋体"/>
              </w:rPr>
            </w:pPr>
            <w:r>
              <w:rPr>
                <w:rFonts w:ascii="宋体" w:hAnsi="宋体" w:eastAsia="宋体" w:cs="宋体"/>
              </w:rPr>
              <w:t>...</w:t>
            </w:r>
          </w:p>
        </w:tc>
        <w:tc>
          <w:tcPr>
            <w:tcW w:w="3926" w:type="dxa"/>
          </w:tcPr>
          <w:p w14:paraId="5355D57F">
            <w:pPr>
              <w:spacing w:line="500" w:lineRule="exact"/>
              <w:rPr>
                <w:rFonts w:ascii="宋体" w:hAnsi="宋体" w:eastAsia="宋体" w:cs="Times New Roman"/>
              </w:rPr>
            </w:pPr>
            <w:r>
              <w:rPr>
                <w:rFonts w:ascii="宋体" w:hAnsi="宋体" w:eastAsia="宋体" w:cs="宋体"/>
              </w:rPr>
              <w:t xml:space="preserve">1  </w:t>
            </w:r>
            <w:r>
              <w:rPr>
                <w:rFonts w:hint="eastAsia" w:ascii="宋体" w:hAnsi="宋体" w:eastAsia="宋体" w:cs="宋体"/>
              </w:rPr>
              <w:t>……</w:t>
            </w:r>
          </w:p>
          <w:p w14:paraId="4C4A8BE2">
            <w:pPr>
              <w:spacing w:line="500" w:lineRule="exact"/>
              <w:rPr>
                <w:rFonts w:ascii="宋体" w:hAnsi="宋体" w:eastAsia="宋体" w:cs="Times New Roman"/>
              </w:rPr>
            </w:pPr>
            <w:r>
              <w:rPr>
                <w:rFonts w:ascii="宋体" w:hAnsi="宋体" w:eastAsia="宋体" w:cs="宋体"/>
              </w:rPr>
              <w:t xml:space="preserve">2  </w:t>
            </w:r>
            <w:r>
              <w:rPr>
                <w:rFonts w:hint="eastAsia" w:ascii="宋体" w:hAnsi="宋体" w:eastAsia="宋体" w:cs="宋体"/>
              </w:rPr>
              <w:t>……</w:t>
            </w:r>
          </w:p>
          <w:p w14:paraId="0CC05774">
            <w:pPr>
              <w:spacing w:line="500" w:lineRule="exact"/>
              <w:rPr>
                <w:rFonts w:ascii="宋体" w:hAnsi="宋体" w:eastAsia="宋体" w:cs="Times New Roman"/>
              </w:rPr>
            </w:pPr>
            <w:r>
              <w:rPr>
                <w:rFonts w:ascii="宋体" w:hAnsi="宋体" w:eastAsia="宋体" w:cs="宋体"/>
              </w:rPr>
              <w:t xml:space="preserve">3  </w:t>
            </w:r>
            <w:r>
              <w:rPr>
                <w:rFonts w:hint="eastAsia" w:ascii="宋体" w:hAnsi="宋体" w:eastAsia="宋体" w:cs="宋体"/>
              </w:rPr>
              <w:t>……</w:t>
            </w:r>
          </w:p>
          <w:p w14:paraId="47E899BA">
            <w:pPr>
              <w:spacing w:line="500" w:lineRule="exact"/>
              <w:rPr>
                <w:rFonts w:ascii="宋体" w:hAnsi="宋体" w:eastAsia="宋体" w:cs="Times New Roman"/>
              </w:rPr>
            </w:pPr>
            <w:r>
              <w:rPr>
                <w:rFonts w:hint="eastAsia" w:ascii="宋体" w:hAnsi="宋体" w:eastAsia="宋体" w:cs="宋体"/>
              </w:rPr>
              <w:t>……</w:t>
            </w:r>
          </w:p>
        </w:tc>
        <w:tc>
          <w:tcPr>
            <w:tcW w:w="3589" w:type="dxa"/>
          </w:tcPr>
          <w:p w14:paraId="478411EC">
            <w:pPr>
              <w:spacing w:line="500" w:lineRule="exact"/>
              <w:rPr>
                <w:rFonts w:ascii="宋体" w:hAnsi="宋体" w:eastAsia="宋体" w:cs="Times New Roman"/>
              </w:rPr>
            </w:pPr>
            <w:r>
              <w:rPr>
                <w:rFonts w:ascii="宋体" w:hAnsi="宋体" w:eastAsia="宋体" w:cs="宋体"/>
              </w:rPr>
              <w:t xml:space="preserve">1  </w:t>
            </w:r>
            <w:r>
              <w:rPr>
                <w:rFonts w:hint="eastAsia" w:ascii="宋体" w:hAnsi="宋体" w:eastAsia="宋体" w:cs="宋体"/>
              </w:rPr>
              <w:t>……</w:t>
            </w:r>
          </w:p>
          <w:p w14:paraId="74EF5679">
            <w:pPr>
              <w:spacing w:line="500" w:lineRule="exact"/>
              <w:rPr>
                <w:rFonts w:ascii="宋体" w:hAnsi="宋体" w:eastAsia="宋体" w:cs="Times New Roman"/>
              </w:rPr>
            </w:pPr>
            <w:r>
              <w:rPr>
                <w:rFonts w:ascii="宋体" w:hAnsi="宋体" w:eastAsia="宋体" w:cs="宋体"/>
              </w:rPr>
              <w:t xml:space="preserve">2  </w:t>
            </w:r>
            <w:r>
              <w:rPr>
                <w:rFonts w:hint="eastAsia" w:ascii="宋体" w:hAnsi="宋体" w:eastAsia="宋体" w:cs="宋体"/>
              </w:rPr>
              <w:t>……</w:t>
            </w:r>
          </w:p>
          <w:p w14:paraId="036AE2CB">
            <w:pPr>
              <w:spacing w:line="500" w:lineRule="exact"/>
              <w:rPr>
                <w:rFonts w:ascii="宋体" w:hAnsi="宋体" w:eastAsia="宋体" w:cs="Times New Roman"/>
              </w:rPr>
            </w:pPr>
            <w:r>
              <w:rPr>
                <w:rFonts w:ascii="宋体" w:hAnsi="宋体" w:eastAsia="宋体" w:cs="宋体"/>
              </w:rPr>
              <w:t xml:space="preserve">3  </w:t>
            </w:r>
            <w:r>
              <w:rPr>
                <w:rFonts w:hint="eastAsia" w:ascii="宋体" w:hAnsi="宋体" w:eastAsia="宋体" w:cs="宋体"/>
              </w:rPr>
              <w:t>……</w:t>
            </w:r>
          </w:p>
          <w:p w14:paraId="7A096A90">
            <w:pPr>
              <w:spacing w:line="500" w:lineRule="exact"/>
              <w:rPr>
                <w:rFonts w:ascii="宋体" w:hAnsi="宋体" w:eastAsia="宋体" w:cs="Times New Roman"/>
              </w:rPr>
            </w:pPr>
            <w:r>
              <w:rPr>
                <w:rFonts w:hint="eastAsia" w:ascii="宋体" w:hAnsi="宋体" w:eastAsia="宋体" w:cs="宋体"/>
              </w:rPr>
              <w:t>……</w:t>
            </w:r>
          </w:p>
        </w:tc>
        <w:tc>
          <w:tcPr>
            <w:tcW w:w="1274" w:type="dxa"/>
          </w:tcPr>
          <w:p w14:paraId="41302ABE">
            <w:pPr>
              <w:spacing w:line="500" w:lineRule="exact"/>
              <w:rPr>
                <w:rFonts w:ascii="宋体" w:hAnsi="宋体" w:eastAsia="宋体" w:cs="Times New Roman"/>
              </w:rPr>
            </w:pPr>
          </w:p>
        </w:tc>
      </w:tr>
    </w:tbl>
    <w:p w14:paraId="56FDC19A">
      <w:pPr>
        <w:pStyle w:val="18"/>
        <w:spacing w:line="500" w:lineRule="exact"/>
        <w:ind w:firstLine="0" w:firstLineChars="0"/>
        <w:rPr>
          <w:rFonts w:ascii="宋体" w:hAnsi="宋体" w:eastAsia="宋体" w:cs="Times New Roman"/>
          <w:sz w:val="21"/>
          <w:szCs w:val="21"/>
        </w:rPr>
      </w:pPr>
      <w:r>
        <w:rPr>
          <w:rFonts w:hint="eastAsia" w:ascii="宋体" w:hAnsi="宋体" w:eastAsia="宋体" w:cs="宋体"/>
          <w:sz w:val="21"/>
          <w:szCs w:val="21"/>
        </w:rPr>
        <w:t>注：</w:t>
      </w:r>
    </w:p>
    <w:p w14:paraId="19B909CE">
      <w:pPr>
        <w:pStyle w:val="18"/>
        <w:spacing w:line="500" w:lineRule="exact"/>
        <w:ind w:firstLine="0" w:firstLineChars="0"/>
        <w:rPr>
          <w:rFonts w:ascii="宋体" w:hAnsi="宋体" w:eastAsia="宋体" w:cs="Times New Roman"/>
          <w:sz w:val="21"/>
          <w:szCs w:val="21"/>
        </w:rPr>
      </w:pPr>
      <w:r>
        <w:rPr>
          <w:rFonts w:ascii="宋体" w:hAnsi="宋体" w:eastAsia="宋体" w:cs="宋体"/>
          <w:sz w:val="21"/>
          <w:szCs w:val="21"/>
        </w:rPr>
        <w:t>1.</w:t>
      </w:r>
      <w:r>
        <w:rPr>
          <w:rFonts w:hint="eastAsia" w:ascii="宋体" w:hAnsi="宋体" w:eastAsia="宋体" w:cs="宋体"/>
          <w:sz w:val="21"/>
          <w:szCs w:val="21"/>
        </w:rPr>
        <w:t>说明：应对照竞争性磋商文件“第二章</w:t>
      </w:r>
      <w:r>
        <w:rPr>
          <w:rFonts w:ascii="宋体" w:hAnsi="宋体" w:eastAsia="宋体" w:cs="宋体"/>
          <w:sz w:val="21"/>
          <w:szCs w:val="21"/>
        </w:rPr>
        <w:t xml:space="preserve"> </w:t>
      </w:r>
      <w:r>
        <w:rPr>
          <w:rFonts w:hint="eastAsia" w:ascii="宋体" w:hAnsi="宋体" w:eastAsia="宋体" w:cs="宋体"/>
          <w:sz w:val="21"/>
          <w:szCs w:val="21"/>
        </w:rPr>
        <w:t>采购需求”中的商务条款逐条作出明确响应，并作出偏离说明。</w:t>
      </w:r>
    </w:p>
    <w:p w14:paraId="57857E6D">
      <w:pPr>
        <w:pStyle w:val="18"/>
        <w:spacing w:line="500" w:lineRule="exact"/>
        <w:ind w:firstLine="0" w:firstLineChars="0"/>
        <w:rPr>
          <w:rFonts w:ascii="宋体" w:hAnsi="宋体" w:eastAsia="宋体" w:cs="Times New Roman"/>
          <w:sz w:val="21"/>
          <w:szCs w:val="21"/>
        </w:rPr>
      </w:pPr>
      <w:r>
        <w:rPr>
          <w:rFonts w:ascii="宋体" w:hAnsi="宋体" w:eastAsia="宋体" w:cs="宋体"/>
          <w:sz w:val="21"/>
          <w:szCs w:val="21"/>
        </w:rPr>
        <w:t>2.</w:t>
      </w:r>
      <w:r>
        <w:rPr>
          <w:rFonts w:hint="eastAsia" w:ascii="宋体" w:hAnsi="宋体" w:eastAsia="宋体" w:cs="宋体"/>
          <w:sz w:val="21"/>
          <w:szCs w:val="21"/>
        </w:rPr>
        <w:t>供应商应根据自身的承诺，对照竞争性磋商文件要求，在“偏离说明”中注明“正偏离”、“负偏离”或者“无偏离”。既不属于“正偏离”也不属于“负偏离”即为“无偏离”。</w:t>
      </w:r>
      <w:r>
        <w:rPr>
          <w:rFonts w:ascii="宋体" w:hAnsi="宋体" w:eastAsia="宋体" w:cs="宋体"/>
          <w:sz w:val="21"/>
          <w:szCs w:val="21"/>
        </w:rPr>
        <w:t xml:space="preserve"> </w:t>
      </w:r>
      <w:r>
        <w:rPr>
          <w:rFonts w:hint="eastAsia" w:ascii="宋体" w:hAnsi="宋体" w:eastAsia="宋体" w:cs="宋体"/>
          <w:sz w:val="21"/>
          <w:szCs w:val="21"/>
        </w:rPr>
        <w:t>当响应文件的商务内容低于竞争性磋商采购文件要求时，竞标人应当如实写明“负偏离”，否则视为虚假应标</w:t>
      </w:r>
    </w:p>
    <w:p w14:paraId="046B26AE">
      <w:pPr>
        <w:spacing w:line="500" w:lineRule="exact"/>
        <w:ind w:firstLine="6300" w:firstLineChars="3000"/>
        <w:rPr>
          <w:rFonts w:ascii="宋体" w:hAnsi="宋体" w:eastAsia="宋体" w:cs="Times New Roman"/>
        </w:rPr>
      </w:pPr>
      <w:r>
        <w:rPr>
          <w:rFonts w:hint="eastAsia" w:ascii="宋体" w:hAnsi="宋体" w:eastAsia="宋体" w:cs="宋体"/>
          <w:kern w:val="0"/>
        </w:rPr>
        <w:t>供应商名称（电子签章）：</w:t>
      </w:r>
    </w:p>
    <w:p w14:paraId="725EE852">
      <w:pPr>
        <w:spacing w:line="500" w:lineRule="exact"/>
        <w:jc w:val="center"/>
        <w:rPr>
          <w:rFonts w:ascii="宋体" w:hAnsi="宋体" w:eastAsia="宋体" w:cs="Times New Roman"/>
          <w:b/>
          <w:bCs/>
        </w:rPr>
      </w:pPr>
      <w:r>
        <w:rPr>
          <w:rFonts w:ascii="宋体" w:hAnsi="宋体" w:eastAsia="宋体" w:cs="宋体"/>
          <w:kern w:val="0"/>
          <w:lang w:val="zh-CN"/>
        </w:rPr>
        <w:t xml:space="preserve">                                                   </w:t>
      </w:r>
      <w:r>
        <w:rPr>
          <w:rFonts w:hint="eastAsia" w:ascii="宋体" w:hAnsi="宋体" w:eastAsia="宋体" w:cs="宋体"/>
          <w:kern w:val="0"/>
          <w:lang w:val="zh-CN"/>
        </w:rPr>
        <w:t>日期：</w:t>
      </w:r>
      <w:r>
        <w:rPr>
          <w:rFonts w:ascii="宋体" w:hAnsi="宋体" w:eastAsia="宋体" w:cs="宋体"/>
          <w:kern w:val="0"/>
          <w:lang w:val="zh-CN"/>
        </w:rPr>
        <w:t xml:space="preserve">  </w:t>
      </w:r>
      <w:r>
        <w:rPr>
          <w:rFonts w:hint="eastAsia" w:ascii="宋体" w:hAnsi="宋体" w:eastAsia="宋体" w:cs="宋体"/>
          <w:kern w:val="0"/>
          <w:lang w:val="zh-CN"/>
        </w:rPr>
        <w:t>年</w:t>
      </w:r>
      <w:r>
        <w:rPr>
          <w:rFonts w:ascii="宋体" w:hAnsi="宋体" w:eastAsia="宋体" w:cs="宋体"/>
          <w:kern w:val="0"/>
          <w:lang w:val="zh-CN"/>
        </w:rPr>
        <w:t xml:space="preserve">  </w:t>
      </w:r>
      <w:r>
        <w:rPr>
          <w:rFonts w:hint="eastAsia" w:ascii="宋体" w:hAnsi="宋体" w:eastAsia="宋体" w:cs="宋体"/>
          <w:kern w:val="0"/>
          <w:lang w:val="zh-CN"/>
        </w:rPr>
        <w:t>月</w:t>
      </w:r>
      <w:r>
        <w:rPr>
          <w:rFonts w:ascii="宋体" w:hAnsi="宋体" w:eastAsia="宋体" w:cs="宋体"/>
          <w:kern w:val="0"/>
          <w:lang w:val="zh-CN"/>
        </w:rPr>
        <w:t xml:space="preserve">   </w:t>
      </w:r>
      <w:r>
        <w:rPr>
          <w:rFonts w:hint="eastAsia" w:ascii="宋体" w:hAnsi="宋体" w:eastAsia="宋体" w:cs="宋体"/>
          <w:kern w:val="0"/>
          <w:lang w:val="zh-CN"/>
        </w:rPr>
        <w:t>日</w:t>
      </w:r>
    </w:p>
    <w:p w14:paraId="2BB7A6BF">
      <w:pPr>
        <w:spacing w:line="500" w:lineRule="exact"/>
        <w:jc w:val="left"/>
        <w:rPr>
          <w:rFonts w:ascii="宋体" w:hAnsi="宋体" w:eastAsia="宋体" w:cs="Times New Roman"/>
          <w:b/>
          <w:bCs/>
          <w:sz w:val="28"/>
          <w:szCs w:val="28"/>
        </w:rPr>
      </w:pPr>
      <w:r>
        <w:rPr>
          <w:rFonts w:hint="eastAsia" w:ascii="宋体" w:hAnsi="宋体" w:eastAsia="宋体" w:cs="宋体"/>
          <w:b/>
          <w:bCs/>
          <w:sz w:val="28"/>
          <w:szCs w:val="28"/>
        </w:rPr>
        <w:t>五、技术偏离表</w:t>
      </w:r>
    </w:p>
    <w:p w14:paraId="05CDFB14">
      <w:pPr>
        <w:spacing w:line="500" w:lineRule="exact"/>
        <w:jc w:val="center"/>
        <w:rPr>
          <w:rFonts w:ascii="宋体" w:hAnsi="宋体" w:eastAsia="宋体" w:cs="Times New Roman"/>
          <w:b/>
          <w:bCs/>
          <w:sz w:val="32"/>
          <w:szCs w:val="32"/>
        </w:rPr>
      </w:pPr>
      <w:r>
        <w:rPr>
          <w:rFonts w:hint="eastAsia" w:ascii="宋体" w:hAnsi="宋体" w:eastAsia="宋体" w:cs="宋体"/>
          <w:b/>
          <w:bCs/>
          <w:sz w:val="28"/>
          <w:szCs w:val="28"/>
        </w:rPr>
        <w:t>技术偏离表</w:t>
      </w:r>
    </w:p>
    <w:p w14:paraId="75308868">
      <w:pPr>
        <w:spacing w:line="500" w:lineRule="exact"/>
        <w:jc w:val="center"/>
        <w:rPr>
          <w:rFonts w:ascii="宋体" w:hAnsi="宋体" w:eastAsia="宋体" w:cs="Times New Roman"/>
          <w:b/>
          <w:bCs/>
          <w:sz w:val="28"/>
          <w:szCs w:val="28"/>
        </w:rPr>
      </w:pPr>
      <w:r>
        <w:rPr>
          <w:rFonts w:ascii="宋体" w:hAnsi="宋体" w:eastAsia="宋体" w:cs="宋体"/>
          <w:sz w:val="28"/>
          <w:szCs w:val="28"/>
        </w:rPr>
        <w:t>(</w:t>
      </w:r>
      <w:r>
        <w:rPr>
          <w:rFonts w:hint="eastAsia" w:ascii="宋体" w:hAnsi="宋体" w:eastAsia="宋体" w:cs="宋体"/>
          <w:sz w:val="28"/>
          <w:szCs w:val="28"/>
        </w:rPr>
        <w:t>注：按采购需求具体条款修改</w:t>
      </w:r>
      <w:r>
        <w:rPr>
          <w:rFonts w:ascii="宋体" w:hAnsi="宋体" w:eastAsia="宋体" w:cs="宋体"/>
          <w:sz w:val="28"/>
          <w:szCs w:val="28"/>
        </w:rPr>
        <w:t>)</w:t>
      </w:r>
    </w:p>
    <w:p w14:paraId="16808FEF">
      <w:pPr>
        <w:spacing w:line="360" w:lineRule="auto"/>
        <w:jc w:val="left"/>
        <w:rPr>
          <w:rFonts w:ascii="宋体" w:hAnsi="宋体" w:eastAsia="宋体" w:cs="Times New Roman"/>
          <w:sz w:val="24"/>
          <w:szCs w:val="24"/>
        </w:rPr>
      </w:pPr>
    </w:p>
    <w:p w14:paraId="662206DD">
      <w:pPr>
        <w:pStyle w:val="23"/>
        <w:spacing w:line="360" w:lineRule="auto"/>
        <w:rPr>
          <w:rFonts w:hAnsi="宋体" w:cs="Times New Roman"/>
          <w:sz w:val="21"/>
          <w:szCs w:val="21"/>
        </w:rPr>
      </w:pPr>
      <w:r>
        <w:rPr>
          <w:rFonts w:hint="eastAsia" w:hAnsi="宋体"/>
          <w:sz w:val="21"/>
          <w:szCs w:val="21"/>
        </w:rPr>
        <w:t>所竞分标：</w:t>
      </w:r>
    </w:p>
    <w:tbl>
      <w:tblPr>
        <w:tblStyle w:val="44"/>
        <w:tblW w:w="906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81"/>
        <w:gridCol w:w="825"/>
        <w:gridCol w:w="1768"/>
        <w:gridCol w:w="1279"/>
        <w:gridCol w:w="737"/>
        <w:gridCol w:w="1286"/>
        <w:gridCol w:w="1228"/>
      </w:tblGrid>
      <w:tr w14:paraId="7B8D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64" w:type="dxa"/>
            <w:vMerge w:val="restart"/>
            <w:vAlign w:val="center"/>
          </w:tcPr>
          <w:p w14:paraId="13894704">
            <w:pPr>
              <w:rPr>
                <w:rFonts w:ascii="宋体" w:hAnsi="宋体" w:eastAsia="宋体" w:cs="Times New Roman"/>
              </w:rPr>
            </w:pPr>
            <w:r>
              <w:rPr>
                <w:rFonts w:hint="eastAsia" w:ascii="宋体" w:hAnsi="宋体" w:eastAsia="宋体" w:cs="宋体"/>
              </w:rPr>
              <w:t>项号</w:t>
            </w:r>
          </w:p>
        </w:tc>
        <w:tc>
          <w:tcPr>
            <w:tcW w:w="3873" w:type="dxa"/>
            <w:gridSpan w:val="3"/>
            <w:vAlign w:val="center"/>
          </w:tcPr>
          <w:p w14:paraId="40B46611">
            <w:pPr>
              <w:jc w:val="center"/>
              <w:rPr>
                <w:rFonts w:ascii="宋体" w:hAnsi="宋体" w:eastAsia="宋体" w:cs="Times New Roman"/>
              </w:rPr>
            </w:pPr>
            <w:r>
              <w:rPr>
                <w:rFonts w:hint="eastAsia" w:ascii="宋体" w:hAnsi="宋体" w:eastAsia="宋体" w:cs="宋体"/>
              </w:rPr>
              <w:t>竞争性磋商采购文件需求</w:t>
            </w:r>
          </w:p>
        </w:tc>
        <w:tc>
          <w:tcPr>
            <w:tcW w:w="3302" w:type="dxa"/>
            <w:gridSpan w:val="3"/>
            <w:vAlign w:val="center"/>
          </w:tcPr>
          <w:p w14:paraId="13BE4869">
            <w:pPr>
              <w:jc w:val="center"/>
              <w:rPr>
                <w:rFonts w:ascii="宋体" w:hAnsi="宋体" w:eastAsia="宋体" w:cs="Times New Roman"/>
              </w:rPr>
            </w:pPr>
            <w:r>
              <w:rPr>
                <w:rFonts w:hint="eastAsia" w:ascii="宋体" w:hAnsi="宋体" w:eastAsia="宋体" w:cs="宋体"/>
              </w:rPr>
              <w:t>响应文件承诺</w:t>
            </w:r>
          </w:p>
        </w:tc>
        <w:tc>
          <w:tcPr>
            <w:tcW w:w="1228" w:type="dxa"/>
            <w:vMerge w:val="restart"/>
            <w:vAlign w:val="center"/>
          </w:tcPr>
          <w:p w14:paraId="78513541">
            <w:pPr>
              <w:rPr>
                <w:rFonts w:ascii="宋体" w:hAnsi="宋体" w:eastAsia="宋体" w:cs="Times New Roman"/>
              </w:rPr>
            </w:pPr>
            <w:r>
              <w:rPr>
                <w:rFonts w:hint="eastAsia" w:ascii="宋体" w:hAnsi="宋体" w:eastAsia="宋体" w:cs="宋体"/>
              </w:rPr>
              <w:t>偏离说明</w:t>
            </w:r>
          </w:p>
        </w:tc>
      </w:tr>
      <w:tr w14:paraId="3F3E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664" w:type="dxa"/>
            <w:vMerge w:val="continue"/>
            <w:vAlign w:val="center"/>
          </w:tcPr>
          <w:p w14:paraId="280C7264">
            <w:pPr>
              <w:widowControl/>
              <w:jc w:val="left"/>
              <w:rPr>
                <w:rFonts w:ascii="宋体" w:hAnsi="宋体" w:eastAsia="宋体" w:cs="Times New Roman"/>
              </w:rPr>
            </w:pPr>
          </w:p>
        </w:tc>
        <w:tc>
          <w:tcPr>
            <w:tcW w:w="1281" w:type="dxa"/>
            <w:vAlign w:val="center"/>
          </w:tcPr>
          <w:p w14:paraId="1B675572">
            <w:pPr>
              <w:rPr>
                <w:rFonts w:ascii="宋体" w:hAnsi="宋体" w:eastAsia="宋体" w:cs="Times New Roman"/>
              </w:rPr>
            </w:pPr>
            <w:r>
              <w:rPr>
                <w:rFonts w:hint="eastAsia" w:ascii="宋体" w:hAnsi="宋体" w:eastAsia="宋体" w:cs="宋体"/>
              </w:rPr>
              <w:t>服务名称</w:t>
            </w:r>
          </w:p>
        </w:tc>
        <w:tc>
          <w:tcPr>
            <w:tcW w:w="825" w:type="dxa"/>
            <w:vAlign w:val="center"/>
          </w:tcPr>
          <w:p w14:paraId="2C0C6C8E">
            <w:pPr>
              <w:rPr>
                <w:rFonts w:ascii="宋体" w:hAnsi="宋体" w:eastAsia="宋体" w:cs="Times New Roman"/>
              </w:rPr>
            </w:pPr>
            <w:r>
              <w:rPr>
                <w:rFonts w:hint="eastAsia" w:ascii="宋体" w:hAnsi="宋体" w:eastAsia="宋体" w:cs="宋体"/>
              </w:rPr>
              <w:t>数量</w:t>
            </w:r>
          </w:p>
        </w:tc>
        <w:tc>
          <w:tcPr>
            <w:tcW w:w="1768" w:type="dxa"/>
            <w:vAlign w:val="center"/>
          </w:tcPr>
          <w:p w14:paraId="7EFF29FC">
            <w:pPr>
              <w:rPr>
                <w:rFonts w:ascii="宋体" w:hAnsi="宋体" w:eastAsia="宋体" w:cs="Times New Roman"/>
              </w:rPr>
            </w:pPr>
            <w:r>
              <w:rPr>
                <w:rFonts w:hint="eastAsia" w:ascii="宋体" w:hAnsi="宋体" w:eastAsia="宋体" w:cs="宋体"/>
              </w:rPr>
              <w:t>服务参数要求</w:t>
            </w:r>
          </w:p>
        </w:tc>
        <w:tc>
          <w:tcPr>
            <w:tcW w:w="1279" w:type="dxa"/>
            <w:vAlign w:val="center"/>
          </w:tcPr>
          <w:p w14:paraId="6822EB50">
            <w:pPr>
              <w:rPr>
                <w:rFonts w:ascii="宋体" w:hAnsi="宋体" w:eastAsia="宋体" w:cs="Times New Roman"/>
              </w:rPr>
            </w:pPr>
            <w:r>
              <w:rPr>
                <w:rFonts w:hint="eastAsia" w:ascii="宋体" w:hAnsi="宋体" w:eastAsia="宋体" w:cs="宋体"/>
              </w:rPr>
              <w:t>服务名称</w:t>
            </w:r>
          </w:p>
        </w:tc>
        <w:tc>
          <w:tcPr>
            <w:tcW w:w="737" w:type="dxa"/>
            <w:vAlign w:val="center"/>
          </w:tcPr>
          <w:p w14:paraId="3658B805">
            <w:pPr>
              <w:rPr>
                <w:rFonts w:ascii="宋体" w:hAnsi="宋体" w:eastAsia="宋体" w:cs="Times New Roman"/>
              </w:rPr>
            </w:pPr>
            <w:r>
              <w:rPr>
                <w:rFonts w:hint="eastAsia" w:ascii="宋体" w:hAnsi="宋体" w:eastAsia="宋体" w:cs="宋体"/>
              </w:rPr>
              <w:t>数量</w:t>
            </w:r>
          </w:p>
        </w:tc>
        <w:tc>
          <w:tcPr>
            <w:tcW w:w="1286" w:type="dxa"/>
            <w:vAlign w:val="center"/>
          </w:tcPr>
          <w:p w14:paraId="3D549253">
            <w:pPr>
              <w:rPr>
                <w:rFonts w:ascii="宋体" w:hAnsi="宋体" w:eastAsia="宋体" w:cs="Times New Roman"/>
              </w:rPr>
            </w:pPr>
            <w:r>
              <w:rPr>
                <w:rFonts w:hint="eastAsia" w:ascii="宋体" w:hAnsi="宋体" w:eastAsia="宋体" w:cs="宋体"/>
              </w:rPr>
              <w:t>服务参数</w:t>
            </w:r>
          </w:p>
        </w:tc>
        <w:tc>
          <w:tcPr>
            <w:tcW w:w="1228" w:type="dxa"/>
            <w:vMerge w:val="continue"/>
            <w:vAlign w:val="center"/>
          </w:tcPr>
          <w:p w14:paraId="4D87D13D">
            <w:pPr>
              <w:widowControl/>
              <w:jc w:val="left"/>
              <w:rPr>
                <w:rFonts w:ascii="宋体" w:hAnsi="宋体" w:eastAsia="宋体" w:cs="Times New Roman"/>
              </w:rPr>
            </w:pPr>
          </w:p>
        </w:tc>
      </w:tr>
      <w:tr w14:paraId="29B3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64" w:type="dxa"/>
            <w:vAlign w:val="center"/>
          </w:tcPr>
          <w:p w14:paraId="2CF8F509">
            <w:pPr>
              <w:rPr>
                <w:rFonts w:ascii="宋体" w:hAnsi="宋体" w:eastAsia="宋体" w:cs="宋体"/>
              </w:rPr>
            </w:pPr>
            <w:r>
              <w:rPr>
                <w:rFonts w:ascii="宋体" w:hAnsi="宋体" w:eastAsia="宋体" w:cs="宋体"/>
              </w:rPr>
              <w:t>1</w:t>
            </w:r>
          </w:p>
        </w:tc>
        <w:tc>
          <w:tcPr>
            <w:tcW w:w="1281" w:type="dxa"/>
            <w:vAlign w:val="center"/>
          </w:tcPr>
          <w:p w14:paraId="2CCC2D20">
            <w:pPr>
              <w:rPr>
                <w:rFonts w:ascii="宋体" w:hAnsi="宋体" w:eastAsia="宋体" w:cs="Times New Roman"/>
              </w:rPr>
            </w:pPr>
            <w:r>
              <w:rPr>
                <w:rFonts w:hint="eastAsia" w:ascii="宋体" w:hAnsi="宋体" w:eastAsia="宋体" w:cs="宋体"/>
              </w:rPr>
              <w:t>……</w:t>
            </w:r>
          </w:p>
        </w:tc>
        <w:tc>
          <w:tcPr>
            <w:tcW w:w="825" w:type="dxa"/>
            <w:vAlign w:val="center"/>
          </w:tcPr>
          <w:p w14:paraId="16F26D44">
            <w:pPr>
              <w:rPr>
                <w:rFonts w:ascii="宋体" w:hAnsi="宋体" w:eastAsia="宋体" w:cs="Times New Roman"/>
              </w:rPr>
            </w:pPr>
            <w:r>
              <w:rPr>
                <w:rFonts w:hint="eastAsia" w:ascii="宋体" w:hAnsi="宋体" w:eastAsia="宋体" w:cs="宋体"/>
              </w:rPr>
              <w:t>…</w:t>
            </w:r>
          </w:p>
        </w:tc>
        <w:tc>
          <w:tcPr>
            <w:tcW w:w="1768" w:type="dxa"/>
            <w:vAlign w:val="center"/>
          </w:tcPr>
          <w:p w14:paraId="30285E54">
            <w:pPr>
              <w:rPr>
                <w:rFonts w:ascii="宋体" w:hAnsi="宋体" w:eastAsia="宋体" w:cs="Times New Roman"/>
              </w:rPr>
            </w:pPr>
            <w:r>
              <w:rPr>
                <w:rFonts w:ascii="宋体" w:hAnsi="宋体" w:eastAsia="宋体" w:cs="宋体"/>
              </w:rPr>
              <w:t xml:space="preserve">1  </w:t>
            </w:r>
            <w:r>
              <w:rPr>
                <w:rFonts w:hint="eastAsia" w:ascii="宋体" w:hAnsi="宋体" w:eastAsia="宋体" w:cs="宋体"/>
              </w:rPr>
              <w:t>……</w:t>
            </w:r>
          </w:p>
          <w:p w14:paraId="76E3B060">
            <w:pPr>
              <w:rPr>
                <w:rFonts w:ascii="宋体" w:hAnsi="宋体" w:eastAsia="宋体" w:cs="Times New Roman"/>
              </w:rPr>
            </w:pPr>
            <w:r>
              <w:rPr>
                <w:rFonts w:ascii="宋体" w:hAnsi="宋体" w:eastAsia="宋体" w:cs="宋体"/>
              </w:rPr>
              <w:t xml:space="preserve">2  </w:t>
            </w:r>
            <w:r>
              <w:rPr>
                <w:rFonts w:hint="eastAsia" w:ascii="宋体" w:hAnsi="宋体" w:eastAsia="宋体" w:cs="宋体"/>
              </w:rPr>
              <w:t>……</w:t>
            </w:r>
          </w:p>
          <w:p w14:paraId="3EEC24CB">
            <w:pPr>
              <w:rPr>
                <w:rFonts w:ascii="宋体" w:hAnsi="宋体" w:eastAsia="宋体" w:cs="Times New Roman"/>
              </w:rPr>
            </w:pPr>
            <w:r>
              <w:rPr>
                <w:rFonts w:ascii="宋体" w:hAnsi="宋体" w:eastAsia="宋体" w:cs="宋体"/>
              </w:rPr>
              <w:t xml:space="preserve">3  </w:t>
            </w:r>
            <w:r>
              <w:rPr>
                <w:rFonts w:hint="eastAsia" w:ascii="宋体" w:hAnsi="宋体" w:eastAsia="宋体" w:cs="宋体"/>
              </w:rPr>
              <w:t>……</w:t>
            </w:r>
          </w:p>
          <w:p w14:paraId="686C65FC">
            <w:pPr>
              <w:rPr>
                <w:rFonts w:ascii="宋体" w:hAnsi="宋体" w:eastAsia="宋体" w:cs="Times New Roman"/>
              </w:rPr>
            </w:pPr>
            <w:r>
              <w:rPr>
                <w:rFonts w:hint="eastAsia" w:ascii="宋体" w:hAnsi="宋体" w:eastAsia="宋体" w:cs="宋体"/>
              </w:rPr>
              <w:t>……</w:t>
            </w:r>
          </w:p>
        </w:tc>
        <w:tc>
          <w:tcPr>
            <w:tcW w:w="1279" w:type="dxa"/>
            <w:vAlign w:val="center"/>
          </w:tcPr>
          <w:p w14:paraId="3043E9B2">
            <w:pPr>
              <w:rPr>
                <w:rFonts w:ascii="宋体" w:hAnsi="宋体" w:eastAsia="宋体" w:cs="Times New Roman"/>
              </w:rPr>
            </w:pPr>
            <w:r>
              <w:rPr>
                <w:rFonts w:hint="eastAsia" w:ascii="宋体" w:hAnsi="宋体" w:eastAsia="宋体" w:cs="宋体"/>
              </w:rPr>
              <w:t>……</w:t>
            </w:r>
          </w:p>
        </w:tc>
        <w:tc>
          <w:tcPr>
            <w:tcW w:w="737" w:type="dxa"/>
            <w:vAlign w:val="center"/>
          </w:tcPr>
          <w:p w14:paraId="033D69BA">
            <w:pPr>
              <w:rPr>
                <w:rFonts w:ascii="宋体" w:hAnsi="宋体" w:eastAsia="宋体" w:cs="Times New Roman"/>
              </w:rPr>
            </w:pPr>
            <w:r>
              <w:rPr>
                <w:rFonts w:hint="eastAsia" w:ascii="宋体" w:hAnsi="宋体" w:eastAsia="宋体" w:cs="宋体"/>
              </w:rPr>
              <w:t>…</w:t>
            </w:r>
          </w:p>
        </w:tc>
        <w:tc>
          <w:tcPr>
            <w:tcW w:w="1286" w:type="dxa"/>
            <w:vAlign w:val="center"/>
          </w:tcPr>
          <w:p w14:paraId="07673EB6">
            <w:pPr>
              <w:rPr>
                <w:rFonts w:ascii="宋体" w:hAnsi="宋体" w:eastAsia="宋体" w:cs="Times New Roman"/>
              </w:rPr>
            </w:pPr>
            <w:r>
              <w:rPr>
                <w:rFonts w:ascii="宋体" w:hAnsi="宋体" w:eastAsia="宋体" w:cs="宋体"/>
              </w:rPr>
              <w:t xml:space="preserve">1  </w:t>
            </w:r>
            <w:r>
              <w:rPr>
                <w:rFonts w:hint="eastAsia" w:ascii="宋体" w:hAnsi="宋体" w:eastAsia="宋体" w:cs="宋体"/>
              </w:rPr>
              <w:t>……</w:t>
            </w:r>
          </w:p>
          <w:p w14:paraId="4EEADCB5">
            <w:pPr>
              <w:rPr>
                <w:rFonts w:ascii="宋体" w:hAnsi="宋体" w:eastAsia="宋体" w:cs="Times New Roman"/>
              </w:rPr>
            </w:pPr>
            <w:r>
              <w:rPr>
                <w:rFonts w:ascii="宋体" w:hAnsi="宋体" w:eastAsia="宋体" w:cs="宋体"/>
              </w:rPr>
              <w:t xml:space="preserve">2  </w:t>
            </w:r>
            <w:r>
              <w:rPr>
                <w:rFonts w:hint="eastAsia" w:ascii="宋体" w:hAnsi="宋体" w:eastAsia="宋体" w:cs="宋体"/>
              </w:rPr>
              <w:t>……</w:t>
            </w:r>
          </w:p>
          <w:p w14:paraId="6B34267C">
            <w:pPr>
              <w:rPr>
                <w:rFonts w:ascii="宋体" w:hAnsi="宋体" w:eastAsia="宋体" w:cs="Times New Roman"/>
              </w:rPr>
            </w:pPr>
            <w:r>
              <w:rPr>
                <w:rFonts w:ascii="宋体" w:hAnsi="宋体" w:eastAsia="宋体" w:cs="宋体"/>
              </w:rPr>
              <w:t xml:space="preserve">3  </w:t>
            </w:r>
            <w:r>
              <w:rPr>
                <w:rFonts w:hint="eastAsia" w:ascii="宋体" w:hAnsi="宋体" w:eastAsia="宋体" w:cs="宋体"/>
              </w:rPr>
              <w:t>……</w:t>
            </w:r>
          </w:p>
          <w:p w14:paraId="61C1CB8B">
            <w:pPr>
              <w:rPr>
                <w:rFonts w:ascii="宋体" w:hAnsi="宋体" w:eastAsia="宋体" w:cs="Times New Roman"/>
              </w:rPr>
            </w:pPr>
            <w:r>
              <w:rPr>
                <w:rFonts w:hint="eastAsia" w:ascii="宋体" w:hAnsi="宋体" w:eastAsia="宋体" w:cs="宋体"/>
              </w:rPr>
              <w:t>……</w:t>
            </w:r>
          </w:p>
        </w:tc>
        <w:tc>
          <w:tcPr>
            <w:tcW w:w="1228" w:type="dxa"/>
            <w:vAlign w:val="center"/>
          </w:tcPr>
          <w:p w14:paraId="79E6E19A">
            <w:pPr>
              <w:rPr>
                <w:rFonts w:ascii="宋体" w:hAnsi="宋体" w:eastAsia="宋体" w:cs="Times New Roman"/>
              </w:rPr>
            </w:pPr>
          </w:p>
        </w:tc>
      </w:tr>
      <w:tr w14:paraId="54F6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64" w:type="dxa"/>
            <w:vAlign w:val="center"/>
          </w:tcPr>
          <w:p w14:paraId="1A11AD1F">
            <w:pPr>
              <w:rPr>
                <w:rFonts w:ascii="宋体" w:hAnsi="宋体" w:eastAsia="宋体" w:cs="宋体"/>
              </w:rPr>
            </w:pPr>
            <w:r>
              <w:rPr>
                <w:rFonts w:ascii="宋体" w:hAnsi="宋体" w:eastAsia="宋体" w:cs="宋体"/>
              </w:rPr>
              <w:t>2</w:t>
            </w:r>
          </w:p>
        </w:tc>
        <w:tc>
          <w:tcPr>
            <w:tcW w:w="1281" w:type="dxa"/>
            <w:vAlign w:val="center"/>
          </w:tcPr>
          <w:p w14:paraId="75016DA2">
            <w:pPr>
              <w:rPr>
                <w:rFonts w:ascii="宋体" w:hAnsi="宋体" w:eastAsia="宋体" w:cs="Times New Roman"/>
              </w:rPr>
            </w:pPr>
            <w:r>
              <w:rPr>
                <w:rFonts w:hint="eastAsia" w:ascii="宋体" w:hAnsi="宋体" w:eastAsia="宋体" w:cs="宋体"/>
              </w:rPr>
              <w:t>……</w:t>
            </w:r>
          </w:p>
        </w:tc>
        <w:tc>
          <w:tcPr>
            <w:tcW w:w="825" w:type="dxa"/>
            <w:vAlign w:val="center"/>
          </w:tcPr>
          <w:p w14:paraId="326CCEE7">
            <w:pPr>
              <w:rPr>
                <w:rFonts w:ascii="宋体" w:hAnsi="宋体" w:eastAsia="宋体" w:cs="Times New Roman"/>
              </w:rPr>
            </w:pPr>
            <w:r>
              <w:rPr>
                <w:rFonts w:hint="eastAsia" w:ascii="宋体" w:hAnsi="宋体" w:eastAsia="宋体" w:cs="宋体"/>
              </w:rPr>
              <w:t>…</w:t>
            </w:r>
          </w:p>
        </w:tc>
        <w:tc>
          <w:tcPr>
            <w:tcW w:w="1768" w:type="dxa"/>
            <w:vAlign w:val="center"/>
          </w:tcPr>
          <w:p w14:paraId="007E1BD1">
            <w:pPr>
              <w:rPr>
                <w:rFonts w:ascii="宋体" w:hAnsi="宋体" w:eastAsia="宋体" w:cs="Times New Roman"/>
              </w:rPr>
            </w:pPr>
            <w:r>
              <w:rPr>
                <w:rFonts w:ascii="宋体" w:hAnsi="宋体" w:eastAsia="宋体" w:cs="宋体"/>
              </w:rPr>
              <w:t xml:space="preserve">1  </w:t>
            </w:r>
            <w:r>
              <w:rPr>
                <w:rFonts w:hint="eastAsia" w:ascii="宋体" w:hAnsi="宋体" w:eastAsia="宋体" w:cs="宋体"/>
              </w:rPr>
              <w:t>……</w:t>
            </w:r>
          </w:p>
          <w:p w14:paraId="63EBBFD0">
            <w:pPr>
              <w:rPr>
                <w:rFonts w:ascii="宋体" w:hAnsi="宋体" w:eastAsia="宋体" w:cs="Times New Roman"/>
              </w:rPr>
            </w:pPr>
            <w:r>
              <w:rPr>
                <w:rFonts w:ascii="宋体" w:hAnsi="宋体" w:eastAsia="宋体" w:cs="宋体"/>
              </w:rPr>
              <w:t xml:space="preserve">2  </w:t>
            </w:r>
            <w:r>
              <w:rPr>
                <w:rFonts w:hint="eastAsia" w:ascii="宋体" w:hAnsi="宋体" w:eastAsia="宋体" w:cs="宋体"/>
              </w:rPr>
              <w:t>……</w:t>
            </w:r>
          </w:p>
          <w:p w14:paraId="7FA52351">
            <w:pPr>
              <w:rPr>
                <w:rFonts w:ascii="宋体" w:hAnsi="宋体" w:eastAsia="宋体" w:cs="Times New Roman"/>
              </w:rPr>
            </w:pPr>
            <w:r>
              <w:rPr>
                <w:rFonts w:ascii="宋体" w:hAnsi="宋体" w:eastAsia="宋体" w:cs="宋体"/>
              </w:rPr>
              <w:t xml:space="preserve">3  </w:t>
            </w:r>
            <w:r>
              <w:rPr>
                <w:rFonts w:hint="eastAsia" w:ascii="宋体" w:hAnsi="宋体" w:eastAsia="宋体" w:cs="宋体"/>
              </w:rPr>
              <w:t>……</w:t>
            </w:r>
          </w:p>
          <w:p w14:paraId="62BD8954">
            <w:pPr>
              <w:rPr>
                <w:rFonts w:ascii="宋体" w:hAnsi="宋体" w:eastAsia="宋体" w:cs="Times New Roman"/>
              </w:rPr>
            </w:pPr>
            <w:r>
              <w:rPr>
                <w:rFonts w:hint="eastAsia" w:ascii="宋体" w:hAnsi="宋体" w:eastAsia="宋体" w:cs="宋体"/>
              </w:rPr>
              <w:t>……</w:t>
            </w:r>
          </w:p>
        </w:tc>
        <w:tc>
          <w:tcPr>
            <w:tcW w:w="1279" w:type="dxa"/>
            <w:vAlign w:val="center"/>
          </w:tcPr>
          <w:p w14:paraId="607935D4">
            <w:pPr>
              <w:rPr>
                <w:rFonts w:ascii="宋体" w:hAnsi="宋体" w:eastAsia="宋体" w:cs="Times New Roman"/>
              </w:rPr>
            </w:pPr>
            <w:r>
              <w:rPr>
                <w:rFonts w:hint="eastAsia" w:ascii="宋体" w:hAnsi="宋体" w:eastAsia="宋体" w:cs="宋体"/>
              </w:rPr>
              <w:t>……</w:t>
            </w:r>
          </w:p>
        </w:tc>
        <w:tc>
          <w:tcPr>
            <w:tcW w:w="737" w:type="dxa"/>
            <w:vAlign w:val="center"/>
          </w:tcPr>
          <w:p w14:paraId="028B31F1">
            <w:pPr>
              <w:rPr>
                <w:rFonts w:ascii="宋体" w:hAnsi="宋体" w:eastAsia="宋体" w:cs="Times New Roman"/>
              </w:rPr>
            </w:pPr>
            <w:r>
              <w:rPr>
                <w:rFonts w:hint="eastAsia" w:ascii="宋体" w:hAnsi="宋体" w:eastAsia="宋体" w:cs="宋体"/>
              </w:rPr>
              <w:t>…</w:t>
            </w:r>
          </w:p>
        </w:tc>
        <w:tc>
          <w:tcPr>
            <w:tcW w:w="1286" w:type="dxa"/>
            <w:vAlign w:val="center"/>
          </w:tcPr>
          <w:p w14:paraId="3776CFD9">
            <w:pPr>
              <w:rPr>
                <w:rFonts w:ascii="宋体" w:hAnsi="宋体" w:eastAsia="宋体" w:cs="Times New Roman"/>
              </w:rPr>
            </w:pPr>
            <w:r>
              <w:rPr>
                <w:rFonts w:ascii="宋体" w:hAnsi="宋体" w:eastAsia="宋体" w:cs="宋体"/>
              </w:rPr>
              <w:t xml:space="preserve">1  </w:t>
            </w:r>
            <w:r>
              <w:rPr>
                <w:rFonts w:hint="eastAsia" w:ascii="宋体" w:hAnsi="宋体" w:eastAsia="宋体" w:cs="宋体"/>
              </w:rPr>
              <w:t>……</w:t>
            </w:r>
          </w:p>
          <w:p w14:paraId="575DA119">
            <w:pPr>
              <w:rPr>
                <w:rFonts w:ascii="宋体" w:hAnsi="宋体" w:eastAsia="宋体" w:cs="Times New Roman"/>
              </w:rPr>
            </w:pPr>
            <w:r>
              <w:rPr>
                <w:rFonts w:ascii="宋体" w:hAnsi="宋体" w:eastAsia="宋体" w:cs="宋体"/>
              </w:rPr>
              <w:t xml:space="preserve">2  </w:t>
            </w:r>
            <w:r>
              <w:rPr>
                <w:rFonts w:hint="eastAsia" w:ascii="宋体" w:hAnsi="宋体" w:eastAsia="宋体" w:cs="宋体"/>
              </w:rPr>
              <w:t>……</w:t>
            </w:r>
          </w:p>
          <w:p w14:paraId="3A0410BA">
            <w:pPr>
              <w:rPr>
                <w:rFonts w:ascii="宋体" w:hAnsi="宋体" w:eastAsia="宋体" w:cs="Times New Roman"/>
              </w:rPr>
            </w:pPr>
            <w:r>
              <w:rPr>
                <w:rFonts w:ascii="宋体" w:hAnsi="宋体" w:eastAsia="宋体" w:cs="宋体"/>
              </w:rPr>
              <w:t xml:space="preserve">3  </w:t>
            </w:r>
            <w:r>
              <w:rPr>
                <w:rFonts w:hint="eastAsia" w:ascii="宋体" w:hAnsi="宋体" w:eastAsia="宋体" w:cs="宋体"/>
              </w:rPr>
              <w:t>……</w:t>
            </w:r>
          </w:p>
          <w:p w14:paraId="5DC1CC5D">
            <w:pPr>
              <w:rPr>
                <w:rFonts w:ascii="宋体" w:hAnsi="宋体" w:eastAsia="宋体" w:cs="Times New Roman"/>
              </w:rPr>
            </w:pPr>
            <w:r>
              <w:rPr>
                <w:rFonts w:hint="eastAsia" w:ascii="宋体" w:hAnsi="宋体" w:eastAsia="宋体" w:cs="宋体"/>
              </w:rPr>
              <w:t>……</w:t>
            </w:r>
          </w:p>
        </w:tc>
        <w:tc>
          <w:tcPr>
            <w:tcW w:w="1228" w:type="dxa"/>
            <w:vAlign w:val="center"/>
          </w:tcPr>
          <w:p w14:paraId="0508C4BB">
            <w:pPr>
              <w:rPr>
                <w:rFonts w:ascii="宋体" w:hAnsi="宋体" w:eastAsia="宋体" w:cs="Times New Roman"/>
              </w:rPr>
            </w:pPr>
          </w:p>
        </w:tc>
      </w:tr>
      <w:tr w14:paraId="3BF3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64" w:type="dxa"/>
            <w:vAlign w:val="center"/>
          </w:tcPr>
          <w:p w14:paraId="6237CCD2">
            <w:pPr>
              <w:rPr>
                <w:rFonts w:ascii="宋体" w:hAnsi="宋体" w:eastAsia="宋体" w:cs="宋体"/>
              </w:rPr>
            </w:pPr>
            <w:r>
              <w:rPr>
                <w:rFonts w:ascii="宋体" w:hAnsi="宋体" w:eastAsia="宋体" w:cs="宋体"/>
              </w:rPr>
              <w:t>...</w:t>
            </w:r>
          </w:p>
        </w:tc>
        <w:tc>
          <w:tcPr>
            <w:tcW w:w="1281" w:type="dxa"/>
            <w:vAlign w:val="center"/>
          </w:tcPr>
          <w:p w14:paraId="080661F4">
            <w:pPr>
              <w:rPr>
                <w:rFonts w:ascii="宋体" w:hAnsi="宋体" w:eastAsia="宋体" w:cs="宋体"/>
              </w:rPr>
            </w:pPr>
          </w:p>
        </w:tc>
        <w:tc>
          <w:tcPr>
            <w:tcW w:w="825" w:type="dxa"/>
            <w:vAlign w:val="center"/>
          </w:tcPr>
          <w:p w14:paraId="3E4EF038">
            <w:pPr>
              <w:rPr>
                <w:rFonts w:ascii="宋体" w:hAnsi="宋体" w:eastAsia="宋体" w:cs="宋体"/>
              </w:rPr>
            </w:pPr>
          </w:p>
        </w:tc>
        <w:tc>
          <w:tcPr>
            <w:tcW w:w="1768" w:type="dxa"/>
            <w:vAlign w:val="center"/>
          </w:tcPr>
          <w:p w14:paraId="276E31F6">
            <w:pPr>
              <w:rPr>
                <w:rFonts w:ascii="宋体" w:hAnsi="宋体" w:eastAsia="宋体" w:cs="宋体"/>
              </w:rPr>
            </w:pPr>
          </w:p>
        </w:tc>
        <w:tc>
          <w:tcPr>
            <w:tcW w:w="1279" w:type="dxa"/>
            <w:vAlign w:val="center"/>
          </w:tcPr>
          <w:p w14:paraId="4C18D1E0">
            <w:pPr>
              <w:rPr>
                <w:rFonts w:ascii="宋体" w:hAnsi="宋体" w:eastAsia="宋体" w:cs="宋体"/>
              </w:rPr>
            </w:pPr>
          </w:p>
        </w:tc>
        <w:tc>
          <w:tcPr>
            <w:tcW w:w="737" w:type="dxa"/>
            <w:vAlign w:val="center"/>
          </w:tcPr>
          <w:p w14:paraId="2F8909EC">
            <w:pPr>
              <w:rPr>
                <w:rFonts w:ascii="宋体" w:hAnsi="宋体" w:eastAsia="宋体" w:cs="宋体"/>
              </w:rPr>
            </w:pPr>
          </w:p>
        </w:tc>
        <w:tc>
          <w:tcPr>
            <w:tcW w:w="1286" w:type="dxa"/>
            <w:vAlign w:val="center"/>
          </w:tcPr>
          <w:p w14:paraId="6167DDBA">
            <w:pPr>
              <w:rPr>
                <w:rFonts w:ascii="宋体" w:hAnsi="宋体" w:eastAsia="宋体" w:cs="宋体"/>
              </w:rPr>
            </w:pPr>
          </w:p>
        </w:tc>
        <w:tc>
          <w:tcPr>
            <w:tcW w:w="1228" w:type="dxa"/>
            <w:vAlign w:val="center"/>
          </w:tcPr>
          <w:p w14:paraId="439E0F5F">
            <w:pPr>
              <w:rPr>
                <w:rFonts w:ascii="宋体" w:hAnsi="宋体" w:eastAsia="宋体" w:cs="宋体"/>
              </w:rPr>
            </w:pPr>
          </w:p>
        </w:tc>
      </w:tr>
    </w:tbl>
    <w:p w14:paraId="4701082B">
      <w:pPr>
        <w:pStyle w:val="16"/>
        <w:spacing w:after="0" w:line="500" w:lineRule="exact"/>
        <w:rPr>
          <w:rFonts w:ascii="宋体"/>
          <w:sz w:val="21"/>
          <w:szCs w:val="21"/>
        </w:rPr>
      </w:pPr>
      <w:r>
        <w:rPr>
          <w:rFonts w:hint="eastAsia" w:ascii="宋体" w:hAnsi="宋体" w:cs="宋体"/>
          <w:sz w:val="21"/>
          <w:szCs w:val="21"/>
        </w:rPr>
        <w:t>注：</w:t>
      </w:r>
    </w:p>
    <w:p w14:paraId="43DF4440">
      <w:pPr>
        <w:pStyle w:val="16"/>
        <w:spacing w:after="0" w:line="500" w:lineRule="exact"/>
        <w:rPr>
          <w:rFonts w:ascii="宋体"/>
          <w:sz w:val="21"/>
          <w:szCs w:val="21"/>
        </w:rPr>
      </w:pPr>
      <w:r>
        <w:rPr>
          <w:rFonts w:ascii="宋体" w:hAnsi="宋体" w:cs="宋体"/>
          <w:sz w:val="21"/>
          <w:szCs w:val="21"/>
        </w:rPr>
        <w:t>1.</w:t>
      </w:r>
      <w:r>
        <w:rPr>
          <w:rFonts w:hint="eastAsia" w:ascii="宋体" w:hAnsi="宋体" w:cs="宋体"/>
          <w:sz w:val="21"/>
          <w:szCs w:val="21"/>
        </w:rPr>
        <w:t>说明：应对照磋商文件“第二章”中“采购需求”的技术条款逐条作出明确响应，并作出偏离说明。</w:t>
      </w:r>
    </w:p>
    <w:p w14:paraId="61F014D4">
      <w:pPr>
        <w:pStyle w:val="18"/>
        <w:spacing w:line="500" w:lineRule="exact"/>
        <w:ind w:firstLine="0" w:firstLineChars="0"/>
        <w:rPr>
          <w:rFonts w:ascii="宋体" w:hAnsi="宋体" w:eastAsia="宋体" w:cs="Times New Roman"/>
          <w:sz w:val="21"/>
          <w:szCs w:val="21"/>
        </w:rPr>
      </w:pPr>
      <w:r>
        <w:rPr>
          <w:rFonts w:ascii="宋体" w:hAnsi="宋体" w:eastAsia="宋体" w:cs="宋体"/>
          <w:sz w:val="21"/>
          <w:szCs w:val="21"/>
        </w:rPr>
        <w:t>2.</w:t>
      </w:r>
      <w:r>
        <w:rPr>
          <w:rFonts w:hint="eastAsia" w:ascii="宋体" w:hAnsi="宋体" w:eastAsia="宋体" w:cs="宋体"/>
          <w:sz w:val="21"/>
          <w:szCs w:val="21"/>
        </w:rPr>
        <w:t>供应商应根据自身的承诺，对照磋商文件要求，在“偏离说明”中注明“正偏离”、“负偏离”或者“无偏离”。既不属于“正偏离”也不属于“负偏离”即为“无偏离”。</w:t>
      </w:r>
      <w:r>
        <w:rPr>
          <w:rFonts w:ascii="宋体" w:hAnsi="宋体" w:eastAsia="宋体" w:cs="宋体"/>
          <w:sz w:val="21"/>
          <w:szCs w:val="21"/>
        </w:rPr>
        <w:t xml:space="preserve"> </w:t>
      </w:r>
      <w:r>
        <w:rPr>
          <w:rFonts w:hint="eastAsia" w:ascii="宋体" w:hAnsi="宋体" w:eastAsia="宋体" w:cs="宋体"/>
          <w:sz w:val="21"/>
          <w:szCs w:val="21"/>
        </w:rPr>
        <w:t>当响应文件的商务内容低于竞争性磋商采购文件要求时，竞标人应当如实写明“负偏离”，否则视为虚假应标</w:t>
      </w:r>
    </w:p>
    <w:p w14:paraId="787AF622">
      <w:pPr>
        <w:spacing w:line="500" w:lineRule="exact"/>
        <w:rPr>
          <w:rFonts w:ascii="宋体" w:hAnsi="宋体" w:eastAsia="宋体" w:cs="Times New Roman"/>
          <w:kern w:val="0"/>
        </w:rPr>
      </w:pPr>
      <w:r>
        <w:rPr>
          <w:rFonts w:ascii="宋体" w:hAnsi="宋体" w:eastAsia="宋体" w:cs="宋体"/>
          <w:kern w:val="0"/>
        </w:rPr>
        <w:t>3.</w:t>
      </w:r>
      <w:r>
        <w:rPr>
          <w:rFonts w:hint="eastAsia" w:ascii="宋体" w:hAnsi="宋体" w:eastAsia="宋体" w:cs="宋体"/>
          <w:kern w:val="0"/>
        </w:rPr>
        <w:t>表格内容均需按要求填写并盖章，不得留空，否则按响应无效处理。</w:t>
      </w:r>
    </w:p>
    <w:p w14:paraId="07624F6A">
      <w:pPr>
        <w:snapToGrid w:val="0"/>
        <w:spacing w:line="360" w:lineRule="auto"/>
        <w:ind w:firstLine="422" w:firstLineChars="200"/>
        <w:rPr>
          <w:rFonts w:ascii="宋体" w:hAnsi="宋体" w:eastAsia="宋体" w:cs="Times New Roman"/>
          <w:b/>
          <w:bCs/>
        </w:rPr>
      </w:pPr>
    </w:p>
    <w:p w14:paraId="581C580F">
      <w:pPr>
        <w:autoSpaceDE w:val="0"/>
        <w:autoSpaceDN w:val="0"/>
        <w:spacing w:line="360" w:lineRule="auto"/>
        <w:ind w:left="4305" w:leftChars="2050" w:firstLine="1155" w:firstLineChars="550"/>
        <w:rPr>
          <w:rFonts w:ascii="宋体" w:hAnsi="宋体" w:eastAsia="宋体" w:cs="Times New Roman"/>
          <w:kern w:val="0"/>
        </w:rPr>
      </w:pPr>
      <w:r>
        <w:rPr>
          <w:rFonts w:hint="eastAsia" w:ascii="宋体" w:hAnsi="宋体" w:eastAsia="宋体" w:cs="宋体"/>
          <w:kern w:val="0"/>
        </w:rPr>
        <w:t>供应商名称（电子签章）：</w:t>
      </w:r>
    </w:p>
    <w:p w14:paraId="1F2E61E7">
      <w:pPr>
        <w:autoSpaceDE w:val="0"/>
        <w:autoSpaceDN w:val="0"/>
        <w:spacing w:line="360" w:lineRule="auto"/>
        <w:ind w:firstLine="5670" w:firstLineChars="2700"/>
        <w:rPr>
          <w:rFonts w:ascii="宋体" w:hAnsi="宋体" w:eastAsia="宋体" w:cs="Times New Roman"/>
          <w:b/>
          <w:bCs/>
        </w:rPr>
      </w:pPr>
      <w:r>
        <w:rPr>
          <w:rFonts w:hint="eastAsia" w:ascii="宋体" w:hAnsi="宋体" w:eastAsia="宋体" w:cs="宋体"/>
          <w:kern w:val="0"/>
          <w:lang w:val="zh-CN"/>
        </w:rPr>
        <w:t>日期：</w:t>
      </w:r>
      <w:r>
        <w:rPr>
          <w:rFonts w:ascii="宋体" w:hAnsi="宋体" w:eastAsia="宋体" w:cs="宋体"/>
          <w:kern w:val="0"/>
          <w:lang w:val="zh-CN"/>
        </w:rPr>
        <w:t xml:space="preserve">  </w:t>
      </w:r>
      <w:r>
        <w:rPr>
          <w:rFonts w:hint="eastAsia" w:ascii="宋体" w:hAnsi="宋体" w:eastAsia="宋体" w:cs="宋体"/>
          <w:kern w:val="0"/>
          <w:lang w:val="zh-CN"/>
        </w:rPr>
        <w:t>年</w:t>
      </w:r>
      <w:r>
        <w:rPr>
          <w:rFonts w:ascii="宋体" w:hAnsi="宋体" w:eastAsia="宋体" w:cs="宋体"/>
          <w:kern w:val="0"/>
          <w:lang w:val="zh-CN"/>
        </w:rPr>
        <w:t xml:space="preserve">  </w:t>
      </w:r>
      <w:r>
        <w:rPr>
          <w:rFonts w:hint="eastAsia" w:ascii="宋体" w:hAnsi="宋体" w:eastAsia="宋体" w:cs="宋体"/>
          <w:kern w:val="0"/>
          <w:lang w:val="zh-CN"/>
        </w:rPr>
        <w:t>月</w:t>
      </w:r>
      <w:r>
        <w:rPr>
          <w:rFonts w:ascii="宋体" w:hAnsi="宋体" w:eastAsia="宋体" w:cs="宋体"/>
          <w:kern w:val="0"/>
          <w:lang w:val="zh-CN"/>
        </w:rPr>
        <w:t xml:space="preserve">   </w:t>
      </w:r>
      <w:r>
        <w:rPr>
          <w:rFonts w:hint="eastAsia" w:ascii="宋体" w:hAnsi="宋体" w:eastAsia="宋体" w:cs="宋体"/>
          <w:kern w:val="0"/>
          <w:lang w:val="zh-CN"/>
        </w:rPr>
        <w:t>日</w:t>
      </w:r>
    </w:p>
    <w:p w14:paraId="27C8A76F">
      <w:pPr>
        <w:adjustRightInd w:val="0"/>
        <w:snapToGrid w:val="0"/>
        <w:spacing w:line="520" w:lineRule="exact"/>
        <w:jc w:val="center"/>
        <w:rPr>
          <w:rFonts w:ascii="宋体" w:hAnsi="宋体" w:eastAsia="宋体" w:cs="Times New Roman"/>
          <w:sz w:val="44"/>
          <w:szCs w:val="44"/>
        </w:rPr>
      </w:pPr>
    </w:p>
    <w:p w14:paraId="750EFD62">
      <w:pPr>
        <w:widowControl/>
        <w:jc w:val="left"/>
        <w:rPr>
          <w:rFonts w:ascii="宋体" w:hAnsi="宋体" w:eastAsia="宋体" w:cs="Times New Roman"/>
          <w:b/>
          <w:bCs/>
          <w:sz w:val="28"/>
          <w:szCs w:val="28"/>
        </w:rPr>
      </w:pPr>
    </w:p>
    <w:p w14:paraId="44D38EFF">
      <w:pPr>
        <w:widowControl/>
        <w:jc w:val="left"/>
        <w:rPr>
          <w:rFonts w:ascii="宋体" w:hAnsi="宋体" w:eastAsia="宋体" w:cs="Times New Roman"/>
          <w:b/>
          <w:bCs/>
          <w:sz w:val="28"/>
          <w:szCs w:val="28"/>
        </w:rPr>
      </w:pPr>
      <w:r>
        <w:rPr>
          <w:rFonts w:hint="eastAsia" w:ascii="宋体" w:hAnsi="宋体" w:eastAsia="宋体" w:cs="宋体"/>
          <w:b/>
          <w:bCs/>
          <w:sz w:val="28"/>
          <w:szCs w:val="28"/>
        </w:rPr>
        <w:t>六、</w:t>
      </w:r>
      <w:r>
        <w:rPr>
          <w:rFonts w:hint="eastAsia" w:ascii="宋体" w:eastAsia="宋体" w:cs="宋体"/>
          <w:b/>
          <w:bCs/>
          <w:kern w:val="0"/>
          <w:sz w:val="28"/>
          <w:szCs w:val="28"/>
        </w:rPr>
        <w:t>项目实施方案</w:t>
      </w:r>
    </w:p>
    <w:p w14:paraId="795E2B4F">
      <w:pPr>
        <w:widowControl/>
        <w:jc w:val="left"/>
        <w:rPr>
          <w:rFonts w:ascii="宋体" w:hAnsi="宋体" w:eastAsia="宋体" w:cs="Times New Roman"/>
          <w:sz w:val="28"/>
          <w:szCs w:val="28"/>
        </w:rPr>
      </w:pPr>
    </w:p>
    <w:p w14:paraId="69E7E418">
      <w:pPr>
        <w:widowControl/>
        <w:jc w:val="left"/>
        <w:rPr>
          <w:rFonts w:ascii="宋体" w:hAnsi="宋体" w:eastAsia="宋体" w:cs="Times New Roman"/>
          <w:sz w:val="28"/>
          <w:szCs w:val="28"/>
        </w:rPr>
      </w:pPr>
      <w:r>
        <w:rPr>
          <w:rFonts w:hint="eastAsia" w:ascii="宋体" w:hAnsi="宋体" w:eastAsia="宋体" w:cs="宋体"/>
          <w:sz w:val="28"/>
          <w:szCs w:val="28"/>
        </w:rPr>
        <w:t>格式自拟</w:t>
      </w:r>
    </w:p>
    <w:p w14:paraId="67B27C07">
      <w:pPr>
        <w:autoSpaceDE w:val="0"/>
        <w:autoSpaceDN w:val="0"/>
        <w:spacing w:line="360" w:lineRule="auto"/>
        <w:ind w:left="4305" w:leftChars="2050" w:firstLine="1155" w:firstLineChars="550"/>
        <w:rPr>
          <w:rFonts w:ascii="宋体" w:hAnsi="宋体" w:eastAsia="宋体" w:cs="Times New Roman"/>
          <w:kern w:val="0"/>
        </w:rPr>
      </w:pPr>
      <w:r>
        <w:rPr>
          <w:rFonts w:hint="eastAsia" w:ascii="宋体" w:hAnsi="宋体" w:eastAsia="宋体" w:cs="宋体"/>
          <w:kern w:val="0"/>
        </w:rPr>
        <w:t>供应商名称（电子签章）：</w:t>
      </w:r>
    </w:p>
    <w:p w14:paraId="5260F41E">
      <w:pPr>
        <w:autoSpaceDE w:val="0"/>
        <w:autoSpaceDN w:val="0"/>
        <w:spacing w:line="360" w:lineRule="auto"/>
        <w:ind w:firstLine="5670" w:firstLineChars="2700"/>
        <w:rPr>
          <w:rFonts w:ascii="宋体" w:hAnsi="宋体" w:eastAsia="宋体" w:cs="Times New Roman"/>
          <w:b/>
          <w:bCs/>
        </w:rPr>
      </w:pPr>
      <w:r>
        <w:rPr>
          <w:rFonts w:hint="eastAsia" w:ascii="宋体" w:hAnsi="宋体" w:eastAsia="宋体" w:cs="宋体"/>
          <w:kern w:val="0"/>
          <w:lang w:val="zh-CN"/>
        </w:rPr>
        <w:t>日期：</w:t>
      </w:r>
      <w:r>
        <w:rPr>
          <w:rFonts w:ascii="宋体" w:hAnsi="宋体" w:eastAsia="宋体" w:cs="宋体"/>
          <w:kern w:val="0"/>
          <w:lang w:val="zh-CN"/>
        </w:rPr>
        <w:t xml:space="preserve">  </w:t>
      </w:r>
      <w:r>
        <w:rPr>
          <w:rFonts w:hint="eastAsia" w:ascii="宋体" w:hAnsi="宋体" w:eastAsia="宋体" w:cs="宋体"/>
          <w:kern w:val="0"/>
          <w:lang w:val="zh-CN"/>
        </w:rPr>
        <w:t>年</w:t>
      </w:r>
      <w:r>
        <w:rPr>
          <w:rFonts w:ascii="宋体" w:hAnsi="宋体" w:eastAsia="宋体" w:cs="宋体"/>
          <w:kern w:val="0"/>
          <w:lang w:val="zh-CN"/>
        </w:rPr>
        <w:t xml:space="preserve">  </w:t>
      </w:r>
      <w:r>
        <w:rPr>
          <w:rFonts w:hint="eastAsia" w:ascii="宋体" w:hAnsi="宋体" w:eastAsia="宋体" w:cs="宋体"/>
          <w:kern w:val="0"/>
          <w:lang w:val="zh-CN"/>
        </w:rPr>
        <w:t>月</w:t>
      </w:r>
      <w:r>
        <w:rPr>
          <w:rFonts w:ascii="宋体" w:hAnsi="宋体" w:eastAsia="宋体" w:cs="宋体"/>
          <w:kern w:val="0"/>
          <w:lang w:val="zh-CN"/>
        </w:rPr>
        <w:t xml:space="preserve">   </w:t>
      </w:r>
      <w:r>
        <w:rPr>
          <w:rFonts w:hint="eastAsia" w:ascii="宋体" w:hAnsi="宋体" w:eastAsia="宋体" w:cs="宋体"/>
          <w:kern w:val="0"/>
          <w:lang w:val="zh-CN"/>
        </w:rPr>
        <w:t>日</w:t>
      </w:r>
    </w:p>
    <w:p w14:paraId="14B64D6E">
      <w:pPr>
        <w:widowControl/>
        <w:jc w:val="left"/>
        <w:rPr>
          <w:rFonts w:ascii="宋体" w:hAnsi="宋体" w:eastAsia="宋体" w:cs="Times New Roman"/>
          <w:sz w:val="28"/>
          <w:szCs w:val="28"/>
        </w:rPr>
      </w:pPr>
    </w:p>
    <w:p w14:paraId="0274CB42">
      <w:pPr>
        <w:widowControl/>
        <w:jc w:val="left"/>
        <w:rPr>
          <w:rFonts w:ascii="宋体" w:hAnsi="宋体" w:eastAsia="宋体" w:cs="Times New Roman"/>
          <w:b/>
          <w:bCs/>
          <w:sz w:val="28"/>
          <w:szCs w:val="28"/>
        </w:rPr>
      </w:pPr>
      <w:r>
        <w:rPr>
          <w:rFonts w:ascii="宋体" w:hAnsi="宋体" w:eastAsia="宋体" w:cs="Times New Roman"/>
          <w:b/>
          <w:bCs/>
          <w:sz w:val="28"/>
          <w:szCs w:val="28"/>
        </w:rPr>
        <w:br w:type="page"/>
      </w:r>
    </w:p>
    <w:p w14:paraId="5744CDDC">
      <w:pPr>
        <w:jc w:val="left"/>
        <w:rPr>
          <w:rFonts w:ascii="宋体" w:hAnsi="宋体" w:eastAsia="宋体" w:cs="Times New Roman"/>
          <w:b/>
          <w:bCs/>
          <w:sz w:val="28"/>
          <w:szCs w:val="28"/>
        </w:rPr>
      </w:pPr>
      <w:r>
        <w:rPr>
          <w:rFonts w:hint="eastAsia" w:ascii="宋体" w:hAnsi="宋体" w:eastAsia="宋体" w:cs="宋体"/>
          <w:b/>
          <w:bCs/>
          <w:sz w:val="28"/>
          <w:szCs w:val="28"/>
        </w:rPr>
        <w:t>七、项目经理简历表</w:t>
      </w:r>
    </w:p>
    <w:p w14:paraId="31C131D0">
      <w:pPr>
        <w:jc w:val="center"/>
        <w:rPr>
          <w:rFonts w:ascii="宋体" w:hAnsi="宋体" w:eastAsia="宋体" w:cs="Times New Roman"/>
          <w:b/>
          <w:bCs/>
          <w:sz w:val="32"/>
          <w:szCs w:val="32"/>
        </w:rPr>
      </w:pPr>
      <w:r>
        <w:rPr>
          <w:rFonts w:hint="eastAsia" w:ascii="宋体" w:hAnsi="宋体" w:eastAsia="宋体" w:cs="宋体"/>
          <w:b/>
          <w:bCs/>
          <w:sz w:val="32"/>
          <w:szCs w:val="32"/>
        </w:rPr>
        <w:t>项目经理简历表</w:t>
      </w:r>
    </w:p>
    <w:p w14:paraId="0E113BB7">
      <w:pPr>
        <w:jc w:val="center"/>
        <w:rPr>
          <w:rFonts w:ascii="宋体" w:hAnsi="宋体" w:eastAsia="宋体" w:cs="Times New Roman"/>
        </w:rPr>
      </w:pPr>
    </w:p>
    <w:tbl>
      <w:tblPr>
        <w:tblStyle w:val="44"/>
        <w:tblW w:w="0" w:type="auto"/>
        <w:jc w:val="center"/>
        <w:tblLayout w:type="fixed"/>
        <w:tblCellMar>
          <w:top w:w="0" w:type="dxa"/>
          <w:left w:w="0" w:type="dxa"/>
          <w:bottom w:w="0" w:type="dxa"/>
          <w:right w:w="0" w:type="dxa"/>
        </w:tblCellMar>
      </w:tblPr>
      <w:tblGrid>
        <w:gridCol w:w="1158"/>
        <w:gridCol w:w="2005"/>
        <w:gridCol w:w="1155"/>
        <w:gridCol w:w="1565"/>
        <w:gridCol w:w="1060"/>
        <w:gridCol w:w="1670"/>
      </w:tblGrid>
      <w:tr w14:paraId="1503DDA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C5B6736">
            <w:pPr>
              <w:spacing w:line="500" w:lineRule="exact"/>
              <w:jc w:val="center"/>
              <w:rPr>
                <w:rFonts w:ascii="宋体" w:hAnsi="宋体" w:eastAsia="宋体" w:cs="Times New Roman"/>
              </w:rPr>
            </w:pPr>
            <w:r>
              <w:rPr>
                <w:rFonts w:hint="eastAsia" w:ascii="宋体" w:hAnsi="宋体" w:eastAsia="宋体" w:cs="宋体"/>
              </w:rPr>
              <w:t>姓名</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6689A1">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3C552FD">
            <w:pPr>
              <w:spacing w:line="500" w:lineRule="exact"/>
              <w:jc w:val="center"/>
              <w:rPr>
                <w:rFonts w:ascii="宋体" w:hAnsi="宋体" w:eastAsia="宋体" w:cs="Times New Roman"/>
              </w:rPr>
            </w:pPr>
            <w:r>
              <w:rPr>
                <w:rFonts w:hint="eastAsia" w:ascii="宋体" w:hAnsi="宋体" w:eastAsia="宋体" w:cs="宋体"/>
              </w:rPr>
              <w:t>性别</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6D324C">
            <w:pPr>
              <w:spacing w:line="500" w:lineRule="exact"/>
              <w:jc w:val="center"/>
              <w:rPr>
                <w:rFonts w:ascii="宋体" w:hAnsi="宋体" w:eastAsia="宋体" w:cs="Times New Roman"/>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E28CE6">
            <w:pPr>
              <w:spacing w:line="500" w:lineRule="exact"/>
              <w:jc w:val="center"/>
              <w:rPr>
                <w:rFonts w:ascii="宋体" w:hAnsi="宋体" w:eastAsia="宋体" w:cs="Times New Roman"/>
              </w:rPr>
            </w:pPr>
            <w:r>
              <w:rPr>
                <w:rFonts w:hint="eastAsia" w:ascii="宋体" w:hAnsi="宋体" w:eastAsia="宋体" w:cs="宋体"/>
              </w:rPr>
              <w:t>年龄</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BC6024">
            <w:pPr>
              <w:spacing w:line="500" w:lineRule="exact"/>
              <w:jc w:val="center"/>
              <w:rPr>
                <w:rFonts w:ascii="宋体" w:hAnsi="宋体" w:eastAsia="宋体" w:cs="Times New Roman"/>
              </w:rPr>
            </w:pPr>
          </w:p>
        </w:tc>
      </w:tr>
      <w:tr w14:paraId="175DC6C9">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382FA3">
            <w:pPr>
              <w:spacing w:line="500" w:lineRule="exact"/>
              <w:jc w:val="center"/>
              <w:rPr>
                <w:rFonts w:ascii="宋体" w:hAnsi="宋体" w:eastAsia="宋体" w:cs="Times New Roman"/>
              </w:rPr>
            </w:pPr>
            <w:r>
              <w:rPr>
                <w:rFonts w:hint="eastAsia" w:ascii="宋体" w:hAnsi="宋体" w:eastAsia="宋体" w:cs="宋体"/>
              </w:rPr>
              <w:t>职务</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C59AEB">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8A57C0">
            <w:pPr>
              <w:spacing w:line="500" w:lineRule="exact"/>
              <w:jc w:val="center"/>
              <w:rPr>
                <w:rFonts w:ascii="宋体" w:hAnsi="宋体" w:eastAsia="宋体" w:cs="Times New Roman"/>
              </w:rPr>
            </w:pPr>
            <w:r>
              <w:rPr>
                <w:rFonts w:hint="eastAsia" w:ascii="宋体" w:hAnsi="宋体" w:eastAsia="宋体" w:cs="宋体"/>
              </w:rPr>
              <w:t>职称</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042B899">
            <w:pPr>
              <w:spacing w:line="500" w:lineRule="exact"/>
              <w:jc w:val="center"/>
              <w:rPr>
                <w:rFonts w:ascii="宋体" w:hAnsi="宋体" w:eastAsia="宋体" w:cs="Times New Roman"/>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BFCBD8">
            <w:pPr>
              <w:spacing w:line="500" w:lineRule="exact"/>
              <w:jc w:val="center"/>
              <w:rPr>
                <w:rFonts w:ascii="宋体" w:hAnsi="宋体" w:eastAsia="宋体" w:cs="Times New Roman"/>
              </w:rPr>
            </w:pPr>
            <w:r>
              <w:rPr>
                <w:rFonts w:hint="eastAsia" w:ascii="宋体" w:hAnsi="宋体" w:eastAsia="宋体" w:cs="宋体"/>
              </w:rPr>
              <w:t>学历</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B988198">
            <w:pPr>
              <w:spacing w:line="500" w:lineRule="exact"/>
              <w:jc w:val="center"/>
              <w:rPr>
                <w:rFonts w:ascii="宋体" w:hAnsi="宋体" w:eastAsia="宋体" w:cs="Times New Roman"/>
              </w:rPr>
            </w:pPr>
          </w:p>
        </w:tc>
      </w:tr>
      <w:tr w14:paraId="363D155E">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CBF3B3">
            <w:pPr>
              <w:spacing w:line="500" w:lineRule="exact"/>
              <w:jc w:val="center"/>
              <w:rPr>
                <w:rFonts w:ascii="宋体" w:hAnsi="宋体" w:eastAsia="宋体" w:cs="Times New Roman"/>
              </w:rPr>
            </w:pPr>
            <w:r>
              <w:rPr>
                <w:rFonts w:hint="eastAsia" w:ascii="宋体" w:hAnsi="宋体" w:eastAsia="宋体" w:cs="宋体"/>
              </w:rPr>
              <w:t>参加工作时间</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CF22A5">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B0BF3A">
            <w:pPr>
              <w:spacing w:line="500" w:lineRule="exact"/>
              <w:jc w:val="center"/>
              <w:rPr>
                <w:rFonts w:ascii="宋体" w:hAnsi="宋体" w:eastAsia="宋体" w:cs="Times New Roman"/>
              </w:rPr>
            </w:pPr>
            <w:r>
              <w:rPr>
                <w:rFonts w:hint="eastAsia" w:ascii="宋体" w:hAnsi="宋体" w:eastAsia="宋体" w:cs="宋体"/>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C6F11DA">
            <w:pPr>
              <w:spacing w:line="500" w:lineRule="exact"/>
              <w:jc w:val="center"/>
              <w:rPr>
                <w:rFonts w:ascii="宋体" w:hAnsi="宋体" w:eastAsia="宋体" w:cs="Times New Roman"/>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E61047">
            <w:pPr>
              <w:spacing w:line="500" w:lineRule="exact"/>
              <w:jc w:val="center"/>
              <w:rPr>
                <w:rFonts w:ascii="宋体" w:hAnsi="宋体" w:eastAsia="宋体" w:cs="Times New Roman"/>
              </w:rPr>
            </w:pPr>
            <w:r>
              <w:rPr>
                <w:rFonts w:hint="eastAsia" w:ascii="宋体" w:hAnsi="宋体" w:eastAsia="宋体" w:cs="宋体"/>
              </w:rPr>
              <w:t>资质等级</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28FE0CA">
            <w:pPr>
              <w:spacing w:line="500" w:lineRule="exact"/>
              <w:jc w:val="center"/>
              <w:rPr>
                <w:rFonts w:ascii="宋体" w:hAnsi="宋体" w:eastAsia="宋体" w:cs="Times New Roman"/>
              </w:rPr>
            </w:pPr>
          </w:p>
        </w:tc>
      </w:tr>
      <w:tr w14:paraId="52E97727">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91F43D">
            <w:pPr>
              <w:spacing w:line="500" w:lineRule="exact"/>
              <w:jc w:val="center"/>
              <w:rPr>
                <w:rFonts w:ascii="宋体" w:hAnsi="宋体" w:eastAsia="宋体" w:cs="Times New Roman"/>
              </w:rPr>
            </w:pPr>
            <w:r>
              <w:rPr>
                <w:rFonts w:hint="eastAsia" w:ascii="宋体" w:hAnsi="宋体" w:eastAsia="宋体" w:cs="宋体"/>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80458C">
            <w:pPr>
              <w:spacing w:line="500" w:lineRule="exact"/>
              <w:jc w:val="center"/>
              <w:rPr>
                <w:rFonts w:ascii="宋体" w:hAnsi="宋体" w:eastAsia="宋体" w:cs="Times New Roman"/>
              </w:rPr>
            </w:pPr>
          </w:p>
        </w:tc>
      </w:tr>
      <w:tr w14:paraId="154FF0C5">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7A9AE9">
            <w:pPr>
              <w:spacing w:line="500" w:lineRule="exact"/>
              <w:jc w:val="center"/>
              <w:rPr>
                <w:rFonts w:ascii="宋体" w:hAnsi="宋体" w:eastAsia="宋体" w:cs="Times New Roman"/>
              </w:rPr>
            </w:pPr>
            <w:r>
              <w:rPr>
                <w:rFonts w:hint="eastAsia" w:ascii="宋体" w:hAnsi="宋体" w:eastAsia="宋体" w:cs="宋体"/>
              </w:rPr>
              <w:t>已完工程项目情况</w:t>
            </w:r>
          </w:p>
        </w:tc>
      </w:tr>
      <w:tr w14:paraId="78C35A2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D7792E">
            <w:pPr>
              <w:spacing w:line="500" w:lineRule="exact"/>
              <w:jc w:val="center"/>
              <w:rPr>
                <w:rFonts w:ascii="宋体" w:hAnsi="宋体" w:eastAsia="宋体" w:cs="Times New Roman"/>
              </w:rPr>
            </w:pPr>
            <w:r>
              <w:rPr>
                <w:rFonts w:hint="eastAsia" w:ascii="宋体" w:hAnsi="宋体" w:eastAsia="宋体" w:cs="宋体"/>
              </w:rPr>
              <w:t>建设单位</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B560AC">
            <w:pPr>
              <w:spacing w:line="500" w:lineRule="exact"/>
              <w:jc w:val="center"/>
              <w:rPr>
                <w:rFonts w:ascii="宋体" w:hAnsi="宋体" w:eastAsia="宋体" w:cs="Times New Roman"/>
              </w:rPr>
            </w:pPr>
            <w:r>
              <w:rPr>
                <w:rFonts w:hint="eastAsia" w:ascii="宋体" w:hAnsi="宋体" w:eastAsia="宋体" w:cs="宋体"/>
              </w:rPr>
              <w:t>项目名称</w:t>
            </w: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D0F9E55">
            <w:pPr>
              <w:spacing w:line="500" w:lineRule="exact"/>
              <w:jc w:val="center"/>
              <w:rPr>
                <w:rFonts w:ascii="宋体" w:hAnsi="宋体" w:eastAsia="宋体" w:cs="Times New Roman"/>
              </w:rPr>
            </w:pPr>
            <w:r>
              <w:rPr>
                <w:rFonts w:hint="eastAsia" w:ascii="宋体" w:hAnsi="宋体" w:eastAsia="宋体" w:cs="宋体"/>
              </w:rPr>
              <w:t>建筑规模</w:t>
            </w: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E4F31B0">
            <w:pPr>
              <w:spacing w:line="500" w:lineRule="exact"/>
              <w:jc w:val="center"/>
              <w:rPr>
                <w:rFonts w:ascii="宋体" w:hAnsi="宋体" w:eastAsia="宋体" w:cs="Times New Roman"/>
              </w:rPr>
            </w:pPr>
            <w:r>
              <w:rPr>
                <w:rFonts w:hint="eastAsia" w:ascii="宋体" w:hAnsi="宋体" w:eastAsia="宋体" w:cs="宋体"/>
              </w:rPr>
              <w:t>开竣工日期</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8D513A">
            <w:pPr>
              <w:spacing w:line="500" w:lineRule="exact"/>
              <w:jc w:val="center"/>
              <w:rPr>
                <w:rFonts w:ascii="宋体" w:hAnsi="宋体" w:eastAsia="宋体" w:cs="Times New Roman"/>
              </w:rPr>
            </w:pPr>
            <w:r>
              <w:rPr>
                <w:rFonts w:hint="eastAsia" w:ascii="宋体" w:hAnsi="宋体" w:eastAsia="宋体" w:cs="宋体"/>
              </w:rPr>
              <w:t>质量等级</w:t>
            </w:r>
          </w:p>
        </w:tc>
      </w:tr>
      <w:tr w14:paraId="2800E41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692344">
            <w:pPr>
              <w:spacing w:line="500" w:lineRule="exact"/>
              <w:jc w:val="center"/>
              <w:rPr>
                <w:rFonts w:ascii="宋体" w:hAnsi="宋体" w:eastAsia="宋体" w:cs="Times New Roman"/>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EAC5AE">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3657A7">
            <w:pPr>
              <w:spacing w:line="500" w:lineRule="exact"/>
              <w:jc w:val="center"/>
              <w:rPr>
                <w:rFonts w:ascii="宋体" w:hAnsi="宋体" w:eastAsia="宋体" w:cs="Times New Roman"/>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49E5BC">
            <w:pPr>
              <w:spacing w:line="500" w:lineRule="exact"/>
              <w:jc w:val="center"/>
              <w:rPr>
                <w:rFonts w:ascii="宋体" w:hAnsi="宋体" w:eastAsia="宋体" w:cs="Times New Roman"/>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191E2E">
            <w:pPr>
              <w:spacing w:line="500" w:lineRule="exact"/>
              <w:jc w:val="center"/>
              <w:rPr>
                <w:rFonts w:ascii="宋体" w:hAnsi="宋体" w:eastAsia="宋体" w:cs="Times New Roman"/>
              </w:rPr>
            </w:pPr>
          </w:p>
        </w:tc>
      </w:tr>
      <w:tr w14:paraId="4E5EBAC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867F8A">
            <w:pPr>
              <w:spacing w:line="500" w:lineRule="exact"/>
              <w:jc w:val="center"/>
              <w:rPr>
                <w:rFonts w:ascii="宋体" w:hAnsi="宋体" w:eastAsia="宋体" w:cs="Times New Roman"/>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4C0E17">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25C8C9">
            <w:pPr>
              <w:spacing w:line="500" w:lineRule="exact"/>
              <w:jc w:val="center"/>
              <w:rPr>
                <w:rFonts w:ascii="宋体" w:hAnsi="宋体" w:eastAsia="宋体" w:cs="Times New Roman"/>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F752D5">
            <w:pPr>
              <w:spacing w:line="500" w:lineRule="exact"/>
              <w:jc w:val="center"/>
              <w:rPr>
                <w:rFonts w:ascii="宋体" w:hAnsi="宋体" w:eastAsia="宋体" w:cs="Times New Roman"/>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349C88">
            <w:pPr>
              <w:spacing w:line="500" w:lineRule="exact"/>
              <w:jc w:val="center"/>
              <w:rPr>
                <w:rFonts w:ascii="宋体" w:hAnsi="宋体" w:eastAsia="宋体" w:cs="Times New Roman"/>
              </w:rPr>
            </w:pPr>
          </w:p>
        </w:tc>
      </w:tr>
      <w:tr w14:paraId="4A5A2EF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C0A7A2">
            <w:pPr>
              <w:spacing w:line="500" w:lineRule="exact"/>
              <w:jc w:val="center"/>
              <w:rPr>
                <w:rFonts w:ascii="宋体" w:hAnsi="宋体" w:eastAsia="宋体" w:cs="Times New Roman"/>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4153A2">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487A3FB">
            <w:pPr>
              <w:spacing w:line="500" w:lineRule="exact"/>
              <w:jc w:val="center"/>
              <w:rPr>
                <w:rFonts w:ascii="宋体" w:hAnsi="宋体" w:eastAsia="宋体" w:cs="Times New Roman"/>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6E34F3">
            <w:pPr>
              <w:spacing w:line="500" w:lineRule="exact"/>
              <w:jc w:val="center"/>
              <w:rPr>
                <w:rFonts w:ascii="宋体" w:hAnsi="宋体" w:eastAsia="宋体" w:cs="Times New Roman"/>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9647DB">
            <w:pPr>
              <w:spacing w:line="500" w:lineRule="exact"/>
              <w:jc w:val="center"/>
              <w:rPr>
                <w:rFonts w:ascii="宋体" w:hAnsi="宋体" w:eastAsia="宋体" w:cs="Times New Roman"/>
              </w:rPr>
            </w:pPr>
          </w:p>
        </w:tc>
      </w:tr>
      <w:tr w14:paraId="3088AB7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3399CD">
            <w:pPr>
              <w:spacing w:line="500" w:lineRule="exact"/>
              <w:jc w:val="center"/>
              <w:rPr>
                <w:rFonts w:ascii="宋体" w:hAnsi="宋体" w:eastAsia="宋体" w:cs="Times New Roman"/>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A3C5E7">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27AA51">
            <w:pPr>
              <w:spacing w:line="500" w:lineRule="exact"/>
              <w:jc w:val="center"/>
              <w:rPr>
                <w:rFonts w:ascii="宋体" w:hAnsi="宋体" w:eastAsia="宋体" w:cs="Times New Roman"/>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FE08BA">
            <w:pPr>
              <w:spacing w:line="500" w:lineRule="exact"/>
              <w:jc w:val="center"/>
              <w:rPr>
                <w:rFonts w:ascii="宋体" w:hAnsi="宋体" w:eastAsia="宋体" w:cs="Times New Roman"/>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D5F384">
            <w:pPr>
              <w:spacing w:line="500" w:lineRule="exact"/>
              <w:jc w:val="center"/>
              <w:rPr>
                <w:rFonts w:ascii="宋体" w:hAnsi="宋体" w:eastAsia="宋体" w:cs="Times New Roman"/>
              </w:rPr>
            </w:pPr>
          </w:p>
        </w:tc>
      </w:tr>
      <w:tr w14:paraId="7456EF1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0BC904">
            <w:pPr>
              <w:spacing w:line="500" w:lineRule="exact"/>
              <w:jc w:val="center"/>
              <w:rPr>
                <w:rFonts w:ascii="宋体" w:hAnsi="宋体" w:eastAsia="宋体" w:cs="Times New Roman"/>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D42DC2">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A6F4E6C">
            <w:pPr>
              <w:spacing w:line="500" w:lineRule="exact"/>
              <w:jc w:val="center"/>
              <w:rPr>
                <w:rFonts w:ascii="宋体" w:hAnsi="宋体" w:eastAsia="宋体" w:cs="Times New Roman"/>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989855">
            <w:pPr>
              <w:spacing w:line="500" w:lineRule="exact"/>
              <w:jc w:val="center"/>
              <w:rPr>
                <w:rFonts w:ascii="宋体" w:hAnsi="宋体" w:eastAsia="宋体" w:cs="Times New Roman"/>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C70CA6">
            <w:pPr>
              <w:spacing w:line="500" w:lineRule="exact"/>
              <w:jc w:val="center"/>
              <w:rPr>
                <w:rFonts w:ascii="宋体" w:hAnsi="宋体" w:eastAsia="宋体" w:cs="Times New Roman"/>
              </w:rPr>
            </w:pPr>
          </w:p>
        </w:tc>
      </w:tr>
      <w:tr w14:paraId="7537A7B9">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15C566">
            <w:pPr>
              <w:spacing w:line="500" w:lineRule="exact"/>
              <w:jc w:val="center"/>
              <w:rPr>
                <w:rFonts w:ascii="宋体" w:hAnsi="宋体" w:eastAsia="宋体" w:cs="Times New Roman"/>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B4B4D3">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3FBA8D">
            <w:pPr>
              <w:spacing w:line="500" w:lineRule="exact"/>
              <w:jc w:val="center"/>
              <w:rPr>
                <w:rFonts w:ascii="宋体" w:hAnsi="宋体" w:eastAsia="宋体" w:cs="Times New Roman"/>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2EC1C6">
            <w:pPr>
              <w:spacing w:line="500" w:lineRule="exact"/>
              <w:jc w:val="center"/>
              <w:rPr>
                <w:rFonts w:ascii="宋体" w:hAnsi="宋体" w:eastAsia="宋体" w:cs="Times New Roman"/>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0B71AD">
            <w:pPr>
              <w:spacing w:line="500" w:lineRule="exact"/>
              <w:jc w:val="center"/>
              <w:rPr>
                <w:rFonts w:ascii="宋体" w:hAnsi="宋体" w:eastAsia="宋体" w:cs="Times New Roman"/>
              </w:rPr>
            </w:pPr>
          </w:p>
        </w:tc>
      </w:tr>
      <w:tr w14:paraId="59D4C63C">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E03567">
            <w:pPr>
              <w:spacing w:line="500" w:lineRule="exact"/>
              <w:jc w:val="center"/>
              <w:rPr>
                <w:rFonts w:ascii="宋体" w:hAnsi="宋体" w:eastAsia="宋体" w:cs="Times New Roman"/>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2234D6B">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A75D6E8">
            <w:pPr>
              <w:spacing w:line="500" w:lineRule="exact"/>
              <w:jc w:val="center"/>
              <w:rPr>
                <w:rFonts w:ascii="宋体" w:hAnsi="宋体" w:eastAsia="宋体" w:cs="Times New Roman"/>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ACA67F">
            <w:pPr>
              <w:spacing w:line="500" w:lineRule="exact"/>
              <w:jc w:val="center"/>
              <w:rPr>
                <w:rFonts w:ascii="宋体" w:hAnsi="宋体" w:eastAsia="宋体" w:cs="Times New Roman"/>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BDD04E">
            <w:pPr>
              <w:spacing w:line="500" w:lineRule="exact"/>
              <w:jc w:val="center"/>
              <w:rPr>
                <w:rFonts w:ascii="宋体" w:hAnsi="宋体" w:eastAsia="宋体" w:cs="Times New Roman"/>
              </w:rPr>
            </w:pPr>
          </w:p>
        </w:tc>
      </w:tr>
      <w:tr w14:paraId="584E3259">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059DE1">
            <w:pPr>
              <w:spacing w:line="500" w:lineRule="exact"/>
              <w:jc w:val="center"/>
              <w:rPr>
                <w:rFonts w:ascii="宋体" w:hAnsi="宋体" w:eastAsia="宋体" w:cs="Times New Roman"/>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01130C">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54DF38">
            <w:pPr>
              <w:spacing w:line="500" w:lineRule="exact"/>
              <w:jc w:val="center"/>
              <w:rPr>
                <w:rFonts w:ascii="宋体" w:hAnsi="宋体" w:eastAsia="宋体" w:cs="Times New Roman"/>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4A3F8D">
            <w:pPr>
              <w:spacing w:line="500" w:lineRule="exact"/>
              <w:jc w:val="center"/>
              <w:rPr>
                <w:rFonts w:ascii="宋体" w:hAnsi="宋体" w:eastAsia="宋体" w:cs="Times New Roman"/>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CED4214">
            <w:pPr>
              <w:spacing w:line="500" w:lineRule="exact"/>
              <w:jc w:val="center"/>
              <w:rPr>
                <w:rFonts w:ascii="宋体" w:hAnsi="宋体" w:eastAsia="宋体" w:cs="Times New Roman"/>
              </w:rPr>
            </w:pPr>
          </w:p>
        </w:tc>
      </w:tr>
      <w:tr w14:paraId="615F547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876D56">
            <w:pPr>
              <w:spacing w:line="500" w:lineRule="exact"/>
              <w:jc w:val="center"/>
              <w:rPr>
                <w:rFonts w:ascii="宋体" w:hAnsi="宋体" w:eastAsia="宋体" w:cs="Times New Roman"/>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4ADC62">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F22FFF">
            <w:pPr>
              <w:spacing w:line="500" w:lineRule="exact"/>
              <w:jc w:val="center"/>
              <w:rPr>
                <w:rFonts w:ascii="宋体" w:hAnsi="宋体" w:eastAsia="宋体" w:cs="Times New Roman"/>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2C84E2">
            <w:pPr>
              <w:spacing w:line="500" w:lineRule="exact"/>
              <w:jc w:val="center"/>
              <w:rPr>
                <w:rFonts w:ascii="宋体" w:hAnsi="宋体" w:eastAsia="宋体" w:cs="Times New Roman"/>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5C8273">
            <w:pPr>
              <w:spacing w:line="500" w:lineRule="exact"/>
              <w:jc w:val="center"/>
              <w:rPr>
                <w:rFonts w:ascii="宋体" w:hAnsi="宋体" w:eastAsia="宋体" w:cs="Times New Roman"/>
              </w:rPr>
            </w:pPr>
          </w:p>
        </w:tc>
      </w:tr>
      <w:tr w14:paraId="25021C9F">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A512A8">
            <w:pPr>
              <w:spacing w:line="500" w:lineRule="exact"/>
              <w:jc w:val="center"/>
              <w:rPr>
                <w:rFonts w:ascii="宋体" w:hAnsi="宋体" w:eastAsia="宋体" w:cs="Times New Roman"/>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1ABC02">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AB1E1E1">
            <w:pPr>
              <w:spacing w:line="500" w:lineRule="exact"/>
              <w:jc w:val="center"/>
              <w:rPr>
                <w:rFonts w:ascii="宋体" w:hAnsi="宋体" w:eastAsia="宋体" w:cs="Times New Roman"/>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AB446A">
            <w:pPr>
              <w:spacing w:line="500" w:lineRule="exact"/>
              <w:jc w:val="center"/>
              <w:rPr>
                <w:rFonts w:ascii="宋体" w:hAnsi="宋体" w:eastAsia="宋体" w:cs="Times New Roman"/>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44E4ED">
            <w:pPr>
              <w:spacing w:line="500" w:lineRule="exact"/>
              <w:jc w:val="center"/>
              <w:rPr>
                <w:rFonts w:ascii="宋体" w:hAnsi="宋体" w:eastAsia="宋体" w:cs="Times New Roman"/>
              </w:rPr>
            </w:pPr>
          </w:p>
        </w:tc>
      </w:tr>
      <w:tr w14:paraId="3EEF33F9">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5C47EF2">
            <w:pPr>
              <w:spacing w:line="500" w:lineRule="exact"/>
              <w:jc w:val="center"/>
              <w:rPr>
                <w:rFonts w:ascii="宋体" w:hAnsi="宋体" w:eastAsia="宋体" w:cs="Times New Roman"/>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801F73">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D99742">
            <w:pPr>
              <w:spacing w:line="500" w:lineRule="exact"/>
              <w:jc w:val="center"/>
              <w:rPr>
                <w:rFonts w:ascii="宋体" w:hAnsi="宋体" w:eastAsia="宋体" w:cs="Times New Roman"/>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3DCA4A">
            <w:pPr>
              <w:spacing w:line="500" w:lineRule="exact"/>
              <w:jc w:val="center"/>
              <w:rPr>
                <w:rFonts w:ascii="宋体" w:hAnsi="宋体" w:eastAsia="宋体" w:cs="Times New Roman"/>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492414">
            <w:pPr>
              <w:spacing w:line="500" w:lineRule="exact"/>
              <w:jc w:val="center"/>
              <w:rPr>
                <w:rFonts w:ascii="宋体" w:hAnsi="宋体" w:eastAsia="宋体" w:cs="Times New Roman"/>
              </w:rPr>
            </w:pPr>
          </w:p>
        </w:tc>
      </w:tr>
      <w:tr w14:paraId="3056F8C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44FFABB">
            <w:pPr>
              <w:spacing w:line="500" w:lineRule="exact"/>
              <w:jc w:val="center"/>
              <w:rPr>
                <w:rFonts w:ascii="宋体" w:hAnsi="宋体" w:eastAsia="宋体" w:cs="Times New Roman"/>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17A6FC">
            <w:pPr>
              <w:spacing w:line="500" w:lineRule="exact"/>
              <w:jc w:val="center"/>
              <w:rPr>
                <w:rFonts w:ascii="宋体" w:hAnsi="宋体" w:eastAsia="宋体" w:cs="Times New Roman"/>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670D3B">
            <w:pPr>
              <w:spacing w:line="500" w:lineRule="exact"/>
              <w:jc w:val="center"/>
              <w:rPr>
                <w:rFonts w:ascii="宋体" w:hAnsi="宋体" w:eastAsia="宋体" w:cs="Times New Roman"/>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010EB2">
            <w:pPr>
              <w:spacing w:line="500" w:lineRule="exact"/>
              <w:jc w:val="center"/>
              <w:rPr>
                <w:rFonts w:ascii="宋体" w:hAnsi="宋体" w:eastAsia="宋体" w:cs="Times New Roman"/>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D9DE982">
            <w:pPr>
              <w:spacing w:line="500" w:lineRule="exact"/>
              <w:jc w:val="center"/>
              <w:rPr>
                <w:rFonts w:ascii="宋体" w:hAnsi="宋体" w:eastAsia="宋体" w:cs="Times New Roman"/>
              </w:rPr>
            </w:pPr>
          </w:p>
        </w:tc>
      </w:tr>
    </w:tbl>
    <w:p w14:paraId="24FC7D2E">
      <w:pPr>
        <w:rPr>
          <w:rFonts w:ascii="宋体" w:hAnsi="宋体" w:eastAsia="宋体" w:cs="Times New Roman"/>
        </w:rPr>
      </w:pPr>
    </w:p>
    <w:p w14:paraId="12045839">
      <w:pPr>
        <w:ind w:firstLine="310" w:firstLineChars="147"/>
        <w:rPr>
          <w:rFonts w:ascii="宋体" w:hAnsi="宋体" w:eastAsia="宋体" w:cs="Times New Roman"/>
          <w:b/>
          <w:bCs/>
        </w:rPr>
      </w:pPr>
      <w:r>
        <w:rPr>
          <w:rFonts w:hint="eastAsia" w:ascii="宋体" w:hAnsi="宋体" w:eastAsia="宋体" w:cs="宋体"/>
          <w:b/>
          <w:bCs/>
        </w:rPr>
        <w:t>附：项目经理</w:t>
      </w:r>
      <w:r>
        <w:rPr>
          <w:rFonts w:hint="eastAsia" w:ascii="宋体" w:hAnsi="宋体" w:eastAsia="宋体" w:cs="宋体"/>
        </w:rPr>
        <w:t>注册证书</w:t>
      </w:r>
      <w:r>
        <w:rPr>
          <w:rFonts w:hint="eastAsia" w:ascii="宋体" w:hAnsi="宋体" w:eastAsia="宋体" w:cs="宋体"/>
          <w:b/>
          <w:bCs/>
        </w:rPr>
        <w:t>及其他竞争性磋商文件规定的材料复印件。</w:t>
      </w:r>
    </w:p>
    <w:p w14:paraId="5054F2EF">
      <w:pPr>
        <w:rPr>
          <w:rFonts w:ascii="宋体" w:hAnsi="宋体" w:eastAsia="宋体" w:cs="Times New Roman"/>
          <w:b/>
          <w:bCs/>
        </w:rPr>
      </w:pPr>
    </w:p>
    <w:p w14:paraId="05D5A240">
      <w:pPr>
        <w:rPr>
          <w:rFonts w:ascii="宋体" w:hAnsi="宋体" w:eastAsia="宋体" w:cs="Times New Roman"/>
          <w:b/>
          <w:bCs/>
        </w:rPr>
      </w:pPr>
    </w:p>
    <w:p w14:paraId="677842C1">
      <w:pPr>
        <w:rPr>
          <w:rFonts w:ascii="宋体" w:hAnsi="宋体" w:eastAsia="宋体" w:cs="Times New Roman"/>
          <w:b/>
          <w:bCs/>
        </w:rPr>
      </w:pPr>
    </w:p>
    <w:p w14:paraId="1FF95133">
      <w:pPr>
        <w:rPr>
          <w:rFonts w:ascii="宋体" w:hAnsi="宋体" w:eastAsia="宋体" w:cs="Times New Roman"/>
          <w:b/>
          <w:bCs/>
        </w:rPr>
      </w:pPr>
    </w:p>
    <w:p w14:paraId="3D0C4260">
      <w:pPr>
        <w:autoSpaceDE w:val="0"/>
        <w:autoSpaceDN w:val="0"/>
        <w:spacing w:line="360" w:lineRule="auto"/>
        <w:ind w:firstLine="7035" w:firstLineChars="3350"/>
        <w:rPr>
          <w:rFonts w:ascii="宋体" w:hAnsi="宋体" w:eastAsia="宋体" w:cs="Times New Roman"/>
          <w:kern w:val="0"/>
        </w:rPr>
      </w:pPr>
      <w:r>
        <w:rPr>
          <w:rFonts w:hint="eastAsia" w:ascii="宋体" w:hAnsi="宋体" w:eastAsia="宋体" w:cs="宋体"/>
          <w:kern w:val="0"/>
        </w:rPr>
        <w:t>供应商名称（电子签章）：</w:t>
      </w:r>
    </w:p>
    <w:p w14:paraId="4C294105">
      <w:pPr>
        <w:widowControl/>
        <w:tabs>
          <w:tab w:val="center" w:pos="4153"/>
          <w:tab w:val="right" w:pos="8306"/>
        </w:tabs>
        <w:snapToGrid w:val="0"/>
        <w:ind w:right="105"/>
        <w:jc w:val="right"/>
        <w:rPr>
          <w:rFonts w:ascii="宋体" w:hAnsi="宋体" w:eastAsia="宋体" w:cs="Times New Roman"/>
          <w:kern w:val="0"/>
        </w:rPr>
      </w:pPr>
      <w:r>
        <w:rPr>
          <w:rFonts w:hint="eastAsia" w:ascii="宋体" w:hAnsi="宋体" w:eastAsia="宋体" w:cs="宋体"/>
          <w:kern w:val="0"/>
          <w:lang w:val="zh-CN"/>
        </w:rPr>
        <w:t>日期：</w:t>
      </w:r>
      <w:r>
        <w:rPr>
          <w:rFonts w:ascii="宋体" w:hAnsi="宋体" w:eastAsia="宋体" w:cs="宋体"/>
          <w:kern w:val="0"/>
          <w:lang w:val="zh-CN"/>
        </w:rPr>
        <w:t xml:space="preserve">  </w:t>
      </w:r>
      <w:r>
        <w:rPr>
          <w:rFonts w:hint="eastAsia" w:ascii="宋体" w:hAnsi="宋体" w:eastAsia="宋体" w:cs="宋体"/>
          <w:kern w:val="0"/>
          <w:lang w:val="zh-CN"/>
        </w:rPr>
        <w:t>年</w:t>
      </w:r>
      <w:r>
        <w:rPr>
          <w:rFonts w:ascii="宋体" w:hAnsi="宋体" w:eastAsia="宋体" w:cs="宋体"/>
          <w:kern w:val="0"/>
          <w:lang w:val="zh-CN"/>
        </w:rPr>
        <w:t xml:space="preserve">  </w:t>
      </w:r>
      <w:r>
        <w:rPr>
          <w:rFonts w:hint="eastAsia" w:ascii="宋体" w:hAnsi="宋体" w:eastAsia="宋体" w:cs="宋体"/>
          <w:kern w:val="0"/>
          <w:lang w:val="zh-CN"/>
        </w:rPr>
        <w:t>月</w:t>
      </w:r>
      <w:r>
        <w:rPr>
          <w:rFonts w:ascii="宋体" w:hAnsi="宋体" w:eastAsia="宋体" w:cs="宋体"/>
          <w:kern w:val="0"/>
          <w:lang w:val="zh-CN"/>
        </w:rPr>
        <w:t xml:space="preserve">   </w:t>
      </w:r>
      <w:r>
        <w:rPr>
          <w:rFonts w:hint="eastAsia" w:ascii="宋体" w:hAnsi="宋体" w:eastAsia="宋体" w:cs="宋体"/>
          <w:kern w:val="0"/>
          <w:lang w:val="zh-CN"/>
        </w:rPr>
        <w:t>日</w:t>
      </w:r>
    </w:p>
    <w:p w14:paraId="4E19A738">
      <w:pPr>
        <w:pStyle w:val="146"/>
        <w:widowControl/>
        <w:jc w:val="center"/>
        <w:rPr>
          <w:rFonts w:ascii="宋体"/>
          <w:b/>
          <w:bCs/>
          <w:sz w:val="30"/>
          <w:szCs w:val="30"/>
        </w:rPr>
      </w:pPr>
      <w:r>
        <w:rPr>
          <w:rFonts w:ascii="宋体"/>
          <w:b/>
          <w:bCs/>
          <w:sz w:val="30"/>
          <w:szCs w:val="30"/>
        </w:rPr>
        <w:br w:type="page"/>
      </w:r>
      <w:bookmarkStart w:id="111" w:name="_Toc2647"/>
    </w:p>
    <w:p w14:paraId="057336EB">
      <w:pPr>
        <w:pStyle w:val="146"/>
        <w:widowControl/>
        <w:jc w:val="left"/>
        <w:rPr>
          <w:rFonts w:ascii="宋体"/>
          <w:b/>
          <w:bCs/>
          <w:sz w:val="28"/>
          <w:szCs w:val="28"/>
        </w:rPr>
      </w:pPr>
      <w:r>
        <w:rPr>
          <w:rFonts w:hint="eastAsia" w:ascii="宋体" w:hAnsi="宋体" w:cs="宋体"/>
          <w:b/>
          <w:bCs/>
          <w:sz w:val="28"/>
          <w:szCs w:val="28"/>
        </w:rPr>
        <w:t>八、项目管理机构配备情况表</w:t>
      </w:r>
    </w:p>
    <w:p w14:paraId="4E0CE47D">
      <w:pPr>
        <w:pStyle w:val="146"/>
        <w:widowControl/>
        <w:jc w:val="center"/>
        <w:rPr>
          <w:rFonts w:ascii="宋体"/>
          <w:b/>
          <w:bCs/>
          <w:sz w:val="32"/>
          <w:szCs w:val="32"/>
        </w:rPr>
      </w:pPr>
    </w:p>
    <w:p w14:paraId="4AFC0FA2">
      <w:pPr>
        <w:pStyle w:val="146"/>
        <w:widowControl/>
        <w:jc w:val="center"/>
        <w:rPr>
          <w:rFonts w:ascii="宋体"/>
          <w:b/>
          <w:bCs/>
          <w:sz w:val="32"/>
          <w:szCs w:val="32"/>
        </w:rPr>
      </w:pPr>
      <w:r>
        <w:rPr>
          <w:rFonts w:hint="eastAsia" w:ascii="宋体" w:hAnsi="宋体" w:cs="宋体"/>
          <w:b/>
          <w:bCs/>
          <w:sz w:val="32"/>
          <w:szCs w:val="32"/>
        </w:rPr>
        <w:t>项目管理机构配备情况表</w:t>
      </w:r>
      <w:bookmarkEnd w:id="111"/>
    </w:p>
    <w:p w14:paraId="78BA384A">
      <w:pPr>
        <w:widowControl/>
        <w:rPr>
          <w:rFonts w:ascii="宋体" w:hAnsi="宋体" w:eastAsia="宋体" w:cs="Times New Roman"/>
          <w:u w:val="single"/>
        </w:rPr>
      </w:pPr>
    </w:p>
    <w:p w14:paraId="6AB8F5BA">
      <w:pPr>
        <w:widowControl/>
        <w:spacing w:line="500" w:lineRule="exact"/>
        <w:rPr>
          <w:rFonts w:ascii="宋体" w:hAnsi="宋体" w:eastAsia="宋体" w:cs="Times New Roman"/>
        </w:rPr>
      </w:pPr>
      <w:bookmarkStart w:id="112" w:name="_Toc251052185"/>
      <w:r>
        <w:rPr>
          <w:rFonts w:hint="eastAsia" w:ascii="宋体" w:hAnsi="宋体" w:eastAsia="宋体" w:cs="宋体"/>
          <w:u w:val="single"/>
        </w:rPr>
        <w:t>（项目名称）</w:t>
      </w:r>
      <w:bookmarkEnd w:id="112"/>
    </w:p>
    <w:tbl>
      <w:tblPr>
        <w:tblStyle w:val="4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14:paraId="594D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4" w:type="dxa"/>
            <w:vMerge w:val="restart"/>
            <w:vAlign w:val="center"/>
          </w:tcPr>
          <w:p w14:paraId="6147089E">
            <w:pPr>
              <w:spacing w:line="500" w:lineRule="exact"/>
              <w:jc w:val="center"/>
              <w:rPr>
                <w:rFonts w:ascii="宋体" w:hAnsi="宋体" w:eastAsia="宋体" w:cs="Times New Roman"/>
              </w:rPr>
            </w:pPr>
            <w:r>
              <w:rPr>
                <w:rFonts w:hint="eastAsia" w:ascii="宋体" w:hAnsi="宋体" w:eastAsia="宋体" w:cs="宋体"/>
              </w:rPr>
              <w:t>岗位</w:t>
            </w:r>
          </w:p>
        </w:tc>
        <w:tc>
          <w:tcPr>
            <w:tcW w:w="830" w:type="dxa"/>
            <w:vMerge w:val="restart"/>
            <w:vAlign w:val="center"/>
          </w:tcPr>
          <w:p w14:paraId="761E7535">
            <w:pPr>
              <w:spacing w:line="500" w:lineRule="exact"/>
              <w:jc w:val="center"/>
              <w:rPr>
                <w:rFonts w:ascii="宋体" w:hAnsi="宋体" w:eastAsia="宋体" w:cs="Times New Roman"/>
              </w:rPr>
            </w:pPr>
            <w:bookmarkStart w:id="113" w:name="_Toc251052187"/>
            <w:r>
              <w:rPr>
                <w:rFonts w:hint="eastAsia" w:ascii="宋体" w:hAnsi="宋体" w:eastAsia="宋体" w:cs="宋体"/>
              </w:rPr>
              <w:t>姓名</w:t>
            </w:r>
            <w:bookmarkEnd w:id="113"/>
          </w:p>
        </w:tc>
        <w:tc>
          <w:tcPr>
            <w:tcW w:w="817" w:type="dxa"/>
            <w:vMerge w:val="restart"/>
            <w:vAlign w:val="center"/>
          </w:tcPr>
          <w:p w14:paraId="64E7A02D">
            <w:pPr>
              <w:spacing w:line="500" w:lineRule="exact"/>
              <w:jc w:val="center"/>
              <w:rPr>
                <w:rFonts w:ascii="宋体" w:hAnsi="宋体" w:eastAsia="宋体" w:cs="Times New Roman"/>
              </w:rPr>
            </w:pPr>
            <w:bookmarkStart w:id="114" w:name="_Toc251052188"/>
            <w:r>
              <w:rPr>
                <w:rFonts w:hint="eastAsia" w:ascii="宋体" w:hAnsi="宋体" w:eastAsia="宋体" w:cs="宋体"/>
              </w:rPr>
              <w:t>职称</w:t>
            </w:r>
            <w:bookmarkEnd w:id="114"/>
          </w:p>
        </w:tc>
        <w:tc>
          <w:tcPr>
            <w:tcW w:w="4592" w:type="dxa"/>
            <w:gridSpan w:val="4"/>
            <w:vAlign w:val="center"/>
          </w:tcPr>
          <w:p w14:paraId="7979A112">
            <w:pPr>
              <w:spacing w:line="500" w:lineRule="exact"/>
              <w:jc w:val="center"/>
              <w:rPr>
                <w:rFonts w:ascii="宋体" w:hAnsi="宋体" w:eastAsia="宋体" w:cs="Times New Roman"/>
              </w:rPr>
            </w:pPr>
            <w:bookmarkStart w:id="115" w:name="_Toc251052189"/>
            <w:r>
              <w:rPr>
                <w:rFonts w:hint="eastAsia" w:ascii="宋体" w:hAnsi="宋体" w:eastAsia="宋体" w:cs="宋体"/>
              </w:rPr>
              <w:t>执业或职业资格证明</w:t>
            </w:r>
            <w:bookmarkEnd w:id="115"/>
          </w:p>
        </w:tc>
        <w:tc>
          <w:tcPr>
            <w:tcW w:w="2127" w:type="dxa"/>
            <w:gridSpan w:val="2"/>
            <w:vAlign w:val="center"/>
          </w:tcPr>
          <w:p w14:paraId="66DBEE48">
            <w:pPr>
              <w:spacing w:line="500" w:lineRule="exact"/>
              <w:jc w:val="center"/>
              <w:rPr>
                <w:rFonts w:ascii="宋体" w:hAnsi="宋体" w:eastAsia="宋体" w:cs="Times New Roman"/>
              </w:rPr>
            </w:pPr>
            <w:bookmarkStart w:id="116" w:name="_Toc251052190"/>
            <w:r>
              <w:rPr>
                <w:rFonts w:hint="eastAsia" w:ascii="宋体" w:hAnsi="宋体" w:eastAsia="宋体" w:cs="宋体"/>
              </w:rPr>
              <w:t>承担完工</w:t>
            </w:r>
            <w:bookmarkEnd w:id="116"/>
            <w:bookmarkStart w:id="117" w:name="_Toc251052191"/>
            <w:r>
              <w:rPr>
                <w:rFonts w:hint="eastAsia" w:ascii="宋体" w:hAnsi="宋体" w:eastAsia="宋体" w:cs="宋体"/>
              </w:rPr>
              <w:t>工程情况</w:t>
            </w:r>
            <w:bookmarkEnd w:id="117"/>
          </w:p>
        </w:tc>
      </w:tr>
      <w:tr w14:paraId="532B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4" w:type="dxa"/>
            <w:vMerge w:val="continue"/>
            <w:vAlign w:val="center"/>
          </w:tcPr>
          <w:p w14:paraId="468FD9FC">
            <w:pPr>
              <w:spacing w:line="500" w:lineRule="exact"/>
              <w:rPr>
                <w:rFonts w:ascii="宋体" w:hAnsi="宋体" w:eastAsia="宋体" w:cs="Times New Roman"/>
              </w:rPr>
            </w:pPr>
          </w:p>
        </w:tc>
        <w:tc>
          <w:tcPr>
            <w:tcW w:w="830" w:type="dxa"/>
            <w:vMerge w:val="continue"/>
            <w:vAlign w:val="center"/>
          </w:tcPr>
          <w:p w14:paraId="18A90F16">
            <w:pPr>
              <w:spacing w:line="500" w:lineRule="exact"/>
              <w:rPr>
                <w:rFonts w:ascii="宋体" w:hAnsi="宋体" w:eastAsia="宋体" w:cs="Times New Roman"/>
              </w:rPr>
            </w:pPr>
          </w:p>
        </w:tc>
        <w:tc>
          <w:tcPr>
            <w:tcW w:w="817" w:type="dxa"/>
            <w:vMerge w:val="continue"/>
            <w:vAlign w:val="center"/>
          </w:tcPr>
          <w:p w14:paraId="5A718528">
            <w:pPr>
              <w:spacing w:line="500" w:lineRule="exact"/>
              <w:rPr>
                <w:rFonts w:ascii="宋体" w:hAnsi="宋体" w:eastAsia="宋体" w:cs="Times New Roman"/>
              </w:rPr>
            </w:pPr>
          </w:p>
        </w:tc>
        <w:tc>
          <w:tcPr>
            <w:tcW w:w="1148" w:type="dxa"/>
            <w:vAlign w:val="center"/>
          </w:tcPr>
          <w:p w14:paraId="42ED9AFB">
            <w:pPr>
              <w:spacing w:line="500" w:lineRule="exact"/>
              <w:jc w:val="center"/>
              <w:rPr>
                <w:rFonts w:ascii="宋体" w:hAnsi="宋体" w:eastAsia="宋体" w:cs="Times New Roman"/>
              </w:rPr>
            </w:pPr>
            <w:bookmarkStart w:id="118" w:name="_Toc251052192"/>
            <w:r>
              <w:rPr>
                <w:rFonts w:hint="eastAsia" w:ascii="宋体" w:hAnsi="宋体" w:eastAsia="宋体" w:cs="宋体"/>
              </w:rPr>
              <w:t>证书名称</w:t>
            </w:r>
            <w:bookmarkEnd w:id="118"/>
          </w:p>
        </w:tc>
        <w:tc>
          <w:tcPr>
            <w:tcW w:w="1148" w:type="dxa"/>
            <w:vAlign w:val="center"/>
          </w:tcPr>
          <w:p w14:paraId="33CDB470">
            <w:pPr>
              <w:spacing w:line="500" w:lineRule="exact"/>
              <w:jc w:val="center"/>
              <w:rPr>
                <w:rFonts w:ascii="宋体" w:hAnsi="宋体" w:eastAsia="宋体" w:cs="Times New Roman"/>
              </w:rPr>
            </w:pPr>
            <w:bookmarkStart w:id="119" w:name="_Toc251052193"/>
            <w:r>
              <w:rPr>
                <w:rFonts w:hint="eastAsia" w:ascii="宋体" w:hAnsi="宋体" w:eastAsia="宋体" w:cs="宋体"/>
              </w:rPr>
              <w:t>级别</w:t>
            </w:r>
            <w:bookmarkEnd w:id="119"/>
          </w:p>
        </w:tc>
        <w:tc>
          <w:tcPr>
            <w:tcW w:w="1148" w:type="dxa"/>
            <w:vAlign w:val="center"/>
          </w:tcPr>
          <w:p w14:paraId="66C3F646">
            <w:pPr>
              <w:spacing w:line="500" w:lineRule="exact"/>
              <w:jc w:val="center"/>
              <w:rPr>
                <w:rFonts w:ascii="宋体" w:hAnsi="宋体" w:eastAsia="宋体" w:cs="Times New Roman"/>
              </w:rPr>
            </w:pPr>
            <w:bookmarkStart w:id="120" w:name="_Toc251052194"/>
            <w:r>
              <w:rPr>
                <w:rFonts w:hint="eastAsia" w:ascii="宋体" w:hAnsi="宋体" w:eastAsia="宋体" w:cs="宋体"/>
              </w:rPr>
              <w:t>证号</w:t>
            </w:r>
            <w:bookmarkEnd w:id="120"/>
          </w:p>
        </w:tc>
        <w:tc>
          <w:tcPr>
            <w:tcW w:w="1148" w:type="dxa"/>
            <w:vAlign w:val="center"/>
          </w:tcPr>
          <w:p w14:paraId="5AE261E2">
            <w:pPr>
              <w:spacing w:line="500" w:lineRule="exact"/>
              <w:jc w:val="center"/>
              <w:rPr>
                <w:rFonts w:ascii="宋体" w:hAnsi="宋体" w:eastAsia="宋体" w:cs="Times New Roman"/>
              </w:rPr>
            </w:pPr>
            <w:bookmarkStart w:id="121" w:name="_Toc251052195"/>
            <w:r>
              <w:rPr>
                <w:rFonts w:hint="eastAsia" w:ascii="宋体" w:hAnsi="宋体" w:eastAsia="宋体" w:cs="宋体"/>
              </w:rPr>
              <w:t>专业</w:t>
            </w:r>
            <w:bookmarkEnd w:id="121"/>
          </w:p>
        </w:tc>
        <w:tc>
          <w:tcPr>
            <w:tcW w:w="850" w:type="dxa"/>
            <w:vAlign w:val="center"/>
          </w:tcPr>
          <w:p w14:paraId="631BE21A">
            <w:pPr>
              <w:spacing w:line="500" w:lineRule="exact"/>
              <w:jc w:val="center"/>
              <w:rPr>
                <w:rFonts w:ascii="宋体" w:hAnsi="宋体" w:eastAsia="宋体" w:cs="Times New Roman"/>
              </w:rPr>
            </w:pPr>
            <w:bookmarkStart w:id="122" w:name="_Toc251052197"/>
            <w:r>
              <w:rPr>
                <w:rFonts w:hint="eastAsia" w:ascii="宋体" w:hAnsi="宋体" w:eastAsia="宋体" w:cs="宋体"/>
              </w:rPr>
              <w:t>项目数</w:t>
            </w:r>
            <w:bookmarkEnd w:id="122"/>
          </w:p>
        </w:tc>
        <w:tc>
          <w:tcPr>
            <w:tcW w:w="1277" w:type="dxa"/>
            <w:vAlign w:val="center"/>
          </w:tcPr>
          <w:p w14:paraId="0C3389E6">
            <w:pPr>
              <w:spacing w:line="500" w:lineRule="exact"/>
              <w:jc w:val="center"/>
              <w:rPr>
                <w:rFonts w:ascii="宋体" w:hAnsi="宋体" w:eastAsia="宋体" w:cs="Times New Roman"/>
              </w:rPr>
            </w:pPr>
            <w:bookmarkStart w:id="123" w:name="_Toc251052198"/>
            <w:r>
              <w:rPr>
                <w:rFonts w:hint="eastAsia" w:ascii="宋体" w:hAnsi="宋体" w:eastAsia="宋体" w:cs="宋体"/>
              </w:rPr>
              <w:t>主要项目</w:t>
            </w:r>
          </w:p>
          <w:p w14:paraId="7ED5002A">
            <w:pPr>
              <w:spacing w:line="500" w:lineRule="exact"/>
              <w:jc w:val="center"/>
              <w:rPr>
                <w:rFonts w:ascii="宋体" w:hAnsi="宋体" w:eastAsia="宋体" w:cs="Times New Roman"/>
              </w:rPr>
            </w:pPr>
            <w:r>
              <w:rPr>
                <w:rFonts w:hint="eastAsia" w:ascii="宋体" w:hAnsi="宋体" w:eastAsia="宋体" w:cs="宋体"/>
              </w:rPr>
              <w:t>名称</w:t>
            </w:r>
            <w:bookmarkEnd w:id="123"/>
          </w:p>
        </w:tc>
      </w:tr>
      <w:tr w14:paraId="19FB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4" w:type="dxa"/>
            <w:vAlign w:val="center"/>
          </w:tcPr>
          <w:p w14:paraId="0C66C5A0">
            <w:pPr>
              <w:spacing w:line="500" w:lineRule="exact"/>
              <w:rPr>
                <w:rFonts w:ascii="宋体" w:hAnsi="宋体" w:eastAsia="宋体" w:cs="Times New Roman"/>
              </w:rPr>
            </w:pPr>
            <w:r>
              <w:rPr>
                <w:rFonts w:hint="eastAsia" w:ascii="宋体" w:hAnsi="宋体" w:eastAsia="宋体" w:cs="宋体"/>
              </w:rPr>
              <w:t>技术负责人</w:t>
            </w:r>
          </w:p>
        </w:tc>
        <w:tc>
          <w:tcPr>
            <w:tcW w:w="830" w:type="dxa"/>
            <w:vAlign w:val="center"/>
          </w:tcPr>
          <w:p w14:paraId="145A7013">
            <w:pPr>
              <w:spacing w:line="500" w:lineRule="exact"/>
              <w:rPr>
                <w:rFonts w:ascii="宋体" w:hAnsi="宋体" w:eastAsia="宋体" w:cs="Times New Roman"/>
              </w:rPr>
            </w:pPr>
          </w:p>
        </w:tc>
        <w:tc>
          <w:tcPr>
            <w:tcW w:w="817" w:type="dxa"/>
            <w:vAlign w:val="center"/>
          </w:tcPr>
          <w:p w14:paraId="1C7F92E2">
            <w:pPr>
              <w:spacing w:line="500" w:lineRule="exact"/>
              <w:rPr>
                <w:rFonts w:ascii="宋体" w:hAnsi="宋体" w:eastAsia="宋体" w:cs="Times New Roman"/>
              </w:rPr>
            </w:pPr>
          </w:p>
        </w:tc>
        <w:tc>
          <w:tcPr>
            <w:tcW w:w="1148" w:type="dxa"/>
            <w:vAlign w:val="center"/>
          </w:tcPr>
          <w:p w14:paraId="18ACD687">
            <w:pPr>
              <w:spacing w:line="500" w:lineRule="exact"/>
              <w:jc w:val="center"/>
              <w:rPr>
                <w:rFonts w:ascii="宋体" w:hAnsi="宋体" w:eastAsia="宋体" w:cs="Times New Roman"/>
              </w:rPr>
            </w:pPr>
          </w:p>
        </w:tc>
        <w:tc>
          <w:tcPr>
            <w:tcW w:w="1148" w:type="dxa"/>
            <w:vAlign w:val="center"/>
          </w:tcPr>
          <w:p w14:paraId="4A482F81">
            <w:pPr>
              <w:spacing w:line="500" w:lineRule="exact"/>
              <w:jc w:val="center"/>
              <w:rPr>
                <w:rFonts w:ascii="宋体" w:hAnsi="宋体" w:eastAsia="宋体" w:cs="Times New Roman"/>
              </w:rPr>
            </w:pPr>
          </w:p>
        </w:tc>
        <w:tc>
          <w:tcPr>
            <w:tcW w:w="1148" w:type="dxa"/>
            <w:vAlign w:val="center"/>
          </w:tcPr>
          <w:p w14:paraId="63A58A8D">
            <w:pPr>
              <w:spacing w:line="500" w:lineRule="exact"/>
              <w:jc w:val="center"/>
              <w:rPr>
                <w:rFonts w:ascii="宋体" w:hAnsi="宋体" w:eastAsia="宋体" w:cs="Times New Roman"/>
              </w:rPr>
            </w:pPr>
          </w:p>
        </w:tc>
        <w:tc>
          <w:tcPr>
            <w:tcW w:w="1148" w:type="dxa"/>
            <w:vAlign w:val="center"/>
          </w:tcPr>
          <w:p w14:paraId="5248B77D">
            <w:pPr>
              <w:spacing w:line="500" w:lineRule="exact"/>
              <w:jc w:val="center"/>
              <w:rPr>
                <w:rFonts w:ascii="宋体" w:hAnsi="宋体" w:eastAsia="宋体" w:cs="Times New Roman"/>
              </w:rPr>
            </w:pPr>
          </w:p>
        </w:tc>
        <w:tc>
          <w:tcPr>
            <w:tcW w:w="850" w:type="dxa"/>
            <w:vAlign w:val="center"/>
          </w:tcPr>
          <w:p w14:paraId="5CFF5547">
            <w:pPr>
              <w:spacing w:line="500" w:lineRule="exact"/>
              <w:jc w:val="center"/>
              <w:rPr>
                <w:rFonts w:ascii="宋体" w:hAnsi="宋体" w:eastAsia="宋体" w:cs="Times New Roman"/>
              </w:rPr>
            </w:pPr>
          </w:p>
        </w:tc>
        <w:tc>
          <w:tcPr>
            <w:tcW w:w="1277" w:type="dxa"/>
            <w:vAlign w:val="center"/>
          </w:tcPr>
          <w:p w14:paraId="6618C230">
            <w:pPr>
              <w:spacing w:line="500" w:lineRule="exact"/>
              <w:jc w:val="center"/>
              <w:rPr>
                <w:rFonts w:ascii="宋体" w:hAnsi="宋体" w:eastAsia="宋体" w:cs="Times New Roman"/>
              </w:rPr>
            </w:pPr>
          </w:p>
        </w:tc>
      </w:tr>
      <w:tr w14:paraId="2DC5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4" w:type="dxa"/>
            <w:vAlign w:val="center"/>
          </w:tcPr>
          <w:p w14:paraId="78E75F20">
            <w:pPr>
              <w:spacing w:line="500" w:lineRule="exact"/>
              <w:jc w:val="center"/>
              <w:rPr>
                <w:rFonts w:ascii="宋体" w:hAnsi="宋体" w:eastAsia="宋体" w:cs="Times New Roman"/>
              </w:rPr>
            </w:pPr>
            <w:r>
              <w:rPr>
                <w:rFonts w:hint="eastAsia" w:ascii="宋体" w:hAnsi="宋体" w:eastAsia="宋体" w:cs="宋体"/>
              </w:rPr>
              <w:t>质量员</w:t>
            </w:r>
          </w:p>
        </w:tc>
        <w:tc>
          <w:tcPr>
            <w:tcW w:w="830" w:type="dxa"/>
            <w:vAlign w:val="center"/>
          </w:tcPr>
          <w:p w14:paraId="4AF576EB">
            <w:pPr>
              <w:spacing w:line="500" w:lineRule="exact"/>
              <w:jc w:val="center"/>
              <w:rPr>
                <w:rFonts w:ascii="宋体" w:hAnsi="宋体" w:eastAsia="宋体" w:cs="Times New Roman"/>
              </w:rPr>
            </w:pPr>
          </w:p>
        </w:tc>
        <w:tc>
          <w:tcPr>
            <w:tcW w:w="817" w:type="dxa"/>
            <w:vAlign w:val="center"/>
          </w:tcPr>
          <w:p w14:paraId="73841D6F">
            <w:pPr>
              <w:spacing w:line="500" w:lineRule="exact"/>
              <w:jc w:val="center"/>
              <w:rPr>
                <w:rFonts w:ascii="宋体" w:hAnsi="宋体" w:eastAsia="宋体" w:cs="Times New Roman"/>
              </w:rPr>
            </w:pPr>
          </w:p>
        </w:tc>
        <w:tc>
          <w:tcPr>
            <w:tcW w:w="1148" w:type="dxa"/>
            <w:vAlign w:val="center"/>
          </w:tcPr>
          <w:p w14:paraId="0BAD1728">
            <w:pPr>
              <w:spacing w:line="500" w:lineRule="exact"/>
              <w:jc w:val="center"/>
              <w:rPr>
                <w:rFonts w:ascii="宋体" w:hAnsi="宋体" w:eastAsia="宋体" w:cs="Times New Roman"/>
              </w:rPr>
            </w:pPr>
          </w:p>
        </w:tc>
        <w:tc>
          <w:tcPr>
            <w:tcW w:w="1148" w:type="dxa"/>
            <w:vAlign w:val="center"/>
          </w:tcPr>
          <w:p w14:paraId="374111DC">
            <w:pPr>
              <w:spacing w:line="500" w:lineRule="exact"/>
              <w:jc w:val="center"/>
              <w:rPr>
                <w:rFonts w:ascii="宋体" w:hAnsi="宋体" w:eastAsia="宋体" w:cs="Times New Roman"/>
              </w:rPr>
            </w:pPr>
          </w:p>
        </w:tc>
        <w:tc>
          <w:tcPr>
            <w:tcW w:w="1148" w:type="dxa"/>
            <w:vAlign w:val="center"/>
          </w:tcPr>
          <w:p w14:paraId="547750BB">
            <w:pPr>
              <w:spacing w:line="500" w:lineRule="exact"/>
              <w:jc w:val="center"/>
              <w:rPr>
                <w:rFonts w:ascii="宋体" w:hAnsi="宋体" w:eastAsia="宋体" w:cs="Times New Roman"/>
              </w:rPr>
            </w:pPr>
          </w:p>
        </w:tc>
        <w:tc>
          <w:tcPr>
            <w:tcW w:w="1148" w:type="dxa"/>
            <w:vAlign w:val="center"/>
          </w:tcPr>
          <w:p w14:paraId="02B89BF2">
            <w:pPr>
              <w:spacing w:line="500" w:lineRule="exact"/>
              <w:jc w:val="center"/>
              <w:rPr>
                <w:rFonts w:ascii="宋体" w:hAnsi="宋体" w:eastAsia="宋体" w:cs="Times New Roman"/>
              </w:rPr>
            </w:pPr>
          </w:p>
        </w:tc>
        <w:tc>
          <w:tcPr>
            <w:tcW w:w="850" w:type="dxa"/>
            <w:vAlign w:val="center"/>
          </w:tcPr>
          <w:p w14:paraId="73138F4C">
            <w:pPr>
              <w:spacing w:line="500" w:lineRule="exact"/>
              <w:jc w:val="center"/>
              <w:rPr>
                <w:rFonts w:ascii="宋体" w:hAnsi="宋体" w:eastAsia="宋体" w:cs="Times New Roman"/>
              </w:rPr>
            </w:pPr>
          </w:p>
        </w:tc>
        <w:tc>
          <w:tcPr>
            <w:tcW w:w="1277" w:type="dxa"/>
            <w:vAlign w:val="center"/>
          </w:tcPr>
          <w:p w14:paraId="33615684">
            <w:pPr>
              <w:spacing w:line="500" w:lineRule="exact"/>
              <w:jc w:val="center"/>
              <w:rPr>
                <w:rFonts w:ascii="宋体" w:hAnsi="宋体" w:eastAsia="宋体" w:cs="Times New Roman"/>
              </w:rPr>
            </w:pPr>
          </w:p>
        </w:tc>
      </w:tr>
      <w:tr w14:paraId="7807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4" w:type="dxa"/>
            <w:vAlign w:val="center"/>
          </w:tcPr>
          <w:p w14:paraId="02E58AAC">
            <w:pPr>
              <w:spacing w:line="500" w:lineRule="exact"/>
              <w:jc w:val="center"/>
              <w:rPr>
                <w:rFonts w:ascii="宋体" w:hAnsi="宋体" w:eastAsia="宋体" w:cs="Times New Roman"/>
              </w:rPr>
            </w:pPr>
            <w:r>
              <w:rPr>
                <w:rFonts w:hint="eastAsia" w:ascii="宋体" w:hAnsi="宋体" w:eastAsia="宋体" w:cs="宋体"/>
              </w:rPr>
              <w:t>安全员</w:t>
            </w:r>
          </w:p>
        </w:tc>
        <w:tc>
          <w:tcPr>
            <w:tcW w:w="830" w:type="dxa"/>
            <w:vAlign w:val="center"/>
          </w:tcPr>
          <w:p w14:paraId="092E4B37">
            <w:pPr>
              <w:spacing w:line="500" w:lineRule="exact"/>
              <w:jc w:val="center"/>
              <w:rPr>
                <w:rFonts w:ascii="宋体" w:hAnsi="宋体" w:eastAsia="宋体" w:cs="Times New Roman"/>
              </w:rPr>
            </w:pPr>
          </w:p>
        </w:tc>
        <w:tc>
          <w:tcPr>
            <w:tcW w:w="817" w:type="dxa"/>
            <w:vAlign w:val="center"/>
          </w:tcPr>
          <w:p w14:paraId="15BFD204">
            <w:pPr>
              <w:spacing w:line="500" w:lineRule="exact"/>
              <w:jc w:val="center"/>
              <w:rPr>
                <w:rFonts w:ascii="宋体" w:hAnsi="宋体" w:eastAsia="宋体" w:cs="Times New Roman"/>
              </w:rPr>
            </w:pPr>
          </w:p>
        </w:tc>
        <w:tc>
          <w:tcPr>
            <w:tcW w:w="1148" w:type="dxa"/>
            <w:vAlign w:val="center"/>
          </w:tcPr>
          <w:p w14:paraId="79CAE324">
            <w:pPr>
              <w:spacing w:line="500" w:lineRule="exact"/>
              <w:jc w:val="center"/>
              <w:rPr>
                <w:rFonts w:ascii="宋体" w:hAnsi="宋体" w:eastAsia="宋体" w:cs="Times New Roman"/>
              </w:rPr>
            </w:pPr>
          </w:p>
        </w:tc>
        <w:tc>
          <w:tcPr>
            <w:tcW w:w="1148" w:type="dxa"/>
            <w:vAlign w:val="center"/>
          </w:tcPr>
          <w:p w14:paraId="12E508C3">
            <w:pPr>
              <w:spacing w:line="500" w:lineRule="exact"/>
              <w:jc w:val="center"/>
              <w:rPr>
                <w:rFonts w:ascii="宋体" w:hAnsi="宋体" w:eastAsia="宋体" w:cs="Times New Roman"/>
              </w:rPr>
            </w:pPr>
          </w:p>
        </w:tc>
        <w:tc>
          <w:tcPr>
            <w:tcW w:w="1148" w:type="dxa"/>
            <w:vAlign w:val="center"/>
          </w:tcPr>
          <w:p w14:paraId="1D123D9F">
            <w:pPr>
              <w:spacing w:line="500" w:lineRule="exact"/>
              <w:jc w:val="center"/>
              <w:rPr>
                <w:rFonts w:ascii="宋体" w:hAnsi="宋体" w:eastAsia="宋体" w:cs="Times New Roman"/>
              </w:rPr>
            </w:pPr>
          </w:p>
        </w:tc>
        <w:tc>
          <w:tcPr>
            <w:tcW w:w="1148" w:type="dxa"/>
            <w:vAlign w:val="center"/>
          </w:tcPr>
          <w:p w14:paraId="6E56D421">
            <w:pPr>
              <w:spacing w:line="500" w:lineRule="exact"/>
              <w:jc w:val="center"/>
              <w:rPr>
                <w:rFonts w:ascii="宋体" w:hAnsi="宋体" w:eastAsia="宋体" w:cs="Times New Roman"/>
              </w:rPr>
            </w:pPr>
          </w:p>
        </w:tc>
        <w:tc>
          <w:tcPr>
            <w:tcW w:w="850" w:type="dxa"/>
            <w:vAlign w:val="center"/>
          </w:tcPr>
          <w:p w14:paraId="4AB7636E">
            <w:pPr>
              <w:spacing w:line="500" w:lineRule="exact"/>
              <w:jc w:val="center"/>
              <w:rPr>
                <w:rFonts w:ascii="宋体" w:hAnsi="宋体" w:eastAsia="宋体" w:cs="Times New Roman"/>
              </w:rPr>
            </w:pPr>
          </w:p>
        </w:tc>
        <w:tc>
          <w:tcPr>
            <w:tcW w:w="1277" w:type="dxa"/>
            <w:vAlign w:val="center"/>
          </w:tcPr>
          <w:p w14:paraId="14BCA50A">
            <w:pPr>
              <w:spacing w:line="500" w:lineRule="exact"/>
              <w:jc w:val="center"/>
              <w:rPr>
                <w:rFonts w:ascii="宋体" w:hAnsi="宋体" w:eastAsia="宋体" w:cs="Times New Roman"/>
              </w:rPr>
            </w:pPr>
          </w:p>
        </w:tc>
      </w:tr>
      <w:tr w14:paraId="286A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4" w:type="dxa"/>
            <w:vAlign w:val="center"/>
          </w:tcPr>
          <w:p w14:paraId="3A2B4057">
            <w:pPr>
              <w:spacing w:line="500" w:lineRule="exact"/>
              <w:jc w:val="left"/>
              <w:rPr>
                <w:rFonts w:ascii="宋体" w:hAnsi="宋体" w:eastAsia="宋体" w:cs="Times New Roman"/>
              </w:rPr>
            </w:pPr>
            <w:r>
              <w:rPr>
                <w:rFonts w:hint="eastAsia" w:ascii="宋体" w:hAnsi="宋体" w:eastAsia="宋体" w:cs="宋体"/>
              </w:rPr>
              <w:t>……</w:t>
            </w:r>
          </w:p>
        </w:tc>
        <w:tc>
          <w:tcPr>
            <w:tcW w:w="830" w:type="dxa"/>
            <w:vAlign w:val="center"/>
          </w:tcPr>
          <w:p w14:paraId="1A951AB8">
            <w:pPr>
              <w:spacing w:line="500" w:lineRule="exact"/>
              <w:jc w:val="center"/>
              <w:rPr>
                <w:rFonts w:ascii="宋体" w:hAnsi="宋体" w:eastAsia="宋体" w:cs="Times New Roman"/>
              </w:rPr>
            </w:pPr>
          </w:p>
        </w:tc>
        <w:tc>
          <w:tcPr>
            <w:tcW w:w="817" w:type="dxa"/>
            <w:vAlign w:val="center"/>
          </w:tcPr>
          <w:p w14:paraId="769D60ED">
            <w:pPr>
              <w:spacing w:line="500" w:lineRule="exact"/>
              <w:jc w:val="center"/>
              <w:rPr>
                <w:rFonts w:ascii="宋体" w:hAnsi="宋体" w:eastAsia="宋体" w:cs="Times New Roman"/>
              </w:rPr>
            </w:pPr>
          </w:p>
        </w:tc>
        <w:tc>
          <w:tcPr>
            <w:tcW w:w="1148" w:type="dxa"/>
            <w:vAlign w:val="center"/>
          </w:tcPr>
          <w:p w14:paraId="41F9EF6B">
            <w:pPr>
              <w:spacing w:line="500" w:lineRule="exact"/>
              <w:jc w:val="center"/>
              <w:rPr>
                <w:rFonts w:ascii="宋体" w:hAnsi="宋体" w:eastAsia="宋体" w:cs="Times New Roman"/>
              </w:rPr>
            </w:pPr>
          </w:p>
        </w:tc>
        <w:tc>
          <w:tcPr>
            <w:tcW w:w="1148" w:type="dxa"/>
            <w:vAlign w:val="center"/>
          </w:tcPr>
          <w:p w14:paraId="6ECD89BA">
            <w:pPr>
              <w:spacing w:line="500" w:lineRule="exact"/>
              <w:jc w:val="center"/>
              <w:rPr>
                <w:rFonts w:ascii="宋体" w:hAnsi="宋体" w:eastAsia="宋体" w:cs="Times New Roman"/>
              </w:rPr>
            </w:pPr>
          </w:p>
        </w:tc>
        <w:tc>
          <w:tcPr>
            <w:tcW w:w="1148" w:type="dxa"/>
            <w:vAlign w:val="center"/>
          </w:tcPr>
          <w:p w14:paraId="4665D4E2">
            <w:pPr>
              <w:spacing w:line="500" w:lineRule="exact"/>
              <w:jc w:val="center"/>
              <w:rPr>
                <w:rFonts w:ascii="宋体" w:hAnsi="宋体" w:eastAsia="宋体" w:cs="Times New Roman"/>
              </w:rPr>
            </w:pPr>
          </w:p>
        </w:tc>
        <w:tc>
          <w:tcPr>
            <w:tcW w:w="1148" w:type="dxa"/>
            <w:vAlign w:val="center"/>
          </w:tcPr>
          <w:p w14:paraId="1847990A">
            <w:pPr>
              <w:spacing w:line="500" w:lineRule="exact"/>
              <w:jc w:val="center"/>
              <w:rPr>
                <w:rFonts w:ascii="宋体" w:hAnsi="宋体" w:eastAsia="宋体" w:cs="Times New Roman"/>
              </w:rPr>
            </w:pPr>
          </w:p>
        </w:tc>
        <w:tc>
          <w:tcPr>
            <w:tcW w:w="850" w:type="dxa"/>
            <w:vAlign w:val="center"/>
          </w:tcPr>
          <w:p w14:paraId="473535D9">
            <w:pPr>
              <w:spacing w:line="500" w:lineRule="exact"/>
              <w:jc w:val="center"/>
              <w:rPr>
                <w:rFonts w:ascii="宋体" w:hAnsi="宋体" w:eastAsia="宋体" w:cs="Times New Roman"/>
              </w:rPr>
            </w:pPr>
          </w:p>
        </w:tc>
        <w:tc>
          <w:tcPr>
            <w:tcW w:w="1277" w:type="dxa"/>
            <w:vAlign w:val="center"/>
          </w:tcPr>
          <w:p w14:paraId="701C2A33">
            <w:pPr>
              <w:spacing w:line="500" w:lineRule="exact"/>
              <w:jc w:val="center"/>
              <w:rPr>
                <w:rFonts w:ascii="宋体" w:hAnsi="宋体" w:eastAsia="宋体" w:cs="Times New Roman"/>
              </w:rPr>
            </w:pPr>
          </w:p>
        </w:tc>
      </w:tr>
    </w:tbl>
    <w:p w14:paraId="1B2F45F8">
      <w:pPr>
        <w:spacing w:line="500" w:lineRule="exact"/>
        <w:jc w:val="center"/>
        <w:rPr>
          <w:rFonts w:ascii="宋体" w:hAnsi="宋体" w:eastAsia="宋体" w:cs="Times New Roman"/>
          <w:b/>
          <w:bCs/>
        </w:rPr>
      </w:pPr>
    </w:p>
    <w:p w14:paraId="4D1F49F7">
      <w:pPr>
        <w:tabs>
          <w:tab w:val="left" w:pos="0"/>
        </w:tabs>
        <w:spacing w:line="500" w:lineRule="exact"/>
        <w:ind w:right="-210"/>
        <w:rPr>
          <w:rFonts w:ascii="宋体" w:hAnsi="宋体" w:eastAsia="宋体" w:cs="Times New Roman"/>
        </w:rPr>
      </w:pPr>
      <w:r>
        <w:rPr>
          <w:rFonts w:hint="eastAsia" w:ascii="宋体" w:hAnsi="宋体" w:eastAsia="宋体" w:cs="宋体"/>
        </w:rPr>
        <w:t>【备注：附各岗位人员资格证件（如有）扫描件。以上扫描件均为原件的扫描件】</w:t>
      </w:r>
    </w:p>
    <w:p w14:paraId="57065CF8">
      <w:pPr>
        <w:spacing w:line="500" w:lineRule="exact"/>
        <w:jc w:val="center"/>
        <w:rPr>
          <w:rFonts w:ascii="宋体" w:hAnsi="宋体" w:eastAsia="宋体" w:cs="Times New Roman"/>
          <w:b/>
          <w:bCs/>
        </w:rPr>
      </w:pPr>
    </w:p>
    <w:p w14:paraId="48BED480">
      <w:pPr>
        <w:autoSpaceDE w:val="0"/>
        <w:autoSpaceDN w:val="0"/>
        <w:spacing w:line="500" w:lineRule="exact"/>
        <w:ind w:firstLine="7035" w:firstLineChars="3350"/>
        <w:rPr>
          <w:rFonts w:ascii="宋体" w:hAnsi="宋体" w:eastAsia="宋体" w:cs="Times New Roman"/>
          <w:kern w:val="0"/>
        </w:rPr>
      </w:pPr>
      <w:r>
        <w:rPr>
          <w:rFonts w:hint="eastAsia" w:ascii="宋体" w:hAnsi="宋体" w:eastAsia="宋体" w:cs="宋体"/>
          <w:kern w:val="0"/>
        </w:rPr>
        <w:t>供应商名称（电子签章）：</w:t>
      </w:r>
    </w:p>
    <w:p w14:paraId="7E366D09">
      <w:pPr>
        <w:snapToGrid w:val="0"/>
        <w:spacing w:line="500" w:lineRule="exact"/>
        <w:ind w:right="105"/>
        <w:jc w:val="right"/>
        <w:rPr>
          <w:rFonts w:ascii="宋体" w:hAnsi="宋体" w:eastAsia="宋体" w:cs="Times New Roman"/>
          <w:b/>
          <w:bCs/>
        </w:rPr>
      </w:pPr>
      <w:r>
        <w:rPr>
          <w:rFonts w:hint="eastAsia" w:ascii="宋体" w:hAnsi="宋体" w:eastAsia="宋体" w:cs="宋体"/>
          <w:kern w:val="0"/>
          <w:lang w:val="zh-CN"/>
        </w:rPr>
        <w:t>日期：</w:t>
      </w:r>
      <w:r>
        <w:rPr>
          <w:rFonts w:ascii="宋体" w:hAnsi="宋体" w:eastAsia="宋体" w:cs="宋体"/>
          <w:kern w:val="0"/>
          <w:lang w:val="zh-CN"/>
        </w:rPr>
        <w:t xml:space="preserve">  </w:t>
      </w:r>
      <w:r>
        <w:rPr>
          <w:rFonts w:hint="eastAsia" w:ascii="宋体" w:hAnsi="宋体" w:eastAsia="宋体" w:cs="宋体"/>
          <w:kern w:val="0"/>
          <w:lang w:val="zh-CN"/>
        </w:rPr>
        <w:t>年</w:t>
      </w:r>
      <w:r>
        <w:rPr>
          <w:rFonts w:ascii="宋体" w:hAnsi="宋体" w:eastAsia="宋体" w:cs="宋体"/>
          <w:kern w:val="0"/>
          <w:lang w:val="zh-CN"/>
        </w:rPr>
        <w:t xml:space="preserve">  </w:t>
      </w:r>
      <w:r>
        <w:rPr>
          <w:rFonts w:hint="eastAsia" w:ascii="宋体" w:hAnsi="宋体" w:eastAsia="宋体" w:cs="宋体"/>
          <w:kern w:val="0"/>
          <w:lang w:val="zh-CN"/>
        </w:rPr>
        <w:t>月</w:t>
      </w:r>
      <w:r>
        <w:rPr>
          <w:rFonts w:ascii="宋体" w:hAnsi="宋体" w:eastAsia="宋体" w:cs="宋体"/>
          <w:kern w:val="0"/>
          <w:lang w:val="zh-CN"/>
        </w:rPr>
        <w:t xml:space="preserve">   </w:t>
      </w:r>
      <w:r>
        <w:rPr>
          <w:rFonts w:hint="eastAsia" w:ascii="宋体" w:hAnsi="宋体" w:eastAsia="宋体" w:cs="宋体"/>
          <w:kern w:val="0"/>
          <w:lang w:val="zh-CN"/>
        </w:rPr>
        <w:t>日</w:t>
      </w:r>
    </w:p>
    <w:p w14:paraId="418AF33B">
      <w:pPr>
        <w:snapToGrid w:val="0"/>
        <w:spacing w:line="500" w:lineRule="exact"/>
        <w:rPr>
          <w:rFonts w:ascii="宋体" w:hAnsi="宋体" w:eastAsia="宋体" w:cs="Times New Roman"/>
          <w:b/>
          <w:bCs/>
        </w:rPr>
      </w:pPr>
    </w:p>
    <w:p w14:paraId="1B8C20B1">
      <w:pPr>
        <w:snapToGrid w:val="0"/>
        <w:spacing w:line="500" w:lineRule="exact"/>
        <w:rPr>
          <w:rFonts w:ascii="宋体" w:hAnsi="宋体" w:eastAsia="宋体" w:cs="Times New Roman"/>
          <w:b/>
          <w:bCs/>
        </w:rPr>
      </w:pPr>
    </w:p>
    <w:p w14:paraId="2625E48F">
      <w:pPr>
        <w:widowControl/>
        <w:jc w:val="left"/>
        <w:rPr>
          <w:rFonts w:ascii="宋体" w:hAnsi="宋体" w:eastAsia="宋体" w:cs="Times New Roman"/>
          <w:b/>
          <w:bCs/>
          <w:sz w:val="30"/>
          <w:szCs w:val="30"/>
        </w:rPr>
        <w:sectPr>
          <w:pgSz w:w="11910" w:h="16840"/>
          <w:pgMar w:top="1247" w:right="1361" w:bottom="1247" w:left="1361" w:header="720" w:footer="720" w:gutter="0"/>
          <w:cols w:space="720" w:num="1"/>
        </w:sectPr>
      </w:pPr>
      <w:r>
        <w:rPr>
          <w:rFonts w:ascii="宋体" w:hAnsi="宋体" w:eastAsia="宋体" w:cs="Times New Roman"/>
          <w:b/>
          <w:bCs/>
          <w:sz w:val="30"/>
          <w:szCs w:val="30"/>
        </w:rPr>
        <w:br w:type="page"/>
      </w:r>
    </w:p>
    <w:p w14:paraId="031BCADA">
      <w:pPr>
        <w:jc w:val="center"/>
        <w:outlineLvl w:val="1"/>
        <w:rPr>
          <w:rFonts w:ascii="宋体" w:hAnsi="宋体" w:eastAsia="宋体" w:cs="Times New Roman"/>
          <w:b/>
          <w:bCs/>
          <w:sz w:val="30"/>
          <w:szCs w:val="30"/>
        </w:rPr>
      </w:pPr>
      <w:bookmarkStart w:id="124" w:name="_Toc44229899"/>
      <w:bookmarkEnd w:id="124"/>
      <w:bookmarkStart w:id="125" w:name="_Toc31728084"/>
      <w:bookmarkEnd w:id="125"/>
      <w:bookmarkStart w:id="126" w:name="_Toc35611516"/>
      <w:bookmarkEnd w:id="126"/>
      <w:bookmarkStart w:id="127" w:name="_Toc35611438"/>
      <w:bookmarkEnd w:id="127"/>
      <w:bookmarkStart w:id="128" w:name="_Toc31723070"/>
      <w:bookmarkEnd w:id="128"/>
      <w:bookmarkStart w:id="129" w:name="_Toc16375"/>
      <w:bookmarkStart w:id="130" w:name="_Toc144977178"/>
      <w:bookmarkStart w:id="131" w:name="_Toc80205942"/>
      <w:r>
        <w:rPr>
          <w:rFonts w:hint="eastAsia" w:ascii="宋体" w:hAnsi="宋体" w:eastAsia="宋体" w:cs="宋体"/>
          <w:b/>
          <w:bCs/>
          <w:sz w:val="28"/>
          <w:szCs w:val="28"/>
        </w:rPr>
        <w:t>九、供应商认为需要提供的其他有关资料</w:t>
      </w:r>
      <w:r>
        <w:rPr>
          <w:rFonts w:ascii="宋体" w:hAnsi="宋体" w:eastAsia="宋体" w:cs="Times New Roman"/>
          <w:b/>
          <w:bCs/>
          <w:sz w:val="30"/>
          <w:szCs w:val="30"/>
        </w:rPr>
        <w:br w:type="page"/>
      </w:r>
      <w:bookmarkStart w:id="132" w:name="_Toc80205941"/>
      <w:bookmarkStart w:id="133" w:name="_Toc110327567"/>
      <w:bookmarkStart w:id="134" w:name="_Toc144977179"/>
      <w:r>
        <w:rPr>
          <w:rFonts w:hint="eastAsia" w:ascii="宋体" w:hAnsi="宋体" w:eastAsia="宋体" w:cs="宋体"/>
          <w:b/>
          <w:bCs/>
          <w:sz w:val="30"/>
          <w:szCs w:val="30"/>
        </w:rPr>
        <w:t>第四节</w:t>
      </w:r>
      <w:r>
        <w:rPr>
          <w:rFonts w:ascii="宋体" w:hAnsi="宋体" w:eastAsia="宋体" w:cs="宋体"/>
          <w:b/>
          <w:bCs/>
          <w:sz w:val="30"/>
          <w:szCs w:val="30"/>
        </w:rPr>
        <w:t xml:space="preserve"> </w:t>
      </w:r>
      <w:r>
        <w:rPr>
          <w:rFonts w:hint="eastAsia" w:ascii="宋体" w:hAnsi="宋体" w:eastAsia="宋体" w:cs="宋体"/>
          <w:b/>
          <w:bCs/>
          <w:sz w:val="30"/>
          <w:szCs w:val="30"/>
        </w:rPr>
        <w:t>报价文件格式</w:t>
      </w:r>
      <w:bookmarkEnd w:id="129"/>
      <w:bookmarkEnd w:id="130"/>
      <w:bookmarkEnd w:id="132"/>
      <w:bookmarkEnd w:id="133"/>
      <w:bookmarkEnd w:id="134"/>
    </w:p>
    <w:p w14:paraId="7220A900">
      <w:pPr>
        <w:snapToGrid w:val="0"/>
        <w:spacing w:beforeLines="50" w:after="50"/>
        <w:rPr>
          <w:rFonts w:ascii="宋体" w:hAnsi="宋体" w:eastAsia="宋体" w:cs="Times New Roman"/>
          <w:sz w:val="24"/>
          <w:szCs w:val="24"/>
        </w:rPr>
      </w:pPr>
    </w:p>
    <w:p w14:paraId="71FC8B53">
      <w:pPr>
        <w:snapToGrid w:val="0"/>
        <w:spacing w:beforeLines="50" w:after="50"/>
        <w:rPr>
          <w:rFonts w:ascii="宋体" w:hAnsi="宋体" w:eastAsia="宋体" w:cs="Times New Roman"/>
          <w:sz w:val="24"/>
          <w:szCs w:val="24"/>
        </w:rPr>
      </w:pPr>
    </w:p>
    <w:p w14:paraId="12D39224">
      <w:pPr>
        <w:snapToGrid w:val="0"/>
        <w:spacing w:beforeLines="50" w:after="50"/>
        <w:rPr>
          <w:rFonts w:ascii="宋体" w:hAnsi="宋体" w:eastAsia="宋体" w:cs="Times New Roman"/>
          <w:sz w:val="24"/>
          <w:szCs w:val="24"/>
        </w:rPr>
      </w:pPr>
    </w:p>
    <w:p w14:paraId="54B316BC">
      <w:pPr>
        <w:snapToGrid w:val="0"/>
        <w:spacing w:beforeLines="50" w:after="50"/>
        <w:jc w:val="right"/>
        <w:rPr>
          <w:rFonts w:ascii="宋体" w:hAnsi="宋体" w:eastAsia="宋体" w:cs="Times New Roman"/>
          <w:sz w:val="32"/>
          <w:szCs w:val="32"/>
        </w:rPr>
      </w:pPr>
      <w:r>
        <w:rPr>
          <w:rFonts w:hint="eastAsia" w:ascii="宋体" w:hAnsi="宋体" w:eastAsia="宋体" w:cs="宋体"/>
        </w:rPr>
        <w:t>全流程电子文件</w:t>
      </w:r>
    </w:p>
    <w:p w14:paraId="7CEDD68B">
      <w:pPr>
        <w:snapToGrid w:val="0"/>
        <w:spacing w:beforeLines="50" w:after="50"/>
        <w:rPr>
          <w:rFonts w:ascii="宋体" w:hAnsi="宋体" w:eastAsia="宋体" w:cs="Times New Roman"/>
          <w:sz w:val="24"/>
          <w:szCs w:val="24"/>
        </w:rPr>
      </w:pPr>
    </w:p>
    <w:p w14:paraId="775EE017">
      <w:pPr>
        <w:snapToGrid w:val="0"/>
        <w:spacing w:beforeLines="50" w:after="50"/>
        <w:jc w:val="center"/>
        <w:rPr>
          <w:rFonts w:ascii="宋体" w:hAnsi="宋体" w:eastAsia="宋体" w:cs="Times New Roman"/>
          <w:sz w:val="24"/>
          <w:szCs w:val="24"/>
        </w:rPr>
      </w:pPr>
      <w:r>
        <w:rPr>
          <w:rFonts w:hint="eastAsia" w:ascii="宋体" w:hAnsi="宋体" w:eastAsia="宋体" w:cs="宋体"/>
          <w:sz w:val="44"/>
          <w:szCs w:val="44"/>
        </w:rPr>
        <w:t>响</w:t>
      </w:r>
      <w:r>
        <w:rPr>
          <w:rFonts w:ascii="宋体" w:hAnsi="宋体" w:eastAsia="宋体" w:cs="宋体"/>
          <w:sz w:val="44"/>
          <w:szCs w:val="44"/>
        </w:rPr>
        <w:t xml:space="preserve">  </w:t>
      </w:r>
      <w:r>
        <w:rPr>
          <w:rFonts w:hint="eastAsia" w:ascii="宋体" w:hAnsi="宋体" w:eastAsia="宋体" w:cs="宋体"/>
          <w:sz w:val="44"/>
          <w:szCs w:val="44"/>
        </w:rPr>
        <w:t>应</w:t>
      </w:r>
      <w:r>
        <w:rPr>
          <w:rFonts w:ascii="宋体" w:hAnsi="宋体" w:eastAsia="宋体" w:cs="宋体"/>
          <w:sz w:val="44"/>
          <w:szCs w:val="44"/>
        </w:rPr>
        <w:t xml:space="preserve">  </w:t>
      </w:r>
      <w:r>
        <w:rPr>
          <w:rFonts w:hint="eastAsia" w:ascii="宋体" w:hAnsi="宋体" w:eastAsia="宋体" w:cs="宋体"/>
          <w:sz w:val="44"/>
          <w:szCs w:val="44"/>
        </w:rPr>
        <w:t>文</w:t>
      </w:r>
      <w:r>
        <w:rPr>
          <w:rFonts w:ascii="宋体" w:hAnsi="宋体" w:eastAsia="宋体" w:cs="宋体"/>
          <w:sz w:val="44"/>
          <w:szCs w:val="44"/>
        </w:rPr>
        <w:t xml:space="preserve">  </w:t>
      </w:r>
      <w:r>
        <w:rPr>
          <w:rFonts w:hint="eastAsia" w:ascii="宋体" w:hAnsi="宋体" w:eastAsia="宋体" w:cs="宋体"/>
          <w:sz w:val="44"/>
          <w:szCs w:val="44"/>
        </w:rPr>
        <w:t>件</w:t>
      </w:r>
    </w:p>
    <w:p w14:paraId="7C5F551E">
      <w:pPr>
        <w:snapToGrid w:val="0"/>
        <w:spacing w:beforeLines="50" w:after="50"/>
        <w:rPr>
          <w:rFonts w:ascii="宋体" w:hAnsi="宋体" w:eastAsia="宋体" w:cs="Times New Roman"/>
          <w:sz w:val="24"/>
          <w:szCs w:val="24"/>
        </w:rPr>
      </w:pPr>
    </w:p>
    <w:p w14:paraId="7F44212F">
      <w:pPr>
        <w:snapToGrid w:val="0"/>
        <w:spacing w:beforeLines="50" w:after="50"/>
        <w:rPr>
          <w:rFonts w:ascii="宋体" w:hAnsi="宋体" w:eastAsia="宋体" w:cs="Times New Roman"/>
          <w:sz w:val="24"/>
          <w:szCs w:val="24"/>
        </w:rPr>
      </w:pPr>
    </w:p>
    <w:p w14:paraId="2B5E35E6">
      <w:pPr>
        <w:snapToGrid w:val="0"/>
        <w:spacing w:beforeLines="50" w:after="50"/>
        <w:rPr>
          <w:rFonts w:ascii="宋体" w:hAnsi="宋体" w:eastAsia="宋体" w:cs="Times New Roman"/>
          <w:sz w:val="24"/>
          <w:szCs w:val="24"/>
        </w:rPr>
      </w:pPr>
    </w:p>
    <w:p w14:paraId="4DEE9AD6">
      <w:pPr>
        <w:snapToGrid w:val="0"/>
        <w:spacing w:beforeLines="50" w:after="50"/>
        <w:jc w:val="center"/>
        <w:rPr>
          <w:rFonts w:ascii="宋体" w:hAnsi="宋体" w:eastAsia="宋体" w:cs="Times New Roman"/>
          <w:sz w:val="44"/>
          <w:szCs w:val="44"/>
        </w:rPr>
      </w:pPr>
      <w:r>
        <w:rPr>
          <w:rFonts w:hint="eastAsia" w:ascii="宋体" w:hAnsi="宋体" w:eastAsia="宋体" w:cs="宋体"/>
          <w:sz w:val="44"/>
          <w:szCs w:val="44"/>
        </w:rPr>
        <w:t>报</w:t>
      </w:r>
      <w:r>
        <w:rPr>
          <w:rFonts w:ascii="宋体" w:hAnsi="宋体" w:eastAsia="宋体" w:cs="宋体"/>
          <w:sz w:val="44"/>
          <w:szCs w:val="44"/>
        </w:rPr>
        <w:t xml:space="preserve">  </w:t>
      </w:r>
      <w:r>
        <w:rPr>
          <w:rFonts w:hint="eastAsia" w:ascii="宋体" w:hAnsi="宋体" w:eastAsia="宋体" w:cs="宋体"/>
          <w:sz w:val="44"/>
          <w:szCs w:val="44"/>
        </w:rPr>
        <w:t>价</w:t>
      </w:r>
      <w:r>
        <w:rPr>
          <w:rFonts w:ascii="宋体" w:hAnsi="宋体" w:eastAsia="宋体" w:cs="宋体"/>
          <w:sz w:val="44"/>
          <w:szCs w:val="44"/>
        </w:rPr>
        <w:t xml:space="preserve">  </w:t>
      </w:r>
      <w:r>
        <w:rPr>
          <w:rFonts w:hint="eastAsia" w:ascii="宋体" w:hAnsi="宋体" w:eastAsia="宋体" w:cs="宋体"/>
          <w:sz w:val="44"/>
          <w:szCs w:val="44"/>
        </w:rPr>
        <w:t>文</w:t>
      </w:r>
      <w:r>
        <w:rPr>
          <w:rFonts w:ascii="宋体" w:hAnsi="宋体" w:eastAsia="宋体" w:cs="宋体"/>
          <w:sz w:val="44"/>
          <w:szCs w:val="44"/>
        </w:rPr>
        <w:t xml:space="preserve">  </w:t>
      </w:r>
      <w:r>
        <w:rPr>
          <w:rFonts w:hint="eastAsia" w:ascii="宋体" w:hAnsi="宋体" w:eastAsia="宋体" w:cs="宋体"/>
          <w:sz w:val="44"/>
          <w:szCs w:val="44"/>
        </w:rPr>
        <w:t>件（封面）</w:t>
      </w:r>
    </w:p>
    <w:p w14:paraId="1E1DFE4A">
      <w:pPr>
        <w:snapToGrid w:val="0"/>
        <w:spacing w:beforeLines="50" w:after="50"/>
        <w:rPr>
          <w:rFonts w:ascii="宋体" w:hAnsi="宋体" w:eastAsia="宋体" w:cs="Times New Roman"/>
          <w:sz w:val="24"/>
          <w:szCs w:val="24"/>
        </w:rPr>
      </w:pPr>
    </w:p>
    <w:p w14:paraId="4BED0242">
      <w:pPr>
        <w:snapToGrid w:val="0"/>
        <w:spacing w:beforeLines="50" w:after="50"/>
        <w:rPr>
          <w:rFonts w:ascii="宋体" w:hAnsi="宋体" w:eastAsia="宋体" w:cs="Times New Roman"/>
          <w:sz w:val="24"/>
          <w:szCs w:val="24"/>
        </w:rPr>
      </w:pPr>
    </w:p>
    <w:p w14:paraId="1EFE4494">
      <w:pPr>
        <w:snapToGrid w:val="0"/>
        <w:spacing w:beforeLines="50" w:after="50"/>
        <w:rPr>
          <w:rFonts w:ascii="宋体" w:hAnsi="宋体" w:eastAsia="宋体" w:cs="Times New Roman"/>
          <w:sz w:val="24"/>
          <w:szCs w:val="24"/>
        </w:rPr>
      </w:pPr>
    </w:p>
    <w:p w14:paraId="39DC4726">
      <w:pPr>
        <w:snapToGrid w:val="0"/>
        <w:spacing w:beforeLines="50" w:after="50"/>
        <w:rPr>
          <w:rFonts w:ascii="宋体" w:hAnsi="宋体" w:eastAsia="宋体" w:cs="Times New Roman"/>
          <w:sz w:val="24"/>
          <w:szCs w:val="24"/>
        </w:rPr>
      </w:pPr>
    </w:p>
    <w:p w14:paraId="5E15C564">
      <w:pPr>
        <w:snapToGrid w:val="0"/>
        <w:spacing w:beforeLines="50" w:after="50"/>
        <w:rPr>
          <w:rFonts w:ascii="宋体" w:hAnsi="宋体" w:eastAsia="宋体" w:cs="Times New Roman"/>
          <w:sz w:val="24"/>
          <w:szCs w:val="24"/>
        </w:rPr>
      </w:pPr>
    </w:p>
    <w:p w14:paraId="6B3B5328">
      <w:pPr>
        <w:snapToGrid w:val="0"/>
        <w:spacing w:beforeLines="50" w:after="50"/>
        <w:rPr>
          <w:rFonts w:ascii="宋体" w:hAnsi="宋体" w:eastAsia="宋体" w:cs="Times New Roman"/>
          <w:sz w:val="24"/>
          <w:szCs w:val="24"/>
        </w:rPr>
      </w:pPr>
    </w:p>
    <w:p w14:paraId="6F3359B2">
      <w:pPr>
        <w:snapToGrid w:val="0"/>
        <w:spacing w:beforeLines="50" w:after="50"/>
        <w:rPr>
          <w:rFonts w:ascii="宋体" w:hAnsi="宋体" w:eastAsia="宋体" w:cs="Times New Roman"/>
          <w:sz w:val="24"/>
          <w:szCs w:val="24"/>
        </w:rPr>
      </w:pPr>
    </w:p>
    <w:p w14:paraId="253B6C24">
      <w:pPr>
        <w:snapToGrid w:val="0"/>
        <w:spacing w:beforeLines="50" w:after="50"/>
        <w:ind w:firstLine="640" w:firstLineChars="200"/>
        <w:rPr>
          <w:rFonts w:ascii="宋体" w:hAnsi="宋体" w:eastAsia="宋体" w:cs="宋体"/>
          <w:sz w:val="32"/>
          <w:szCs w:val="32"/>
        </w:rPr>
      </w:pPr>
      <w:r>
        <w:rPr>
          <w:rFonts w:hint="eastAsia" w:ascii="宋体" w:hAnsi="宋体" w:eastAsia="宋体" w:cs="宋体"/>
          <w:sz w:val="32"/>
          <w:szCs w:val="32"/>
        </w:rPr>
        <w:t>项目名称：</w:t>
      </w:r>
      <w:r>
        <w:rPr>
          <w:rFonts w:ascii="宋体" w:hAnsi="宋体" w:eastAsia="宋体" w:cs="宋体"/>
          <w:sz w:val="32"/>
          <w:szCs w:val="32"/>
        </w:rPr>
        <w:t xml:space="preserve"> </w:t>
      </w:r>
    </w:p>
    <w:p w14:paraId="3F37F112">
      <w:pPr>
        <w:snapToGrid w:val="0"/>
        <w:spacing w:beforeLines="50" w:after="50"/>
        <w:ind w:firstLine="720" w:firstLineChars="225"/>
        <w:rPr>
          <w:rFonts w:ascii="宋体" w:hAnsi="宋体" w:eastAsia="宋体" w:cs="Times New Roman"/>
          <w:sz w:val="32"/>
          <w:szCs w:val="32"/>
        </w:rPr>
      </w:pPr>
    </w:p>
    <w:p w14:paraId="0ED63165">
      <w:pPr>
        <w:snapToGrid w:val="0"/>
        <w:spacing w:beforeLines="50" w:after="50"/>
        <w:ind w:firstLine="640" w:firstLineChars="200"/>
        <w:rPr>
          <w:rFonts w:ascii="宋体" w:hAnsi="宋体" w:eastAsia="宋体" w:cs="Times New Roman"/>
          <w:sz w:val="32"/>
          <w:szCs w:val="32"/>
        </w:rPr>
      </w:pPr>
      <w:r>
        <w:rPr>
          <w:rFonts w:hint="eastAsia" w:ascii="宋体" w:hAnsi="宋体" w:eastAsia="宋体" w:cs="宋体"/>
          <w:sz w:val="32"/>
          <w:szCs w:val="32"/>
        </w:rPr>
        <w:t>项目编号：</w:t>
      </w:r>
    </w:p>
    <w:p w14:paraId="458FF352">
      <w:pPr>
        <w:snapToGrid w:val="0"/>
        <w:spacing w:beforeLines="50" w:after="50"/>
        <w:ind w:firstLine="720" w:firstLineChars="225"/>
        <w:rPr>
          <w:rFonts w:ascii="宋体" w:hAnsi="宋体" w:eastAsia="宋体" w:cs="Times New Roman"/>
          <w:sz w:val="32"/>
          <w:szCs w:val="32"/>
        </w:rPr>
      </w:pPr>
    </w:p>
    <w:p w14:paraId="4F9C0D34">
      <w:pPr>
        <w:snapToGrid w:val="0"/>
        <w:spacing w:beforeLines="50" w:after="50"/>
        <w:ind w:firstLine="640" w:firstLineChars="200"/>
        <w:rPr>
          <w:rFonts w:ascii="宋体" w:hAnsi="宋体" w:eastAsia="宋体" w:cs="Times New Roman"/>
          <w:sz w:val="32"/>
          <w:szCs w:val="32"/>
        </w:rPr>
      </w:pPr>
      <w:r>
        <w:rPr>
          <w:rFonts w:hint="eastAsia" w:ascii="宋体" w:hAnsi="宋体" w:eastAsia="宋体" w:cs="宋体"/>
          <w:sz w:val="32"/>
          <w:szCs w:val="32"/>
        </w:rPr>
        <w:t>所竞分标（如有则填写，无分标时填写“无”或者留空）：</w:t>
      </w:r>
    </w:p>
    <w:p w14:paraId="22D9DD04">
      <w:pPr>
        <w:snapToGrid w:val="0"/>
        <w:spacing w:beforeLines="50" w:after="50"/>
        <w:ind w:firstLine="720" w:firstLineChars="225"/>
        <w:rPr>
          <w:rFonts w:ascii="宋体" w:hAnsi="宋体" w:eastAsia="宋体" w:cs="Times New Roman"/>
          <w:sz w:val="32"/>
          <w:szCs w:val="32"/>
        </w:rPr>
      </w:pPr>
    </w:p>
    <w:p w14:paraId="1DD9DD48">
      <w:pPr>
        <w:pStyle w:val="7"/>
        <w:snapToGrid w:val="0"/>
        <w:spacing w:before="50" w:after="50"/>
        <w:ind w:firstLine="640" w:firstLineChars="200"/>
        <w:rPr>
          <w:rFonts w:ascii="宋体"/>
          <w:sz w:val="32"/>
          <w:szCs w:val="32"/>
        </w:rPr>
      </w:pPr>
      <w:r>
        <w:rPr>
          <w:rFonts w:hint="eastAsia" w:ascii="宋体" w:hAnsi="宋体" w:cs="宋体"/>
          <w:sz w:val="32"/>
          <w:szCs w:val="32"/>
        </w:rPr>
        <w:t>供应商名称：</w:t>
      </w:r>
    </w:p>
    <w:p w14:paraId="4CDAF4B8">
      <w:pPr>
        <w:pStyle w:val="7"/>
        <w:snapToGrid w:val="0"/>
        <w:spacing w:before="50" w:after="50"/>
        <w:ind w:firstLine="720" w:firstLineChars="225"/>
        <w:rPr>
          <w:rFonts w:ascii="宋体"/>
          <w:sz w:val="32"/>
          <w:szCs w:val="32"/>
        </w:rPr>
      </w:pPr>
    </w:p>
    <w:p w14:paraId="15E3E17C">
      <w:pPr>
        <w:pStyle w:val="7"/>
        <w:snapToGrid w:val="0"/>
        <w:spacing w:before="50" w:after="50"/>
        <w:ind w:firstLine="720" w:firstLineChars="225"/>
        <w:rPr>
          <w:rFonts w:ascii="宋体"/>
          <w:sz w:val="32"/>
          <w:szCs w:val="32"/>
        </w:rPr>
      </w:pPr>
    </w:p>
    <w:p w14:paraId="131E1801">
      <w:pPr>
        <w:pStyle w:val="7"/>
        <w:snapToGrid w:val="0"/>
        <w:spacing w:before="50" w:after="50"/>
        <w:ind w:firstLine="720" w:firstLineChars="225"/>
        <w:rPr>
          <w:rFonts w:ascii="宋体"/>
          <w:sz w:val="32"/>
          <w:szCs w:val="32"/>
        </w:rPr>
      </w:pPr>
    </w:p>
    <w:p w14:paraId="034B01D2">
      <w:pPr>
        <w:pStyle w:val="7"/>
        <w:snapToGrid w:val="0"/>
        <w:spacing w:before="50" w:after="50"/>
        <w:ind w:firstLine="1280" w:firstLineChars="400"/>
        <w:rPr>
          <w:rFonts w:ascii="宋体"/>
          <w:sz w:val="32"/>
          <w:szCs w:val="32"/>
        </w:rPr>
      </w:pPr>
    </w:p>
    <w:p w14:paraId="1B2B6BEE">
      <w:pPr>
        <w:snapToGrid w:val="0"/>
        <w:spacing w:beforeLines="50" w:after="50"/>
        <w:jc w:val="center"/>
        <w:rPr>
          <w:rFonts w:ascii="宋体" w:hAnsi="宋体" w:eastAsia="宋体" w:cs="Times New Roman"/>
          <w:sz w:val="32"/>
          <w:szCs w:val="32"/>
        </w:rPr>
      </w:pPr>
      <w:r>
        <w:rPr>
          <w:rFonts w:hint="eastAsia" w:ascii="宋体" w:hAnsi="宋体" w:eastAsia="宋体" w:cs="宋体"/>
          <w:sz w:val="32"/>
          <w:szCs w:val="32"/>
        </w:rPr>
        <w:t>年</w:t>
      </w:r>
      <w:r>
        <w:rPr>
          <w:rFonts w:ascii="宋体" w:hAnsi="宋体" w:eastAsia="宋体" w:cs="宋体"/>
          <w:sz w:val="32"/>
          <w:szCs w:val="32"/>
        </w:rPr>
        <w:t xml:space="preserve">    </w:t>
      </w:r>
      <w:r>
        <w:rPr>
          <w:rFonts w:hint="eastAsia" w:ascii="宋体" w:hAnsi="宋体" w:eastAsia="宋体" w:cs="宋体"/>
          <w:sz w:val="32"/>
          <w:szCs w:val="32"/>
        </w:rPr>
        <w:t>月</w:t>
      </w:r>
      <w:r>
        <w:rPr>
          <w:rFonts w:ascii="宋体" w:hAnsi="宋体" w:eastAsia="宋体" w:cs="宋体"/>
          <w:sz w:val="32"/>
          <w:szCs w:val="32"/>
        </w:rPr>
        <w:t xml:space="preserve">    </w:t>
      </w:r>
      <w:r>
        <w:rPr>
          <w:rFonts w:hint="eastAsia" w:ascii="宋体" w:hAnsi="宋体" w:eastAsia="宋体" w:cs="宋体"/>
          <w:sz w:val="32"/>
          <w:szCs w:val="32"/>
        </w:rPr>
        <w:t>日</w:t>
      </w:r>
    </w:p>
    <w:p w14:paraId="37778EDC">
      <w:pPr>
        <w:widowControl/>
        <w:jc w:val="left"/>
        <w:rPr>
          <w:rFonts w:ascii="宋体" w:hAnsi="宋体" w:eastAsia="宋体" w:cs="Times New Roman"/>
          <w:b/>
          <w:bCs/>
          <w:kern w:val="0"/>
          <w:sz w:val="30"/>
          <w:szCs w:val="30"/>
        </w:rPr>
      </w:pPr>
    </w:p>
    <w:p w14:paraId="451F6F90">
      <w:pPr>
        <w:snapToGrid w:val="0"/>
        <w:spacing w:beforeLines="50" w:after="50" w:line="400" w:lineRule="exact"/>
        <w:jc w:val="center"/>
        <w:rPr>
          <w:rFonts w:ascii="宋体" w:hAnsi="宋体" w:eastAsia="宋体" w:cs="Times New Roman"/>
          <w:b/>
          <w:bCs/>
          <w:sz w:val="32"/>
          <w:szCs w:val="32"/>
        </w:rPr>
      </w:pPr>
      <w:r>
        <w:rPr>
          <w:rFonts w:hint="eastAsia" w:ascii="宋体" w:hAnsi="宋体" w:eastAsia="宋体" w:cs="宋体"/>
          <w:b/>
          <w:bCs/>
          <w:sz w:val="32"/>
          <w:szCs w:val="32"/>
        </w:rPr>
        <w:t>报价文件目录</w:t>
      </w:r>
    </w:p>
    <w:p w14:paraId="1E9079C9">
      <w:pPr>
        <w:rPr>
          <w:rFonts w:ascii="宋体" w:hAnsi="宋体" w:eastAsia="宋体" w:cs="Times New Roman"/>
        </w:rPr>
      </w:pPr>
    </w:p>
    <w:p w14:paraId="3F6AD292">
      <w:pPr>
        <w:spacing w:line="500" w:lineRule="exact"/>
        <w:rPr>
          <w:rFonts w:ascii="宋体" w:hAnsi="宋体" w:eastAsia="宋体" w:cs="Times New Roman"/>
          <w:kern w:val="0"/>
          <w:sz w:val="24"/>
          <w:szCs w:val="24"/>
        </w:rPr>
      </w:pPr>
      <w:r>
        <w:rPr>
          <w:rFonts w:hint="eastAsia" w:ascii="宋体" w:hAnsi="宋体" w:eastAsia="宋体" w:cs="宋体"/>
          <w:kern w:val="0"/>
          <w:sz w:val="24"/>
          <w:szCs w:val="24"/>
        </w:rPr>
        <w:t>一、响应函………………………………………………………（页码）</w:t>
      </w:r>
    </w:p>
    <w:p w14:paraId="1C74319D">
      <w:pPr>
        <w:spacing w:line="500" w:lineRule="exact"/>
        <w:rPr>
          <w:rFonts w:ascii="宋体" w:hAnsi="宋体" w:eastAsia="宋体" w:cs="Times New Roman"/>
          <w:kern w:val="0"/>
          <w:sz w:val="24"/>
          <w:szCs w:val="24"/>
        </w:rPr>
      </w:pPr>
      <w:r>
        <w:rPr>
          <w:rFonts w:hint="eastAsia" w:ascii="宋体" w:hAnsi="宋体" w:eastAsia="宋体" w:cs="宋体"/>
          <w:kern w:val="0"/>
          <w:sz w:val="24"/>
          <w:szCs w:val="24"/>
        </w:rPr>
        <w:t>二、响应报价表…………………………………………………（页码）</w:t>
      </w:r>
    </w:p>
    <w:p w14:paraId="7D089B2A">
      <w:pPr>
        <w:spacing w:line="500" w:lineRule="exact"/>
        <w:rPr>
          <w:rFonts w:ascii="宋体" w:hAnsi="宋体" w:eastAsia="宋体" w:cs="Times New Roman"/>
          <w:kern w:val="0"/>
          <w:sz w:val="24"/>
          <w:szCs w:val="24"/>
        </w:rPr>
      </w:pPr>
      <w:r>
        <w:rPr>
          <w:rFonts w:hint="eastAsia" w:ascii="宋体" w:hAnsi="宋体" w:eastAsia="宋体" w:cs="宋体"/>
          <w:kern w:val="0"/>
          <w:sz w:val="24"/>
          <w:szCs w:val="24"/>
        </w:rPr>
        <w:t>三、已标价工程量清单…………………………………………（页码）</w:t>
      </w:r>
    </w:p>
    <w:p w14:paraId="107538FC">
      <w:pPr>
        <w:widowControl/>
        <w:jc w:val="left"/>
        <w:rPr>
          <w:rFonts w:ascii="宋体" w:hAnsi="宋体" w:eastAsia="宋体" w:cs="Times New Roman"/>
          <w:b/>
          <w:bCs/>
          <w:kern w:val="0"/>
          <w:sz w:val="32"/>
          <w:szCs w:val="32"/>
        </w:rPr>
      </w:pPr>
      <w:r>
        <w:rPr>
          <w:rFonts w:hAnsi="宋体" w:cs="Times New Roman"/>
          <w:b/>
          <w:bCs/>
          <w:sz w:val="32"/>
          <w:szCs w:val="32"/>
        </w:rPr>
        <w:br w:type="page"/>
      </w:r>
    </w:p>
    <w:p w14:paraId="79651A9B">
      <w:pPr>
        <w:pStyle w:val="23"/>
        <w:spacing w:line="500" w:lineRule="exact"/>
        <w:jc w:val="left"/>
        <w:rPr>
          <w:rFonts w:hAnsi="宋体" w:cs="Times New Roman"/>
          <w:b/>
          <w:bCs/>
          <w:sz w:val="28"/>
          <w:szCs w:val="28"/>
        </w:rPr>
      </w:pPr>
      <w:r>
        <w:rPr>
          <w:rFonts w:hint="eastAsia" w:hAnsi="宋体"/>
          <w:b/>
          <w:bCs/>
          <w:sz w:val="28"/>
          <w:szCs w:val="28"/>
        </w:rPr>
        <w:t>一、响应函</w:t>
      </w:r>
    </w:p>
    <w:p w14:paraId="25DA8A69">
      <w:pPr>
        <w:pStyle w:val="23"/>
        <w:spacing w:line="500" w:lineRule="exact"/>
        <w:jc w:val="left"/>
        <w:rPr>
          <w:rFonts w:hAnsi="宋体" w:cs="Times New Roman"/>
          <w:b/>
          <w:bCs/>
          <w:sz w:val="32"/>
          <w:szCs w:val="32"/>
        </w:rPr>
      </w:pPr>
    </w:p>
    <w:p w14:paraId="032E7A21">
      <w:pPr>
        <w:pStyle w:val="23"/>
        <w:spacing w:line="500" w:lineRule="exact"/>
        <w:jc w:val="center"/>
        <w:rPr>
          <w:rFonts w:hAnsi="宋体" w:cs="Times New Roman"/>
          <w:b/>
          <w:bCs/>
          <w:sz w:val="32"/>
          <w:szCs w:val="32"/>
        </w:rPr>
      </w:pPr>
      <w:r>
        <w:rPr>
          <w:rFonts w:hint="eastAsia" w:hAnsi="宋体"/>
          <w:b/>
          <w:bCs/>
          <w:sz w:val="32"/>
          <w:szCs w:val="32"/>
        </w:rPr>
        <w:t>响应函</w:t>
      </w:r>
    </w:p>
    <w:p w14:paraId="22AA51C4">
      <w:pPr>
        <w:autoSpaceDE w:val="0"/>
        <w:autoSpaceDN w:val="0"/>
        <w:adjustRightInd w:val="0"/>
        <w:spacing w:line="500" w:lineRule="exact"/>
        <w:ind w:firstLine="420" w:firstLineChars="200"/>
        <w:jc w:val="left"/>
        <w:rPr>
          <w:rFonts w:ascii="宋体" w:eastAsia="宋体" w:cs="Times New Roman"/>
          <w:kern w:val="0"/>
        </w:rPr>
      </w:pPr>
      <w:r>
        <w:rPr>
          <w:rFonts w:ascii="宋体" w:eastAsia="宋体" w:cs="宋体"/>
          <w:kern w:val="0"/>
        </w:rPr>
        <w:t>1</w:t>
      </w:r>
      <w:r>
        <w:rPr>
          <w:rFonts w:hint="eastAsia" w:ascii="宋体" w:eastAsia="宋体" w:cs="宋体"/>
          <w:kern w:val="0"/>
        </w:rPr>
        <w:t>、根据你方采购工程项目编号为</w:t>
      </w:r>
      <w:r>
        <w:rPr>
          <w:rFonts w:ascii="宋体" w:eastAsia="宋体" w:cs="Times New Roman"/>
          <w:kern w:val="0"/>
          <w:u w:val="single"/>
        </w:rPr>
        <w:t>{</w:t>
      </w:r>
      <w:r>
        <w:rPr>
          <w:rFonts w:hint="eastAsia" w:ascii="宋体" w:eastAsia="宋体" w:cs="宋体"/>
          <w:kern w:val="0"/>
          <w:u w:val="single"/>
        </w:rPr>
        <w:t>项目编号</w:t>
      </w:r>
      <w:r>
        <w:rPr>
          <w:rFonts w:ascii="宋体" w:eastAsia="宋体" w:cs="Times New Roman"/>
          <w:kern w:val="0"/>
          <w:u w:val="single"/>
        </w:rPr>
        <w:t>}</w:t>
      </w:r>
      <w:r>
        <w:rPr>
          <w:rFonts w:ascii="宋体" w:eastAsia="宋体" w:cs="宋体"/>
          <w:kern w:val="0"/>
          <w:u w:val="single"/>
        </w:rPr>
        <w:t xml:space="preserve"> </w:t>
      </w:r>
      <w:r>
        <w:rPr>
          <w:rFonts w:hint="eastAsia" w:ascii="宋体" w:eastAsia="宋体" w:cs="宋体"/>
          <w:kern w:val="0"/>
        </w:rPr>
        <w:t>的</w:t>
      </w:r>
      <w:r>
        <w:rPr>
          <w:rFonts w:ascii="宋体" w:eastAsia="宋体" w:cs="Times New Roman"/>
          <w:kern w:val="0"/>
        </w:rPr>
        <w:t>{</w:t>
      </w:r>
      <w:r>
        <w:rPr>
          <w:rFonts w:hint="eastAsia" w:ascii="宋体" w:eastAsia="宋体" w:cs="宋体"/>
          <w:kern w:val="0"/>
          <w:u w:val="single"/>
        </w:rPr>
        <w:t>采购工程项目名称</w:t>
      </w:r>
      <w:r>
        <w:rPr>
          <w:rFonts w:ascii="宋体" w:eastAsia="宋体" w:cs="Times New Roman"/>
          <w:kern w:val="0"/>
          <w:u w:val="single"/>
        </w:rPr>
        <w:t>}</w:t>
      </w:r>
      <w:r>
        <w:rPr>
          <w:rFonts w:ascii="宋体" w:eastAsia="宋体" w:cs="宋体"/>
          <w:kern w:val="0"/>
          <w:u w:val="single"/>
        </w:rPr>
        <w:t xml:space="preserve"> </w:t>
      </w:r>
      <w:r>
        <w:rPr>
          <w:rFonts w:hint="eastAsia" w:ascii="宋体" w:eastAsia="宋体" w:cs="宋体"/>
          <w:kern w:val="0"/>
        </w:rPr>
        <w:t>工程竞争性磋商采购文件，遵照《中华人民共和国政府采购法》等有关规定，经踏勘项目现场和研究上述竞争性磋商采购文件的磋商须知、合同条款、图纸、工程建设标准和工程量清单及其他有关文件后，我方承接本项目</w:t>
      </w:r>
      <w:r>
        <w:rPr>
          <w:rFonts w:ascii="宋体" w:eastAsia="宋体" w:cs="Times New Roman"/>
          <w:kern w:val="0"/>
          <w:u w:val="single"/>
        </w:rPr>
        <w:t>{</w:t>
      </w:r>
      <w:r>
        <w:rPr>
          <w:rFonts w:hint="eastAsia" w:ascii="宋体" w:eastAsia="宋体" w:cs="宋体"/>
          <w:kern w:val="0"/>
          <w:u w:val="single"/>
        </w:rPr>
        <w:t>采购工程项目名称</w:t>
      </w:r>
      <w:r>
        <w:rPr>
          <w:rFonts w:ascii="宋体" w:eastAsia="宋体" w:cs="Times New Roman"/>
          <w:kern w:val="0"/>
          <w:u w:val="single"/>
        </w:rPr>
        <w:t>}</w:t>
      </w:r>
      <w:r>
        <w:rPr>
          <w:rFonts w:hint="eastAsia" w:ascii="宋体" w:eastAsia="宋体" w:cs="宋体"/>
          <w:kern w:val="0"/>
        </w:rPr>
        <w:t>竞标报价为人民币</w:t>
      </w:r>
      <w:r>
        <w:rPr>
          <w:rFonts w:ascii="宋体" w:eastAsia="宋体" w:cs="宋体"/>
          <w:kern w:val="0"/>
          <w:u w:val="single"/>
        </w:rPr>
        <w:t xml:space="preserve">             </w:t>
      </w:r>
      <w:r>
        <w:rPr>
          <w:rFonts w:hint="eastAsia" w:ascii="宋体" w:eastAsia="宋体" w:cs="宋体"/>
          <w:kern w:val="0"/>
          <w:u w:val="single"/>
        </w:rPr>
        <w:t>（大写）（</w:t>
      </w:r>
      <w:r>
        <w:rPr>
          <w:rFonts w:ascii="宋体" w:eastAsia="宋体" w:cs="Times New Roman"/>
          <w:b/>
          <w:bCs/>
          <w:u w:val="single"/>
        </w:rPr>
        <w:t>¥</w:t>
      </w:r>
      <w:r>
        <w:rPr>
          <w:rFonts w:ascii="宋体" w:eastAsia="宋体" w:cs="宋体"/>
          <w:kern w:val="0"/>
          <w:u w:val="single"/>
        </w:rPr>
        <w:t xml:space="preserve">        </w:t>
      </w:r>
      <w:r>
        <w:rPr>
          <w:rFonts w:hint="eastAsia" w:ascii="宋体" w:eastAsia="宋体" w:cs="宋体"/>
          <w:kern w:val="0"/>
          <w:u w:val="single"/>
        </w:rPr>
        <w:t>）。</w:t>
      </w:r>
    </w:p>
    <w:p w14:paraId="08639C0B">
      <w:pPr>
        <w:autoSpaceDE w:val="0"/>
        <w:autoSpaceDN w:val="0"/>
        <w:adjustRightInd w:val="0"/>
        <w:spacing w:line="500" w:lineRule="exact"/>
        <w:ind w:firstLine="420" w:firstLineChars="200"/>
        <w:jc w:val="left"/>
        <w:rPr>
          <w:rFonts w:ascii="宋体" w:eastAsia="宋体" w:cs="Times New Roman"/>
          <w:kern w:val="0"/>
        </w:rPr>
      </w:pPr>
      <w:r>
        <w:rPr>
          <w:rFonts w:hint="eastAsia" w:ascii="宋体" w:eastAsia="宋体" w:cs="宋体"/>
          <w:kern w:val="0"/>
        </w:rPr>
        <w:t>并按磋响应文件、合同条款、工程建设标准和工程量清单（如有时）的条件要求承包上述工程的</w:t>
      </w:r>
    </w:p>
    <w:p w14:paraId="425FF4CC">
      <w:pPr>
        <w:autoSpaceDE w:val="0"/>
        <w:autoSpaceDN w:val="0"/>
        <w:adjustRightInd w:val="0"/>
        <w:spacing w:line="500" w:lineRule="exact"/>
        <w:jc w:val="left"/>
        <w:rPr>
          <w:rFonts w:ascii="宋体" w:eastAsia="宋体" w:cs="Times New Roman"/>
          <w:kern w:val="0"/>
        </w:rPr>
      </w:pPr>
      <w:r>
        <w:rPr>
          <w:rFonts w:hint="eastAsia" w:ascii="宋体" w:eastAsia="宋体" w:cs="宋体"/>
          <w:kern w:val="0"/>
        </w:rPr>
        <w:t>施工、竣工，并承担任何质量缺陷保修责任。我方保证工程质量达到：</w:t>
      </w:r>
      <w:r>
        <w:rPr>
          <w:rFonts w:ascii="宋体" w:eastAsia="宋体" w:cs="宋体"/>
          <w:kern w:val="0"/>
          <w:u w:val="single"/>
        </w:rPr>
        <w:t xml:space="preserve">               </w:t>
      </w:r>
      <w:r>
        <w:rPr>
          <w:rFonts w:hint="eastAsia" w:ascii="宋体" w:eastAsia="宋体" w:cs="宋体"/>
          <w:kern w:val="0"/>
        </w:rPr>
        <w:t>。</w:t>
      </w:r>
    </w:p>
    <w:p w14:paraId="55D953AD">
      <w:pPr>
        <w:autoSpaceDE w:val="0"/>
        <w:autoSpaceDN w:val="0"/>
        <w:adjustRightInd w:val="0"/>
        <w:spacing w:line="500" w:lineRule="exact"/>
        <w:ind w:firstLine="420" w:firstLineChars="200"/>
        <w:jc w:val="left"/>
        <w:rPr>
          <w:rFonts w:ascii="宋体" w:eastAsia="宋体" w:cs="Times New Roman"/>
          <w:kern w:val="0"/>
        </w:rPr>
      </w:pPr>
      <w:r>
        <w:rPr>
          <w:rFonts w:ascii="宋体" w:eastAsia="宋体" w:cs="宋体"/>
          <w:kern w:val="0"/>
        </w:rPr>
        <w:t>2</w:t>
      </w:r>
      <w:r>
        <w:rPr>
          <w:rFonts w:hint="eastAsia" w:ascii="宋体" w:eastAsia="宋体" w:cs="宋体"/>
          <w:kern w:val="0"/>
        </w:rPr>
        <w:t>、我方已详细审核全部竞争性磋商采购文件，包括修改文件（如有时）及有关附件。</w:t>
      </w:r>
    </w:p>
    <w:p w14:paraId="2DA41BB8">
      <w:pPr>
        <w:autoSpaceDE w:val="0"/>
        <w:autoSpaceDN w:val="0"/>
        <w:adjustRightInd w:val="0"/>
        <w:spacing w:line="500" w:lineRule="exact"/>
        <w:ind w:firstLine="420" w:firstLineChars="200"/>
        <w:jc w:val="left"/>
        <w:rPr>
          <w:rFonts w:ascii="宋体" w:eastAsia="宋体" w:cs="Times New Roman"/>
          <w:kern w:val="0"/>
        </w:rPr>
      </w:pPr>
      <w:r>
        <w:rPr>
          <w:rFonts w:ascii="宋体" w:eastAsia="宋体" w:cs="宋体"/>
          <w:kern w:val="0"/>
        </w:rPr>
        <w:t>3</w:t>
      </w:r>
      <w:r>
        <w:rPr>
          <w:rFonts w:hint="eastAsia" w:ascii="宋体" w:eastAsia="宋体" w:cs="宋体"/>
          <w:kern w:val="0"/>
        </w:rPr>
        <w:t>、一旦我方为成交人，我方保证在签订合同后</w:t>
      </w:r>
      <w:r>
        <w:rPr>
          <w:rFonts w:ascii="宋体" w:eastAsia="宋体" w:cs="宋体"/>
          <w:kern w:val="0"/>
          <w:u w:val="single"/>
        </w:rPr>
        <w:t xml:space="preserve">             </w:t>
      </w:r>
      <w:r>
        <w:rPr>
          <w:rFonts w:hint="eastAsia" w:ascii="宋体" w:eastAsia="宋体" w:cs="宋体"/>
          <w:kern w:val="0"/>
          <w:u w:val="single"/>
        </w:rPr>
        <w:t>（日历天）</w:t>
      </w:r>
      <w:r>
        <w:rPr>
          <w:rFonts w:hint="eastAsia" w:ascii="宋体" w:eastAsia="宋体" w:cs="宋体"/>
          <w:kern w:val="0"/>
        </w:rPr>
        <w:t>天内竣工并移交整个工程，并保证工程质量。</w:t>
      </w:r>
    </w:p>
    <w:p w14:paraId="7A6FB020">
      <w:pPr>
        <w:autoSpaceDE w:val="0"/>
        <w:autoSpaceDN w:val="0"/>
        <w:adjustRightInd w:val="0"/>
        <w:spacing w:line="500" w:lineRule="exact"/>
        <w:ind w:firstLine="420" w:firstLineChars="200"/>
        <w:jc w:val="left"/>
        <w:rPr>
          <w:rFonts w:ascii="宋体" w:eastAsia="宋体" w:cs="Times New Roman"/>
          <w:kern w:val="0"/>
        </w:rPr>
      </w:pPr>
      <w:r>
        <w:rPr>
          <w:rFonts w:ascii="宋体" w:eastAsia="宋体" w:cs="宋体"/>
          <w:kern w:val="0"/>
        </w:rPr>
        <w:t>4</w:t>
      </w:r>
      <w:r>
        <w:rPr>
          <w:rFonts w:hint="eastAsia" w:ascii="宋体" w:eastAsia="宋体" w:cs="宋体"/>
          <w:kern w:val="0"/>
        </w:rPr>
        <w:t>、如果我方为成交人，我方将按照文件规定提交由具有担保资格和能力的担保机构出具的</w:t>
      </w:r>
    </w:p>
    <w:p w14:paraId="5ECD26E5">
      <w:pPr>
        <w:autoSpaceDE w:val="0"/>
        <w:autoSpaceDN w:val="0"/>
        <w:adjustRightInd w:val="0"/>
        <w:spacing w:line="500" w:lineRule="exact"/>
        <w:jc w:val="left"/>
        <w:rPr>
          <w:rFonts w:ascii="宋体" w:eastAsia="宋体" w:cs="Times New Roman"/>
          <w:kern w:val="0"/>
        </w:rPr>
      </w:pPr>
      <w:r>
        <w:rPr>
          <w:rFonts w:hint="eastAsia" w:ascii="宋体" w:eastAsia="宋体" w:cs="宋体"/>
          <w:kern w:val="0"/>
        </w:rPr>
        <w:t>履约担保书作为履约担保。</w:t>
      </w:r>
    </w:p>
    <w:p w14:paraId="7AAEA08F">
      <w:pPr>
        <w:autoSpaceDE w:val="0"/>
        <w:autoSpaceDN w:val="0"/>
        <w:adjustRightInd w:val="0"/>
        <w:spacing w:line="500" w:lineRule="exact"/>
        <w:ind w:firstLine="420" w:firstLineChars="200"/>
        <w:jc w:val="left"/>
        <w:rPr>
          <w:rFonts w:ascii="宋体" w:eastAsia="宋体" w:cs="Times New Roman"/>
          <w:kern w:val="0"/>
        </w:rPr>
      </w:pPr>
      <w:r>
        <w:rPr>
          <w:rFonts w:ascii="宋体" w:eastAsia="宋体" w:cs="宋体"/>
          <w:kern w:val="0"/>
        </w:rPr>
        <w:t>5</w:t>
      </w:r>
      <w:r>
        <w:rPr>
          <w:rFonts w:hint="eastAsia" w:ascii="宋体" w:eastAsia="宋体" w:cs="宋体"/>
          <w:kern w:val="0"/>
        </w:rPr>
        <w:t>、我方同意所提交的磋响应文件在竞争性磋商采购文件的供应商须知前附表中第</w:t>
      </w:r>
      <w:r>
        <w:rPr>
          <w:rFonts w:ascii="宋体" w:eastAsia="宋体" w:cs="宋体"/>
          <w:kern w:val="0"/>
        </w:rPr>
        <w:t>16.2</w:t>
      </w:r>
      <w:r>
        <w:rPr>
          <w:rFonts w:hint="eastAsia" w:ascii="宋体" w:eastAsia="宋体" w:cs="宋体"/>
          <w:kern w:val="0"/>
        </w:rPr>
        <w:t>条规定的竞标有效期内有效，在此期间内如果成交，我方将受此约束。</w:t>
      </w:r>
    </w:p>
    <w:p w14:paraId="16441310">
      <w:pPr>
        <w:autoSpaceDE w:val="0"/>
        <w:autoSpaceDN w:val="0"/>
        <w:adjustRightInd w:val="0"/>
        <w:spacing w:line="500" w:lineRule="exact"/>
        <w:ind w:firstLine="420" w:firstLineChars="200"/>
        <w:jc w:val="left"/>
        <w:rPr>
          <w:rFonts w:ascii="宋体" w:eastAsia="宋体" w:cs="Times New Roman"/>
          <w:kern w:val="0"/>
        </w:rPr>
      </w:pPr>
      <w:r>
        <w:rPr>
          <w:rFonts w:ascii="宋体" w:eastAsia="宋体" w:cs="宋体"/>
          <w:kern w:val="0"/>
        </w:rPr>
        <w:t>6</w:t>
      </w:r>
      <w:r>
        <w:rPr>
          <w:rFonts w:hint="eastAsia" w:ascii="宋体" w:eastAsia="宋体" w:cs="宋体"/>
          <w:kern w:val="0"/>
        </w:rPr>
        <w:t>、除非另外达成协议并生效，你方的成交通知书和本磋响应文件将成为约束双方的合同文</w:t>
      </w:r>
    </w:p>
    <w:p w14:paraId="497B0E9A">
      <w:pPr>
        <w:autoSpaceDE w:val="0"/>
        <w:autoSpaceDN w:val="0"/>
        <w:adjustRightInd w:val="0"/>
        <w:spacing w:line="500" w:lineRule="exact"/>
        <w:jc w:val="left"/>
        <w:rPr>
          <w:rFonts w:ascii="宋体" w:eastAsia="宋体" w:cs="Times New Roman"/>
          <w:kern w:val="0"/>
        </w:rPr>
      </w:pPr>
      <w:r>
        <w:rPr>
          <w:rFonts w:hint="eastAsia" w:ascii="宋体" w:eastAsia="宋体" w:cs="宋体"/>
          <w:kern w:val="0"/>
        </w:rPr>
        <w:t>件的组成部分。</w:t>
      </w:r>
    </w:p>
    <w:p w14:paraId="79ED379B">
      <w:pPr>
        <w:autoSpaceDE w:val="0"/>
        <w:autoSpaceDN w:val="0"/>
        <w:adjustRightInd w:val="0"/>
        <w:spacing w:line="500" w:lineRule="exact"/>
        <w:jc w:val="left"/>
        <w:rPr>
          <w:rFonts w:ascii="宋体" w:eastAsia="宋体" w:cs="Times New Roman"/>
          <w:kern w:val="0"/>
        </w:rPr>
      </w:pPr>
    </w:p>
    <w:p w14:paraId="690CA777">
      <w:pPr>
        <w:autoSpaceDE w:val="0"/>
        <w:autoSpaceDN w:val="0"/>
        <w:adjustRightInd w:val="0"/>
        <w:spacing w:line="500" w:lineRule="exact"/>
        <w:jc w:val="left"/>
        <w:rPr>
          <w:rFonts w:ascii="宋体" w:eastAsia="宋体" w:cs="Times New Roman"/>
          <w:kern w:val="0"/>
        </w:rPr>
      </w:pPr>
      <w:r>
        <w:rPr>
          <w:rFonts w:hint="eastAsia" w:ascii="宋体" w:eastAsia="宋体" w:cs="宋体"/>
          <w:kern w:val="0"/>
        </w:rPr>
        <w:t>竞标人：（盖章）</w:t>
      </w:r>
    </w:p>
    <w:p w14:paraId="5DA40E8D">
      <w:pPr>
        <w:autoSpaceDE w:val="0"/>
        <w:autoSpaceDN w:val="0"/>
        <w:adjustRightInd w:val="0"/>
        <w:spacing w:line="500" w:lineRule="exact"/>
        <w:jc w:val="left"/>
        <w:rPr>
          <w:rFonts w:ascii="宋体" w:eastAsia="宋体" w:cs="Times New Roman"/>
          <w:kern w:val="0"/>
        </w:rPr>
      </w:pPr>
      <w:r>
        <w:rPr>
          <w:rFonts w:hint="eastAsia" w:ascii="宋体" w:eastAsia="宋体" w:cs="宋体"/>
          <w:kern w:val="0"/>
        </w:rPr>
        <w:t>单位地址：</w:t>
      </w:r>
    </w:p>
    <w:p w14:paraId="355C31E0">
      <w:pPr>
        <w:autoSpaceDE w:val="0"/>
        <w:autoSpaceDN w:val="0"/>
        <w:adjustRightInd w:val="0"/>
        <w:spacing w:line="500" w:lineRule="exact"/>
        <w:jc w:val="left"/>
        <w:rPr>
          <w:rFonts w:ascii="宋体" w:eastAsia="宋体" w:cs="Times New Roman"/>
          <w:kern w:val="0"/>
        </w:rPr>
      </w:pPr>
      <w:r>
        <w:rPr>
          <w:rFonts w:hint="eastAsia" w:ascii="宋体" w:eastAsia="宋体" w:cs="宋体"/>
          <w:kern w:val="0"/>
        </w:rPr>
        <w:t>法定代表人或其委托代理人：（签字）</w:t>
      </w:r>
    </w:p>
    <w:p w14:paraId="28A26F0F">
      <w:pPr>
        <w:autoSpaceDE w:val="0"/>
        <w:autoSpaceDN w:val="0"/>
        <w:adjustRightInd w:val="0"/>
        <w:spacing w:line="500" w:lineRule="exact"/>
        <w:jc w:val="left"/>
        <w:rPr>
          <w:rFonts w:ascii="宋体" w:eastAsia="宋体" w:cs="Times New Roman"/>
          <w:kern w:val="0"/>
        </w:rPr>
      </w:pPr>
      <w:r>
        <w:rPr>
          <w:rFonts w:hint="eastAsia" w:ascii="宋体" w:eastAsia="宋体" w:cs="宋体"/>
          <w:kern w:val="0"/>
        </w:rPr>
        <w:t>邮政编码：</w:t>
      </w:r>
      <w:r>
        <w:rPr>
          <w:rFonts w:ascii="宋体" w:eastAsia="宋体" w:cs="宋体"/>
          <w:kern w:val="0"/>
        </w:rPr>
        <w:t xml:space="preserve">         </w:t>
      </w:r>
      <w:r>
        <w:rPr>
          <w:rFonts w:hint="eastAsia" w:ascii="宋体" w:eastAsia="宋体" w:cs="宋体"/>
          <w:kern w:val="0"/>
        </w:rPr>
        <w:t>电话：</w:t>
      </w:r>
      <w:r>
        <w:rPr>
          <w:rFonts w:ascii="宋体" w:eastAsia="宋体" w:cs="宋体"/>
          <w:kern w:val="0"/>
        </w:rPr>
        <w:t xml:space="preserve">           </w:t>
      </w:r>
      <w:r>
        <w:rPr>
          <w:rFonts w:hint="eastAsia" w:ascii="宋体" w:eastAsia="宋体" w:cs="宋体"/>
          <w:kern w:val="0"/>
        </w:rPr>
        <w:t>传真：</w:t>
      </w:r>
    </w:p>
    <w:p w14:paraId="60AE0D2D">
      <w:pPr>
        <w:autoSpaceDE w:val="0"/>
        <w:autoSpaceDN w:val="0"/>
        <w:adjustRightInd w:val="0"/>
        <w:spacing w:line="500" w:lineRule="exact"/>
        <w:jc w:val="left"/>
        <w:rPr>
          <w:rFonts w:ascii="宋体" w:eastAsia="宋体" w:cs="Times New Roman"/>
          <w:kern w:val="0"/>
        </w:rPr>
      </w:pPr>
      <w:r>
        <w:rPr>
          <w:rFonts w:hint="eastAsia" w:ascii="宋体" w:eastAsia="宋体" w:cs="宋体"/>
          <w:kern w:val="0"/>
        </w:rPr>
        <w:t>开户银行名称：</w:t>
      </w:r>
    </w:p>
    <w:p w14:paraId="30BF75C4">
      <w:pPr>
        <w:autoSpaceDE w:val="0"/>
        <w:autoSpaceDN w:val="0"/>
        <w:adjustRightInd w:val="0"/>
        <w:spacing w:line="500" w:lineRule="exact"/>
        <w:jc w:val="left"/>
        <w:rPr>
          <w:rFonts w:ascii="宋体" w:eastAsia="宋体" w:cs="Times New Roman"/>
          <w:kern w:val="0"/>
        </w:rPr>
      </w:pPr>
      <w:r>
        <w:rPr>
          <w:rFonts w:hint="eastAsia" w:ascii="宋体" w:eastAsia="宋体" w:cs="宋体"/>
          <w:kern w:val="0"/>
        </w:rPr>
        <w:t>开户银行账号：</w:t>
      </w:r>
    </w:p>
    <w:p w14:paraId="15F15515">
      <w:pPr>
        <w:autoSpaceDE w:val="0"/>
        <w:autoSpaceDN w:val="0"/>
        <w:adjustRightInd w:val="0"/>
        <w:spacing w:line="500" w:lineRule="exact"/>
        <w:jc w:val="left"/>
        <w:rPr>
          <w:rFonts w:ascii="宋体" w:eastAsia="宋体" w:cs="Times New Roman"/>
          <w:kern w:val="0"/>
        </w:rPr>
      </w:pPr>
      <w:r>
        <w:rPr>
          <w:rFonts w:hint="eastAsia" w:ascii="宋体" w:eastAsia="宋体" w:cs="宋体"/>
          <w:kern w:val="0"/>
        </w:rPr>
        <w:t>开户银行地址：</w:t>
      </w:r>
    </w:p>
    <w:p w14:paraId="70AAC30D">
      <w:pPr>
        <w:autoSpaceDE w:val="0"/>
        <w:autoSpaceDN w:val="0"/>
        <w:adjustRightInd w:val="0"/>
        <w:spacing w:line="500" w:lineRule="exact"/>
        <w:jc w:val="left"/>
        <w:rPr>
          <w:rFonts w:ascii="宋体" w:eastAsia="宋体" w:cs="Times New Roman"/>
          <w:kern w:val="0"/>
        </w:rPr>
      </w:pPr>
      <w:r>
        <w:rPr>
          <w:rFonts w:hint="eastAsia" w:ascii="宋体" w:eastAsia="宋体" w:cs="宋体"/>
          <w:kern w:val="0"/>
        </w:rPr>
        <w:t>开户银行电话：</w:t>
      </w:r>
    </w:p>
    <w:p w14:paraId="2A8CC5E2">
      <w:pPr>
        <w:autoSpaceDE w:val="0"/>
        <w:autoSpaceDN w:val="0"/>
        <w:spacing w:line="500" w:lineRule="exact"/>
        <w:rPr>
          <w:rFonts w:ascii="宋体" w:hAnsi="宋体" w:eastAsia="宋体" w:cs="Times New Roman"/>
          <w:kern w:val="0"/>
          <w:lang w:val="zh-CN"/>
        </w:rPr>
      </w:pPr>
      <w:r>
        <w:rPr>
          <w:rFonts w:hint="eastAsia" w:ascii="宋体" w:eastAsia="宋体" w:cs="宋体"/>
          <w:kern w:val="0"/>
        </w:rPr>
        <w:t>日期：</w:t>
      </w:r>
      <w:r>
        <w:rPr>
          <w:rFonts w:ascii="宋体" w:eastAsia="宋体" w:cs="宋体"/>
          <w:kern w:val="0"/>
        </w:rPr>
        <w:t>_____</w:t>
      </w:r>
      <w:r>
        <w:rPr>
          <w:rFonts w:hint="eastAsia" w:ascii="宋体" w:eastAsia="宋体" w:cs="宋体"/>
          <w:kern w:val="0"/>
        </w:rPr>
        <w:t>年</w:t>
      </w:r>
      <w:r>
        <w:rPr>
          <w:rFonts w:ascii="宋体" w:eastAsia="宋体" w:cs="宋体"/>
          <w:kern w:val="0"/>
        </w:rPr>
        <w:t>____</w:t>
      </w:r>
      <w:r>
        <w:rPr>
          <w:rFonts w:hint="eastAsia" w:ascii="宋体" w:eastAsia="宋体" w:cs="宋体"/>
          <w:kern w:val="0"/>
        </w:rPr>
        <w:t>月</w:t>
      </w:r>
      <w:r>
        <w:rPr>
          <w:rFonts w:ascii="宋体" w:eastAsia="宋体" w:cs="宋体"/>
          <w:kern w:val="0"/>
        </w:rPr>
        <w:t>____</w:t>
      </w:r>
      <w:r>
        <w:rPr>
          <w:rFonts w:hint="eastAsia" w:ascii="宋体" w:eastAsia="宋体" w:cs="宋体"/>
          <w:kern w:val="0"/>
        </w:rPr>
        <w:t>日</w:t>
      </w:r>
    </w:p>
    <w:p w14:paraId="50342577">
      <w:pPr>
        <w:widowControl/>
        <w:spacing w:line="360" w:lineRule="auto"/>
        <w:jc w:val="left"/>
        <w:rPr>
          <w:rFonts w:ascii="宋体" w:hAnsi="宋体" w:eastAsia="宋体" w:cs="Times New Roman"/>
          <w:kern w:val="0"/>
          <w:sz w:val="24"/>
          <w:szCs w:val="24"/>
          <w:lang w:val="zh-CN"/>
        </w:rPr>
        <w:sectPr>
          <w:pgSz w:w="11910" w:h="16840"/>
          <w:pgMar w:top="1247" w:right="1361" w:bottom="1247" w:left="1361" w:header="720" w:footer="720" w:gutter="0"/>
          <w:cols w:space="720" w:num="1"/>
        </w:sectPr>
      </w:pPr>
    </w:p>
    <w:p w14:paraId="5673B2AB">
      <w:pPr>
        <w:spacing w:line="520" w:lineRule="exact"/>
        <w:jc w:val="left"/>
        <w:rPr>
          <w:rFonts w:ascii="宋体" w:hAnsi="宋体" w:eastAsia="宋体" w:cs="Times New Roman"/>
          <w:b/>
          <w:bCs/>
          <w:sz w:val="28"/>
          <w:szCs w:val="28"/>
        </w:rPr>
      </w:pPr>
      <w:r>
        <w:rPr>
          <w:rFonts w:hint="eastAsia" w:ascii="宋体" w:hAnsi="宋体" w:eastAsia="宋体" w:cs="宋体"/>
          <w:b/>
          <w:bCs/>
          <w:kern w:val="0"/>
          <w:sz w:val="28"/>
          <w:szCs w:val="28"/>
        </w:rPr>
        <w:t>二、响应报价表</w:t>
      </w:r>
    </w:p>
    <w:p w14:paraId="13CAECFD">
      <w:pPr>
        <w:spacing w:line="520" w:lineRule="exact"/>
        <w:jc w:val="center"/>
        <w:rPr>
          <w:rFonts w:ascii="宋体" w:hAnsi="宋体" w:eastAsia="宋体" w:cs="Times New Roman"/>
          <w:b/>
          <w:bCs/>
          <w:sz w:val="32"/>
          <w:szCs w:val="32"/>
        </w:rPr>
      </w:pPr>
      <w:r>
        <w:rPr>
          <w:rFonts w:hint="eastAsia" w:ascii="宋体" w:hAnsi="宋体" w:eastAsia="宋体" w:cs="宋体"/>
          <w:b/>
          <w:bCs/>
          <w:sz w:val="32"/>
          <w:szCs w:val="32"/>
        </w:rPr>
        <w:t>响应报价表</w:t>
      </w:r>
    </w:p>
    <w:p w14:paraId="78D73B8A">
      <w:pPr>
        <w:snapToGrid w:val="0"/>
        <w:spacing w:before="50" w:after="50" w:line="360" w:lineRule="auto"/>
        <w:rPr>
          <w:rFonts w:ascii="宋体" w:hAnsi="宋体" w:eastAsia="宋体" w:cs="Times New Roman"/>
          <w:sz w:val="24"/>
          <w:szCs w:val="24"/>
        </w:rPr>
      </w:pPr>
    </w:p>
    <w:p w14:paraId="31DEB33F">
      <w:pPr>
        <w:snapToGrid w:val="0"/>
        <w:spacing w:before="50" w:after="50" w:line="360" w:lineRule="auto"/>
        <w:rPr>
          <w:rFonts w:ascii="宋体" w:hAnsi="宋体" w:eastAsia="宋体" w:cs="Times New Roman"/>
          <w:u w:val="single"/>
        </w:rPr>
      </w:pPr>
      <w:r>
        <w:rPr>
          <w:rFonts w:hint="eastAsia" w:ascii="宋体" w:hAnsi="宋体" w:eastAsia="宋体" w:cs="宋体"/>
        </w:rPr>
        <w:t>项目名称：</w:t>
      </w:r>
    </w:p>
    <w:p w14:paraId="155C3599">
      <w:pPr>
        <w:snapToGrid w:val="0"/>
        <w:spacing w:before="50" w:after="50" w:line="360" w:lineRule="auto"/>
        <w:rPr>
          <w:rFonts w:ascii="宋体" w:hAnsi="宋体" w:eastAsia="宋体" w:cs="Times New Roman"/>
          <w:u w:val="single"/>
        </w:rPr>
      </w:pPr>
      <w:r>
        <w:rPr>
          <w:rFonts w:hint="eastAsia" w:ascii="宋体" w:hAnsi="宋体" w:eastAsia="宋体" w:cs="宋体"/>
        </w:rPr>
        <w:t>项目编号：</w:t>
      </w:r>
    </w:p>
    <w:p w14:paraId="0BE58680">
      <w:pPr>
        <w:snapToGrid w:val="0"/>
        <w:spacing w:before="50" w:after="50" w:line="360" w:lineRule="auto"/>
        <w:rPr>
          <w:rFonts w:ascii="宋体" w:hAnsi="宋体" w:eastAsia="宋体" w:cs="Times New Roman"/>
          <w:u w:val="single"/>
        </w:rPr>
      </w:pPr>
      <w:r>
        <w:rPr>
          <w:rFonts w:hint="eastAsia" w:ascii="宋体" w:hAnsi="宋体" w:eastAsia="宋体" w:cs="宋体"/>
        </w:rPr>
        <w:t>供应商名称：</w:t>
      </w:r>
    </w:p>
    <w:p w14:paraId="69E69BD3">
      <w:pPr>
        <w:spacing w:line="340" w:lineRule="exact"/>
        <w:jc w:val="left"/>
        <w:rPr>
          <w:rFonts w:ascii="宋体" w:hAnsi="宋体" w:eastAsia="宋体" w:cs="Times New Roman"/>
          <w:kern w:val="0"/>
          <w:vertAlign w:val="superscript"/>
        </w:rPr>
      </w:pPr>
      <w:r>
        <w:rPr>
          <w:rFonts w:hint="eastAsia" w:ascii="宋体" w:hAnsi="宋体" w:eastAsia="宋体" w:cs="宋体"/>
        </w:rPr>
        <w:t>币种：人民币</w:t>
      </w:r>
    </w:p>
    <w:p w14:paraId="24B5D325">
      <w:pPr>
        <w:spacing w:line="120" w:lineRule="exact"/>
        <w:rPr>
          <w:rFonts w:ascii="宋体" w:hAnsi="宋体" w:eastAsia="宋体" w:cs="Times New Roman"/>
        </w:rPr>
      </w:pPr>
    </w:p>
    <w:tbl>
      <w:tblPr>
        <w:tblStyle w:val="44"/>
        <w:tblW w:w="9346" w:type="dxa"/>
        <w:jc w:val="center"/>
        <w:tblLayout w:type="fixed"/>
        <w:tblCellMar>
          <w:top w:w="0" w:type="dxa"/>
          <w:left w:w="0" w:type="dxa"/>
          <w:bottom w:w="0" w:type="dxa"/>
          <w:right w:w="0" w:type="dxa"/>
        </w:tblCellMar>
      </w:tblPr>
      <w:tblGrid>
        <w:gridCol w:w="2576"/>
        <w:gridCol w:w="6770"/>
      </w:tblGrid>
      <w:tr w14:paraId="05E388D3">
        <w:tblPrEx>
          <w:tblCellMar>
            <w:top w:w="0" w:type="dxa"/>
            <w:left w:w="0" w:type="dxa"/>
            <w:bottom w:w="0" w:type="dxa"/>
            <w:right w:w="0" w:type="dxa"/>
          </w:tblCellMar>
        </w:tblPrEx>
        <w:trPr>
          <w:trHeight w:val="1122" w:hRule="atLeast"/>
          <w:jc w:val="center"/>
        </w:trPr>
        <w:tc>
          <w:tcPr>
            <w:tcW w:w="2576" w:type="dxa"/>
            <w:tcBorders>
              <w:top w:val="single" w:color="000000" w:sz="4" w:space="0"/>
              <w:left w:val="single" w:color="000000" w:sz="4" w:space="0"/>
              <w:bottom w:val="single" w:color="000000" w:sz="4" w:space="0"/>
              <w:right w:val="single" w:color="000000" w:sz="4" w:space="0"/>
            </w:tcBorders>
            <w:vAlign w:val="center"/>
          </w:tcPr>
          <w:p w14:paraId="30AA57C3">
            <w:pPr>
              <w:autoSpaceDE w:val="0"/>
              <w:spacing w:line="560" w:lineRule="exact"/>
              <w:rPr>
                <w:rFonts w:ascii="宋体" w:hAnsi="宋体" w:eastAsia="宋体" w:cs="Times New Roman"/>
              </w:rPr>
            </w:pPr>
            <w:r>
              <w:rPr>
                <w:rFonts w:hint="eastAsia" w:ascii="宋体" w:hAnsi="宋体" w:eastAsia="宋体" w:cs="宋体"/>
              </w:rPr>
              <w:t>项目经理姓名及证书编号</w:t>
            </w:r>
          </w:p>
        </w:tc>
        <w:tc>
          <w:tcPr>
            <w:tcW w:w="6770" w:type="dxa"/>
            <w:tcBorders>
              <w:top w:val="single" w:color="000000" w:sz="4" w:space="0"/>
              <w:left w:val="nil"/>
              <w:bottom w:val="single" w:color="000000" w:sz="4" w:space="0"/>
              <w:right w:val="single" w:color="000000" w:sz="4" w:space="0"/>
            </w:tcBorders>
            <w:vAlign w:val="center"/>
          </w:tcPr>
          <w:p w14:paraId="4986F193">
            <w:pPr>
              <w:autoSpaceDE w:val="0"/>
              <w:spacing w:line="560" w:lineRule="exact"/>
              <w:jc w:val="right"/>
              <w:rPr>
                <w:rFonts w:ascii="宋体" w:hAnsi="宋体" w:eastAsia="宋体" w:cs="Times New Roman"/>
              </w:rPr>
            </w:pPr>
          </w:p>
        </w:tc>
      </w:tr>
      <w:tr w14:paraId="0C859C5D">
        <w:tblPrEx>
          <w:tblCellMar>
            <w:top w:w="0" w:type="dxa"/>
            <w:left w:w="0" w:type="dxa"/>
            <w:bottom w:w="0" w:type="dxa"/>
            <w:right w:w="0" w:type="dxa"/>
          </w:tblCellMar>
        </w:tblPrEx>
        <w:trPr>
          <w:trHeight w:val="701" w:hRule="atLeast"/>
          <w:jc w:val="center"/>
        </w:trPr>
        <w:tc>
          <w:tcPr>
            <w:tcW w:w="2576" w:type="dxa"/>
            <w:tcBorders>
              <w:top w:val="single" w:color="000000" w:sz="4" w:space="0"/>
              <w:left w:val="single" w:color="000000" w:sz="4" w:space="0"/>
              <w:bottom w:val="single" w:color="000000" w:sz="4" w:space="0"/>
              <w:right w:val="single" w:color="000000" w:sz="4" w:space="0"/>
            </w:tcBorders>
            <w:vAlign w:val="center"/>
          </w:tcPr>
          <w:p w14:paraId="13633676">
            <w:pPr>
              <w:autoSpaceDE w:val="0"/>
              <w:spacing w:line="560" w:lineRule="exact"/>
              <w:jc w:val="center"/>
              <w:rPr>
                <w:rFonts w:ascii="宋体" w:hAnsi="宋体" w:eastAsia="宋体" w:cs="Times New Roman"/>
              </w:rPr>
            </w:pPr>
            <w:r>
              <w:rPr>
                <w:rFonts w:hint="eastAsia" w:ascii="宋体" w:hAnsi="宋体" w:eastAsia="宋体" w:cs="宋体"/>
              </w:rPr>
              <w:t>磋商报价</w:t>
            </w:r>
          </w:p>
        </w:tc>
        <w:tc>
          <w:tcPr>
            <w:tcW w:w="6770" w:type="dxa"/>
            <w:tcBorders>
              <w:top w:val="single" w:color="000000" w:sz="4" w:space="0"/>
              <w:left w:val="nil"/>
              <w:bottom w:val="single" w:color="000000" w:sz="4" w:space="0"/>
              <w:right w:val="single" w:color="000000" w:sz="4" w:space="0"/>
            </w:tcBorders>
            <w:vAlign w:val="center"/>
          </w:tcPr>
          <w:p w14:paraId="7DE32C44">
            <w:pPr>
              <w:autoSpaceDE w:val="0"/>
              <w:spacing w:line="560" w:lineRule="exact"/>
              <w:jc w:val="left"/>
              <w:rPr>
                <w:rFonts w:ascii="宋体" w:hAnsi="宋体" w:eastAsia="宋体" w:cs="Times New Roman"/>
              </w:rPr>
            </w:pPr>
            <w:r>
              <w:rPr>
                <w:rFonts w:ascii="宋体" w:eastAsia="宋体" w:cs="宋体"/>
                <w:kern w:val="0"/>
                <w:u w:val="single"/>
              </w:rPr>
              <w:t xml:space="preserve">             </w:t>
            </w:r>
            <w:r>
              <w:rPr>
                <w:rFonts w:hint="eastAsia" w:ascii="宋体" w:eastAsia="宋体" w:cs="宋体"/>
                <w:kern w:val="0"/>
                <w:u w:val="single"/>
              </w:rPr>
              <w:t>（大写）（</w:t>
            </w:r>
            <w:r>
              <w:rPr>
                <w:rFonts w:ascii="宋体" w:eastAsia="宋体" w:cs="Times New Roman"/>
                <w:b/>
                <w:bCs/>
                <w:u w:val="single"/>
              </w:rPr>
              <w:t>¥</w:t>
            </w:r>
            <w:r>
              <w:rPr>
                <w:rFonts w:ascii="宋体" w:eastAsia="宋体" w:cs="宋体"/>
                <w:kern w:val="0"/>
                <w:u w:val="single"/>
              </w:rPr>
              <w:t xml:space="preserve">        </w:t>
            </w:r>
            <w:r>
              <w:rPr>
                <w:rFonts w:hint="eastAsia" w:ascii="宋体" w:eastAsia="宋体" w:cs="宋体"/>
                <w:kern w:val="0"/>
                <w:u w:val="single"/>
              </w:rPr>
              <w:t>）</w:t>
            </w:r>
          </w:p>
        </w:tc>
      </w:tr>
      <w:tr w14:paraId="6FF2B977">
        <w:tblPrEx>
          <w:tblCellMar>
            <w:top w:w="0" w:type="dxa"/>
            <w:left w:w="0" w:type="dxa"/>
            <w:bottom w:w="0" w:type="dxa"/>
            <w:right w:w="0" w:type="dxa"/>
          </w:tblCellMar>
        </w:tblPrEx>
        <w:trPr>
          <w:trHeight w:val="625" w:hRule="atLeast"/>
          <w:jc w:val="center"/>
        </w:trPr>
        <w:tc>
          <w:tcPr>
            <w:tcW w:w="2576" w:type="dxa"/>
            <w:tcBorders>
              <w:top w:val="single" w:color="000000" w:sz="4" w:space="0"/>
              <w:left w:val="single" w:color="000000" w:sz="4" w:space="0"/>
              <w:bottom w:val="single" w:color="000000" w:sz="4" w:space="0"/>
              <w:right w:val="single" w:color="000000" w:sz="4" w:space="0"/>
            </w:tcBorders>
            <w:vAlign w:val="center"/>
          </w:tcPr>
          <w:p w14:paraId="5A56DB50">
            <w:pPr>
              <w:autoSpaceDE w:val="0"/>
              <w:spacing w:line="560" w:lineRule="exact"/>
              <w:jc w:val="center"/>
              <w:rPr>
                <w:rFonts w:ascii="宋体" w:hAnsi="宋体" w:eastAsia="宋体" w:cs="Times New Roman"/>
              </w:rPr>
            </w:pPr>
            <w:r>
              <w:rPr>
                <w:rFonts w:hint="eastAsia" w:ascii="宋体" w:hAnsi="宋体" w:eastAsia="宋体" w:cs="宋体"/>
              </w:rPr>
              <w:t>质量要求</w:t>
            </w:r>
          </w:p>
        </w:tc>
        <w:tc>
          <w:tcPr>
            <w:tcW w:w="6770" w:type="dxa"/>
            <w:tcBorders>
              <w:top w:val="single" w:color="000000" w:sz="4" w:space="0"/>
              <w:left w:val="nil"/>
              <w:bottom w:val="single" w:color="000000" w:sz="4" w:space="0"/>
              <w:right w:val="single" w:color="000000" w:sz="4" w:space="0"/>
            </w:tcBorders>
            <w:vAlign w:val="center"/>
          </w:tcPr>
          <w:p w14:paraId="21EB528D">
            <w:pPr>
              <w:autoSpaceDE w:val="0"/>
              <w:spacing w:line="560" w:lineRule="exact"/>
              <w:jc w:val="right"/>
              <w:rPr>
                <w:rFonts w:ascii="宋体" w:hAnsi="宋体" w:eastAsia="宋体" w:cs="Times New Roman"/>
              </w:rPr>
            </w:pPr>
          </w:p>
        </w:tc>
      </w:tr>
      <w:tr w14:paraId="1544055B">
        <w:tblPrEx>
          <w:tblCellMar>
            <w:top w:w="0" w:type="dxa"/>
            <w:left w:w="0" w:type="dxa"/>
            <w:bottom w:w="0" w:type="dxa"/>
            <w:right w:w="0" w:type="dxa"/>
          </w:tblCellMar>
        </w:tblPrEx>
        <w:trPr>
          <w:trHeight w:val="625" w:hRule="atLeast"/>
          <w:jc w:val="center"/>
        </w:trPr>
        <w:tc>
          <w:tcPr>
            <w:tcW w:w="2576" w:type="dxa"/>
            <w:tcBorders>
              <w:top w:val="single" w:color="000000" w:sz="4" w:space="0"/>
              <w:left w:val="single" w:color="000000" w:sz="4" w:space="0"/>
              <w:bottom w:val="single" w:color="000000" w:sz="4" w:space="0"/>
              <w:right w:val="single" w:color="000000" w:sz="4" w:space="0"/>
            </w:tcBorders>
            <w:vAlign w:val="center"/>
          </w:tcPr>
          <w:p w14:paraId="4A0844C0">
            <w:pPr>
              <w:autoSpaceDE w:val="0"/>
              <w:spacing w:line="560" w:lineRule="exact"/>
              <w:jc w:val="center"/>
              <w:rPr>
                <w:rFonts w:ascii="宋体" w:hAnsi="宋体" w:eastAsia="宋体" w:cs="Times New Roman"/>
              </w:rPr>
            </w:pPr>
            <w:r>
              <w:rPr>
                <w:rFonts w:hint="eastAsia" w:ascii="宋体" w:hAnsi="宋体" w:eastAsia="宋体" w:cs="宋体"/>
              </w:rPr>
              <w:t>合同履行期限</w:t>
            </w:r>
          </w:p>
        </w:tc>
        <w:tc>
          <w:tcPr>
            <w:tcW w:w="6770" w:type="dxa"/>
            <w:tcBorders>
              <w:top w:val="single" w:color="000000" w:sz="4" w:space="0"/>
              <w:left w:val="nil"/>
              <w:bottom w:val="single" w:color="000000" w:sz="4" w:space="0"/>
              <w:right w:val="single" w:color="000000" w:sz="4" w:space="0"/>
            </w:tcBorders>
            <w:vAlign w:val="center"/>
          </w:tcPr>
          <w:p w14:paraId="3DD8B11F">
            <w:pPr>
              <w:autoSpaceDE w:val="0"/>
              <w:spacing w:line="560" w:lineRule="exact"/>
              <w:jc w:val="right"/>
              <w:rPr>
                <w:rFonts w:ascii="宋体" w:hAnsi="宋体" w:eastAsia="宋体" w:cs="Times New Roman"/>
              </w:rPr>
            </w:pPr>
          </w:p>
        </w:tc>
      </w:tr>
      <w:tr w14:paraId="05DF5BDF">
        <w:tblPrEx>
          <w:tblCellMar>
            <w:top w:w="0" w:type="dxa"/>
            <w:left w:w="0" w:type="dxa"/>
            <w:bottom w:w="0" w:type="dxa"/>
            <w:right w:w="0" w:type="dxa"/>
          </w:tblCellMar>
        </w:tblPrEx>
        <w:trPr>
          <w:trHeight w:val="604" w:hRule="atLeast"/>
          <w:jc w:val="center"/>
        </w:trPr>
        <w:tc>
          <w:tcPr>
            <w:tcW w:w="2576" w:type="dxa"/>
            <w:tcBorders>
              <w:top w:val="single" w:color="000000" w:sz="4" w:space="0"/>
              <w:left w:val="single" w:color="000000" w:sz="4" w:space="0"/>
              <w:bottom w:val="single" w:color="000000" w:sz="4" w:space="0"/>
              <w:right w:val="single" w:color="000000" w:sz="4" w:space="0"/>
            </w:tcBorders>
            <w:vAlign w:val="center"/>
          </w:tcPr>
          <w:p w14:paraId="789C0343">
            <w:pPr>
              <w:autoSpaceDE w:val="0"/>
              <w:spacing w:line="560" w:lineRule="exact"/>
              <w:jc w:val="center"/>
              <w:rPr>
                <w:rFonts w:ascii="宋体" w:hAnsi="宋体" w:eastAsia="宋体" w:cs="Times New Roman"/>
              </w:rPr>
            </w:pPr>
            <w:r>
              <w:rPr>
                <w:rFonts w:hint="eastAsia" w:ascii="宋体" w:hAnsi="宋体" w:eastAsia="宋体" w:cs="宋体"/>
              </w:rPr>
              <w:t>备注</w:t>
            </w:r>
          </w:p>
        </w:tc>
        <w:tc>
          <w:tcPr>
            <w:tcW w:w="6770" w:type="dxa"/>
            <w:tcBorders>
              <w:top w:val="single" w:color="000000" w:sz="4" w:space="0"/>
              <w:left w:val="nil"/>
              <w:bottom w:val="single" w:color="000000" w:sz="4" w:space="0"/>
              <w:right w:val="single" w:color="000000" w:sz="4" w:space="0"/>
            </w:tcBorders>
            <w:vAlign w:val="center"/>
          </w:tcPr>
          <w:p w14:paraId="161BF1BA">
            <w:pPr>
              <w:autoSpaceDE w:val="0"/>
              <w:spacing w:line="560" w:lineRule="exact"/>
              <w:jc w:val="right"/>
              <w:rPr>
                <w:rFonts w:ascii="宋体" w:hAnsi="宋体" w:eastAsia="宋体" w:cs="Times New Roman"/>
              </w:rPr>
            </w:pPr>
          </w:p>
        </w:tc>
      </w:tr>
    </w:tbl>
    <w:p w14:paraId="19ABADBC">
      <w:pPr>
        <w:autoSpaceDE w:val="0"/>
        <w:autoSpaceDN w:val="0"/>
        <w:adjustRightInd w:val="0"/>
        <w:spacing w:line="500" w:lineRule="exact"/>
        <w:jc w:val="left"/>
        <w:rPr>
          <w:rFonts w:ascii="宋体" w:eastAsia="宋体" w:cs="宋体"/>
          <w:kern w:val="0"/>
        </w:rPr>
      </w:pPr>
      <w:r>
        <w:rPr>
          <w:rFonts w:hint="eastAsia" w:ascii="宋体" w:eastAsia="宋体" w:cs="宋体"/>
          <w:kern w:val="0"/>
        </w:rPr>
        <w:t>注</w:t>
      </w:r>
      <w:r>
        <w:rPr>
          <w:rFonts w:ascii="宋体" w:eastAsia="宋体" w:cs="宋体"/>
          <w:kern w:val="0"/>
        </w:rPr>
        <w:t>:</w:t>
      </w:r>
    </w:p>
    <w:p w14:paraId="4DDF7252">
      <w:pPr>
        <w:autoSpaceDE w:val="0"/>
        <w:autoSpaceDN w:val="0"/>
        <w:adjustRightInd w:val="0"/>
        <w:spacing w:line="500" w:lineRule="exact"/>
        <w:jc w:val="left"/>
        <w:rPr>
          <w:rFonts w:ascii="宋体" w:eastAsia="宋体" w:cs="Times New Roman"/>
          <w:kern w:val="0"/>
        </w:rPr>
      </w:pPr>
      <w:r>
        <w:rPr>
          <w:rFonts w:ascii="宋体" w:eastAsia="宋体" w:cs="宋体"/>
          <w:kern w:val="0"/>
        </w:rPr>
        <w:t>1.</w:t>
      </w:r>
      <w:r>
        <w:rPr>
          <w:rFonts w:hint="eastAsia" w:ascii="宋体" w:eastAsia="宋体" w:cs="宋体"/>
          <w:kern w:val="0"/>
        </w:rPr>
        <w:t>供应商的报价表必须加盖供应商公章并由法定代表人（或负责人）或者委托代理人签字，否则</w:t>
      </w:r>
    </w:p>
    <w:p w14:paraId="4008E972">
      <w:pPr>
        <w:autoSpaceDE w:val="0"/>
        <w:autoSpaceDN w:val="0"/>
        <w:adjustRightInd w:val="0"/>
        <w:spacing w:line="500" w:lineRule="exact"/>
        <w:jc w:val="left"/>
        <w:rPr>
          <w:rFonts w:ascii="宋体" w:eastAsia="宋体" w:cs="Times New Roman"/>
          <w:kern w:val="0"/>
        </w:rPr>
      </w:pPr>
      <w:r>
        <w:rPr>
          <w:rFonts w:hint="eastAsia" w:ascii="宋体" w:eastAsia="宋体" w:cs="宋体"/>
          <w:kern w:val="0"/>
        </w:rPr>
        <w:t>其响应文件按无效响应处理。</w:t>
      </w:r>
    </w:p>
    <w:p w14:paraId="6C4779A4">
      <w:pPr>
        <w:autoSpaceDE w:val="0"/>
        <w:autoSpaceDN w:val="0"/>
        <w:adjustRightInd w:val="0"/>
        <w:spacing w:line="500" w:lineRule="exact"/>
        <w:jc w:val="left"/>
        <w:rPr>
          <w:rFonts w:ascii="宋体" w:eastAsia="宋体" w:cs="Times New Roman"/>
          <w:kern w:val="0"/>
        </w:rPr>
      </w:pPr>
      <w:r>
        <w:rPr>
          <w:rFonts w:ascii="宋体" w:eastAsia="宋体" w:cs="宋体"/>
          <w:kern w:val="0"/>
        </w:rPr>
        <w:t>2.</w:t>
      </w:r>
      <w:r>
        <w:rPr>
          <w:rFonts w:hint="eastAsia" w:ascii="宋体" w:eastAsia="宋体" w:cs="宋体"/>
          <w:kern w:val="0"/>
        </w:rPr>
        <w:t>报价一经涂改，应在涂改处加盖供应商公章或者由法定代表人（或负责人）或者委托代理人签</w:t>
      </w:r>
    </w:p>
    <w:p w14:paraId="33B0A045">
      <w:pPr>
        <w:autoSpaceDE w:val="0"/>
        <w:autoSpaceDN w:val="0"/>
        <w:adjustRightInd w:val="0"/>
        <w:spacing w:line="500" w:lineRule="exact"/>
        <w:jc w:val="left"/>
        <w:rPr>
          <w:rFonts w:ascii="宋体" w:eastAsia="宋体" w:cs="Times New Roman"/>
          <w:kern w:val="0"/>
        </w:rPr>
      </w:pPr>
      <w:r>
        <w:rPr>
          <w:rFonts w:hint="eastAsia" w:ascii="宋体" w:eastAsia="宋体" w:cs="宋体"/>
          <w:kern w:val="0"/>
        </w:rPr>
        <w:t>字或者盖章，否则其响应文件按无效响应处理。</w:t>
      </w:r>
    </w:p>
    <w:p w14:paraId="2EEB0674">
      <w:pPr>
        <w:autoSpaceDE w:val="0"/>
        <w:autoSpaceDN w:val="0"/>
        <w:adjustRightInd w:val="0"/>
        <w:spacing w:line="500" w:lineRule="exact"/>
        <w:jc w:val="left"/>
        <w:rPr>
          <w:rFonts w:ascii="宋体" w:eastAsia="宋体" w:cs="Times New Roman"/>
          <w:kern w:val="0"/>
        </w:rPr>
      </w:pPr>
    </w:p>
    <w:p w14:paraId="15450866">
      <w:pPr>
        <w:autoSpaceDE w:val="0"/>
        <w:autoSpaceDN w:val="0"/>
        <w:adjustRightInd w:val="0"/>
        <w:spacing w:line="500" w:lineRule="exact"/>
        <w:jc w:val="left"/>
        <w:rPr>
          <w:rFonts w:ascii="宋体" w:eastAsia="宋体" w:cs="Times New Roman"/>
          <w:kern w:val="0"/>
        </w:rPr>
      </w:pPr>
    </w:p>
    <w:p w14:paraId="3F371961">
      <w:pPr>
        <w:autoSpaceDE w:val="0"/>
        <w:autoSpaceDN w:val="0"/>
        <w:adjustRightInd w:val="0"/>
        <w:spacing w:line="500" w:lineRule="exact"/>
        <w:ind w:firstLine="210" w:firstLineChars="100"/>
        <w:jc w:val="left"/>
        <w:rPr>
          <w:rFonts w:ascii="宋体" w:eastAsia="宋体" w:cs="Times New Roman"/>
          <w:kern w:val="0"/>
        </w:rPr>
      </w:pPr>
      <w:r>
        <w:rPr>
          <w:rFonts w:hint="eastAsia" w:ascii="宋体" w:eastAsia="宋体" w:cs="宋体"/>
          <w:kern w:val="0"/>
        </w:rPr>
        <w:t>法定代表人（或负责人）或者委托代理人（签字）：</w:t>
      </w:r>
    </w:p>
    <w:p w14:paraId="5C7CDFD8">
      <w:pPr>
        <w:autoSpaceDE w:val="0"/>
        <w:autoSpaceDN w:val="0"/>
        <w:adjustRightInd w:val="0"/>
        <w:spacing w:line="500" w:lineRule="exact"/>
        <w:ind w:firstLine="210" w:firstLineChars="100"/>
        <w:jc w:val="left"/>
        <w:rPr>
          <w:rFonts w:ascii="宋体" w:eastAsia="宋体" w:cs="Times New Roman"/>
          <w:kern w:val="0"/>
        </w:rPr>
      </w:pPr>
      <w:r>
        <w:rPr>
          <w:rFonts w:hint="eastAsia" w:ascii="宋体" w:eastAsia="宋体" w:cs="宋体"/>
          <w:kern w:val="0"/>
        </w:rPr>
        <w:t>供应商（公章）：</w:t>
      </w:r>
    </w:p>
    <w:p w14:paraId="3E12BBB2">
      <w:pPr>
        <w:spacing w:line="500" w:lineRule="exact"/>
        <w:jc w:val="left"/>
        <w:rPr>
          <w:rFonts w:ascii="宋体" w:eastAsia="宋体" w:cs="Times New Roman"/>
          <w:kern w:val="0"/>
        </w:rPr>
      </w:pPr>
      <w:r>
        <w:rPr>
          <w:rFonts w:ascii="宋体" w:eastAsia="宋体" w:cs="宋体"/>
          <w:kern w:val="0"/>
        </w:rPr>
        <w:t xml:space="preserve">  </w:t>
      </w:r>
      <w:r>
        <w:rPr>
          <w:rFonts w:hint="eastAsia" w:ascii="宋体" w:eastAsia="宋体" w:cs="宋体"/>
          <w:kern w:val="0"/>
        </w:rPr>
        <w:t>日期：</w:t>
      </w:r>
      <w:r>
        <w:rPr>
          <w:rFonts w:ascii="宋体" w:eastAsia="宋体" w:cs="宋体"/>
          <w:kern w:val="0"/>
        </w:rPr>
        <w:t xml:space="preserve">    </w:t>
      </w:r>
      <w:r>
        <w:rPr>
          <w:rFonts w:hint="eastAsia" w:ascii="宋体" w:eastAsia="宋体" w:cs="宋体"/>
          <w:kern w:val="0"/>
        </w:rPr>
        <w:t>年</w:t>
      </w:r>
      <w:r>
        <w:rPr>
          <w:rFonts w:ascii="宋体" w:eastAsia="宋体" w:cs="宋体"/>
          <w:kern w:val="0"/>
        </w:rPr>
        <w:t xml:space="preserve">   </w:t>
      </w:r>
      <w:r>
        <w:rPr>
          <w:rFonts w:hint="eastAsia" w:ascii="宋体" w:eastAsia="宋体" w:cs="宋体"/>
          <w:kern w:val="0"/>
        </w:rPr>
        <w:t>月</w:t>
      </w:r>
      <w:r>
        <w:rPr>
          <w:rFonts w:ascii="宋体" w:eastAsia="宋体" w:cs="宋体"/>
          <w:kern w:val="0"/>
        </w:rPr>
        <w:t xml:space="preserve">   </w:t>
      </w:r>
      <w:r>
        <w:rPr>
          <w:rFonts w:hint="eastAsia" w:ascii="宋体" w:eastAsia="宋体" w:cs="宋体"/>
          <w:kern w:val="0"/>
        </w:rPr>
        <w:t>日</w:t>
      </w:r>
    </w:p>
    <w:p w14:paraId="1EF0DC2F">
      <w:pPr>
        <w:pStyle w:val="23"/>
        <w:spacing w:line="500" w:lineRule="exact"/>
        <w:jc w:val="left"/>
        <w:rPr>
          <w:rFonts w:hAnsi="宋体" w:cs="Times New Roman"/>
          <w:b/>
          <w:bCs/>
          <w:sz w:val="28"/>
          <w:szCs w:val="28"/>
        </w:rPr>
        <w:sectPr>
          <w:footerReference r:id="rId4" w:type="default"/>
          <w:pgSz w:w="11900" w:h="16832"/>
          <w:pgMar w:top="1440" w:right="1803" w:bottom="1440" w:left="1803" w:header="850" w:footer="850" w:gutter="0"/>
          <w:cols w:space="0" w:num="1"/>
          <w:docGrid w:linePitch="360" w:charSpace="0"/>
        </w:sectPr>
      </w:pPr>
    </w:p>
    <w:p w14:paraId="12B82DF2">
      <w:pPr>
        <w:pStyle w:val="23"/>
        <w:spacing w:line="500" w:lineRule="exact"/>
        <w:jc w:val="left"/>
        <w:rPr>
          <w:rFonts w:hAnsi="宋体" w:cs="Times New Roman"/>
          <w:b/>
          <w:bCs/>
          <w:sz w:val="28"/>
          <w:szCs w:val="28"/>
        </w:rPr>
      </w:pPr>
      <w:r>
        <w:rPr>
          <w:rFonts w:hint="eastAsia" w:hAnsi="宋体"/>
          <w:b/>
          <w:bCs/>
          <w:sz w:val="28"/>
          <w:szCs w:val="28"/>
        </w:rPr>
        <w:t>三、已标价工程量清单</w:t>
      </w:r>
      <w:bookmarkEnd w:id="131"/>
    </w:p>
    <w:p w14:paraId="7DA50127">
      <w:pPr>
        <w:pStyle w:val="2"/>
        <w:sectPr>
          <w:footerReference r:id="rId5" w:type="default"/>
          <w:pgSz w:w="11900" w:h="16832"/>
          <w:pgMar w:top="1440" w:right="1803" w:bottom="1440" w:left="1803" w:header="850" w:footer="850" w:gutter="0"/>
          <w:cols w:space="0" w:num="1"/>
          <w:docGrid w:linePitch="360" w:charSpace="0"/>
        </w:sectPr>
      </w:pPr>
    </w:p>
    <w:p w14:paraId="08C56C91">
      <w:pPr>
        <w:pStyle w:val="2"/>
      </w:pPr>
      <w:bookmarkStart w:id="135" w:name="_Toc30715"/>
      <w:r>
        <w:rPr>
          <w:rFonts w:hint="eastAsia" w:cs="宋体"/>
        </w:rPr>
        <w:t>第六章</w:t>
      </w:r>
      <w:r>
        <w:t xml:space="preserve">  </w:t>
      </w:r>
      <w:r>
        <w:rPr>
          <w:rFonts w:hint="eastAsia" w:cs="宋体"/>
        </w:rPr>
        <w:t>合同文本</w:t>
      </w:r>
      <w:bookmarkEnd w:id="135"/>
    </w:p>
    <w:p w14:paraId="6AC56622">
      <w:pPr>
        <w:widowControl/>
        <w:kinsoku w:val="0"/>
        <w:autoSpaceDE w:val="0"/>
        <w:autoSpaceDN w:val="0"/>
        <w:adjustRightInd w:val="0"/>
        <w:snapToGrid w:val="0"/>
        <w:spacing w:line="256" w:lineRule="auto"/>
        <w:jc w:val="left"/>
        <w:textAlignment w:val="baseline"/>
        <w:rPr>
          <w:rFonts w:ascii="Arial" w:hAnsi="Arial" w:eastAsia="宋体" w:cs="Times New Roman"/>
          <w:snapToGrid w:val="0"/>
          <w:kern w:val="0"/>
        </w:rPr>
      </w:pPr>
    </w:p>
    <w:p w14:paraId="7441FD99">
      <w:pPr>
        <w:pStyle w:val="317"/>
        <w:rPr>
          <w:rFonts w:eastAsia="宋体" w:cs="Times New Roman"/>
          <w:sz w:val="32"/>
          <w:szCs w:val="32"/>
        </w:rPr>
      </w:pPr>
      <w:bookmarkStart w:id="136" w:name="_Toc13447"/>
      <w:bookmarkStart w:id="137" w:name="bookmark879"/>
      <w:bookmarkStart w:id="138" w:name="bookmark880"/>
      <w:bookmarkStart w:id="139" w:name="_Toc30441"/>
      <w:bookmarkStart w:id="140" w:name="_Toc2533"/>
      <w:bookmarkStart w:id="141" w:name="_Toc256000255"/>
      <w:bookmarkStart w:id="142" w:name="bookmark878"/>
      <w:bookmarkStart w:id="143" w:name="_Toc18888"/>
      <w:bookmarkStart w:id="144" w:name="_Toc256000005"/>
      <w:r>
        <w:rPr>
          <w:rFonts w:hint="eastAsia" w:eastAsia="宋体"/>
          <w:sz w:val="32"/>
          <w:szCs w:val="32"/>
        </w:rPr>
        <w:t>第一节</w:t>
      </w:r>
      <w:r>
        <w:rPr>
          <w:rFonts w:eastAsia="宋体"/>
          <w:sz w:val="32"/>
          <w:szCs w:val="32"/>
        </w:rPr>
        <w:t xml:space="preserve"> </w:t>
      </w:r>
      <w:r>
        <w:rPr>
          <w:rFonts w:hint="eastAsia" w:eastAsia="宋体"/>
          <w:sz w:val="32"/>
          <w:szCs w:val="32"/>
        </w:rPr>
        <w:t>通用合同条款</w:t>
      </w:r>
      <w:bookmarkEnd w:id="136"/>
      <w:bookmarkEnd w:id="137"/>
      <w:bookmarkEnd w:id="138"/>
      <w:bookmarkEnd w:id="139"/>
      <w:bookmarkEnd w:id="140"/>
      <w:bookmarkEnd w:id="141"/>
      <w:bookmarkEnd w:id="142"/>
      <w:bookmarkEnd w:id="143"/>
      <w:bookmarkEnd w:id="144"/>
    </w:p>
    <w:p w14:paraId="7CE5BEE6">
      <w:pPr>
        <w:pStyle w:val="318"/>
        <w:spacing w:line="360" w:lineRule="exact"/>
        <w:rPr>
          <w:rFonts w:ascii="宋体" w:cs="宋体"/>
          <w:sz w:val="21"/>
          <w:szCs w:val="21"/>
        </w:rPr>
      </w:pPr>
      <w:bookmarkStart w:id="145" w:name="_Toc256000006"/>
      <w:bookmarkStart w:id="146" w:name="_Toc28556"/>
      <w:bookmarkStart w:id="147" w:name="_Toc8348"/>
      <w:bookmarkStart w:id="148" w:name="_Toc26296"/>
      <w:bookmarkStart w:id="149" w:name="bookmark883"/>
      <w:bookmarkStart w:id="150" w:name="_Toc256000256"/>
      <w:bookmarkStart w:id="151" w:name="bookmark882"/>
      <w:bookmarkStart w:id="152" w:name="_Toc19504"/>
      <w:bookmarkStart w:id="153" w:name="bookmark881"/>
      <w:r>
        <w:rPr>
          <w:rFonts w:ascii="宋体" w:hAnsi="宋体" w:cs="宋体"/>
          <w:sz w:val="21"/>
          <w:szCs w:val="21"/>
        </w:rPr>
        <w:t xml:space="preserve">1. </w:t>
      </w:r>
      <w:r>
        <w:rPr>
          <w:rFonts w:hint="eastAsia" w:ascii="宋体" w:hAnsi="宋体" w:cs="宋体"/>
          <w:sz w:val="21"/>
          <w:szCs w:val="21"/>
        </w:rPr>
        <w:t>一般约定</w:t>
      </w:r>
      <w:bookmarkEnd w:id="145"/>
      <w:bookmarkEnd w:id="146"/>
      <w:bookmarkEnd w:id="147"/>
      <w:bookmarkEnd w:id="148"/>
      <w:bookmarkEnd w:id="149"/>
      <w:bookmarkEnd w:id="150"/>
      <w:bookmarkEnd w:id="151"/>
      <w:bookmarkEnd w:id="152"/>
      <w:bookmarkEnd w:id="153"/>
    </w:p>
    <w:p w14:paraId="6269A011">
      <w:pPr>
        <w:pStyle w:val="318"/>
        <w:spacing w:line="360" w:lineRule="auto"/>
        <w:rPr>
          <w:rFonts w:ascii="宋体" w:cs="宋体"/>
          <w:sz w:val="21"/>
          <w:szCs w:val="21"/>
        </w:rPr>
      </w:pPr>
      <w:bookmarkStart w:id="154" w:name="_Toc5974"/>
      <w:bookmarkStart w:id="155" w:name="_Toc4996"/>
      <w:bookmarkStart w:id="156" w:name="bookmark884"/>
      <w:bookmarkStart w:id="157" w:name="bookmark885"/>
      <w:bookmarkStart w:id="158" w:name="_Toc5951"/>
      <w:bookmarkStart w:id="159" w:name="_Toc13265"/>
      <w:bookmarkStart w:id="160" w:name="_Toc256000007"/>
      <w:bookmarkStart w:id="161" w:name="bookmark886"/>
      <w:bookmarkStart w:id="162" w:name="_Toc256000257"/>
      <w:r>
        <w:rPr>
          <w:rFonts w:ascii="宋体" w:hAnsi="宋体" w:cs="宋体"/>
          <w:sz w:val="21"/>
          <w:szCs w:val="21"/>
        </w:rPr>
        <w:t>1.1</w:t>
      </w:r>
      <w:r>
        <w:rPr>
          <w:rFonts w:hint="eastAsia" w:ascii="宋体" w:hAnsi="宋体" w:cs="宋体"/>
          <w:sz w:val="21"/>
          <w:szCs w:val="21"/>
        </w:rPr>
        <w:t>词语定义</w:t>
      </w:r>
      <w:bookmarkEnd w:id="154"/>
      <w:bookmarkEnd w:id="155"/>
      <w:bookmarkEnd w:id="156"/>
      <w:bookmarkEnd w:id="157"/>
      <w:bookmarkEnd w:id="158"/>
      <w:bookmarkEnd w:id="159"/>
      <w:bookmarkEnd w:id="160"/>
      <w:bookmarkEnd w:id="161"/>
      <w:bookmarkEnd w:id="162"/>
    </w:p>
    <w:p w14:paraId="1A1E8359">
      <w:pPr>
        <w:pStyle w:val="319"/>
        <w:spacing w:after="100"/>
        <w:ind w:firstLine="420"/>
        <w:rPr>
          <w:rFonts w:cs="Times New Roman"/>
          <w:sz w:val="21"/>
          <w:szCs w:val="21"/>
        </w:rPr>
      </w:pPr>
      <w:r>
        <w:rPr>
          <w:rFonts w:hint="eastAsia"/>
          <w:sz w:val="21"/>
          <w:szCs w:val="21"/>
        </w:rPr>
        <w:t>通用合同条款、专用合同条款中的下列词语应具有本款所赋予的含义。</w:t>
      </w:r>
    </w:p>
    <w:p w14:paraId="64E39DAA">
      <w:pPr>
        <w:pStyle w:val="320"/>
        <w:spacing w:after="0" w:line="360" w:lineRule="auto"/>
        <w:rPr>
          <w:rFonts w:ascii="宋体" w:cs="宋体"/>
          <w:sz w:val="21"/>
          <w:szCs w:val="21"/>
        </w:rPr>
      </w:pPr>
      <w:r>
        <w:rPr>
          <w:rFonts w:ascii="宋体" w:hAnsi="宋体" w:cs="宋体"/>
          <w:sz w:val="21"/>
          <w:szCs w:val="21"/>
        </w:rPr>
        <w:t>1.1.</w:t>
      </w:r>
      <w:r>
        <w:rPr>
          <w:rFonts w:ascii="宋体" w:hAnsi="宋体" w:cs="宋体"/>
          <w:sz w:val="21"/>
          <w:szCs w:val="21"/>
          <w:lang w:val="zh-CN"/>
        </w:rPr>
        <w:t>1</w:t>
      </w:r>
      <w:r>
        <w:rPr>
          <w:rFonts w:hint="eastAsia" w:ascii="宋体" w:hAnsi="宋体" w:cs="宋体"/>
          <w:sz w:val="21"/>
          <w:szCs w:val="21"/>
          <w:lang w:val="zh-CN"/>
        </w:rPr>
        <w:t>合同</w:t>
      </w:r>
    </w:p>
    <w:p w14:paraId="7DD95296">
      <w:pPr>
        <w:pStyle w:val="319"/>
        <w:ind w:firstLine="420"/>
        <w:rPr>
          <w:rFonts w:cs="Times New Roman"/>
          <w:sz w:val="21"/>
          <w:szCs w:val="21"/>
        </w:rPr>
      </w:pPr>
      <w:r>
        <w:rPr>
          <w:sz w:val="21"/>
          <w:szCs w:val="21"/>
          <w:lang w:val="en-US"/>
        </w:rPr>
        <w:t>1.1.1.1</w:t>
      </w:r>
      <w:r>
        <w:rPr>
          <w:rFonts w:hint="eastAsia"/>
          <w:sz w:val="21"/>
          <w:szCs w:val="21"/>
        </w:rPr>
        <w:t>合同文件（或称合同）：指合同协议书、成交通知书、磋商函及磋商函附录、专用合同条款、通用合同条款、技术标准和要求、图纸、已标价工程量清单，以及其他合同文件。</w:t>
      </w:r>
    </w:p>
    <w:p w14:paraId="2EDC315F">
      <w:pPr>
        <w:pStyle w:val="319"/>
        <w:tabs>
          <w:tab w:val="left" w:pos="944"/>
        </w:tabs>
        <w:ind w:left="420" w:firstLine="0"/>
        <w:rPr>
          <w:rFonts w:cs="Times New Roman"/>
          <w:sz w:val="21"/>
          <w:szCs w:val="21"/>
        </w:rPr>
      </w:pPr>
      <w:bookmarkStart w:id="163" w:name="bookmark887"/>
      <w:bookmarkEnd w:id="163"/>
      <w:r>
        <w:rPr>
          <w:sz w:val="21"/>
          <w:szCs w:val="21"/>
          <w:lang w:val="en-US"/>
        </w:rPr>
        <w:t>1.1.1.</w:t>
      </w:r>
      <w:r>
        <w:rPr>
          <w:sz w:val="21"/>
          <w:szCs w:val="21"/>
        </w:rPr>
        <w:t>2</w:t>
      </w:r>
      <w:r>
        <w:rPr>
          <w:rFonts w:hint="eastAsia"/>
          <w:sz w:val="21"/>
          <w:szCs w:val="21"/>
        </w:rPr>
        <w:t>合同协议书：指第</w:t>
      </w:r>
      <w:r>
        <w:rPr>
          <w:sz w:val="21"/>
          <w:szCs w:val="21"/>
          <w:lang w:val="en-US"/>
        </w:rPr>
        <w:t>1.5</w:t>
      </w:r>
      <w:r>
        <w:rPr>
          <w:rFonts w:hint="eastAsia"/>
          <w:sz w:val="21"/>
          <w:szCs w:val="21"/>
        </w:rPr>
        <w:t>款所指的合同协议书。</w:t>
      </w:r>
    </w:p>
    <w:p w14:paraId="278264E2">
      <w:pPr>
        <w:pStyle w:val="319"/>
        <w:ind w:firstLine="420"/>
        <w:rPr>
          <w:rFonts w:cs="Times New Roman"/>
          <w:sz w:val="21"/>
          <w:szCs w:val="21"/>
        </w:rPr>
      </w:pPr>
      <w:r>
        <w:rPr>
          <w:sz w:val="21"/>
          <w:szCs w:val="21"/>
          <w:lang w:val="en-US"/>
        </w:rPr>
        <w:t>1.1.1.</w:t>
      </w:r>
      <w:r>
        <w:rPr>
          <w:sz w:val="21"/>
          <w:szCs w:val="21"/>
        </w:rPr>
        <w:t>3</w:t>
      </w:r>
      <w:r>
        <w:rPr>
          <w:rFonts w:hint="eastAsia"/>
          <w:sz w:val="21"/>
          <w:szCs w:val="21"/>
        </w:rPr>
        <w:t>成交通知书：指发包人通知承包人中标的函件。</w:t>
      </w:r>
    </w:p>
    <w:p w14:paraId="2890104E">
      <w:pPr>
        <w:pStyle w:val="319"/>
        <w:tabs>
          <w:tab w:val="left" w:pos="944"/>
        </w:tabs>
        <w:ind w:left="420" w:firstLine="0"/>
        <w:rPr>
          <w:rFonts w:cs="Times New Roman"/>
          <w:sz w:val="21"/>
          <w:szCs w:val="21"/>
        </w:rPr>
      </w:pPr>
      <w:bookmarkStart w:id="164" w:name="bookmark888"/>
      <w:bookmarkEnd w:id="164"/>
      <w:r>
        <w:rPr>
          <w:sz w:val="21"/>
          <w:szCs w:val="21"/>
          <w:lang w:val="en-US"/>
        </w:rPr>
        <w:t>1.1.1.</w:t>
      </w:r>
      <w:r>
        <w:rPr>
          <w:sz w:val="21"/>
          <w:szCs w:val="21"/>
        </w:rPr>
        <w:t>4</w:t>
      </w:r>
      <w:r>
        <w:rPr>
          <w:rFonts w:hint="eastAsia"/>
          <w:sz w:val="21"/>
          <w:szCs w:val="21"/>
        </w:rPr>
        <w:t>磋商函：指构成合同文件组成部分的由承包人填写并签署的磋商函。</w:t>
      </w:r>
    </w:p>
    <w:p w14:paraId="5FC12436">
      <w:pPr>
        <w:pStyle w:val="319"/>
        <w:ind w:firstLine="420"/>
        <w:rPr>
          <w:rFonts w:cs="Times New Roman"/>
          <w:sz w:val="21"/>
          <w:szCs w:val="21"/>
        </w:rPr>
      </w:pPr>
      <w:r>
        <w:rPr>
          <w:sz w:val="21"/>
          <w:szCs w:val="21"/>
          <w:lang w:val="en-US"/>
        </w:rPr>
        <w:t>1.1.1.</w:t>
      </w:r>
      <w:r>
        <w:rPr>
          <w:sz w:val="21"/>
          <w:szCs w:val="21"/>
        </w:rPr>
        <w:t>5</w:t>
      </w:r>
      <w:r>
        <w:rPr>
          <w:rFonts w:hint="eastAsia"/>
          <w:sz w:val="21"/>
          <w:szCs w:val="21"/>
        </w:rPr>
        <w:t>磋商函附录：指附在磋商函后构成合同文件的磋商函附录。</w:t>
      </w:r>
    </w:p>
    <w:p w14:paraId="1F2A6F31">
      <w:pPr>
        <w:pStyle w:val="319"/>
        <w:ind w:firstLine="420"/>
        <w:rPr>
          <w:rFonts w:cs="Times New Roman"/>
          <w:sz w:val="21"/>
          <w:szCs w:val="21"/>
          <w:lang w:val="en-US"/>
        </w:rPr>
      </w:pPr>
      <w:bookmarkStart w:id="165" w:name="bookmark889"/>
      <w:bookmarkEnd w:id="165"/>
      <w:r>
        <w:rPr>
          <w:sz w:val="21"/>
          <w:szCs w:val="21"/>
          <w:lang w:val="en-US"/>
        </w:rPr>
        <w:t>1.1.1.6</w:t>
      </w:r>
      <w:r>
        <w:rPr>
          <w:rFonts w:hint="eastAsia"/>
          <w:sz w:val="21"/>
          <w:szCs w:val="21"/>
          <w:lang w:val="en-US"/>
        </w:rPr>
        <w:t>技术标准和要求：指构成合同文件组成部分的名为技术标准和要求（合同技术条款）的文件，包括合同双方当事人约定对其所做的修改或补充。</w:t>
      </w:r>
    </w:p>
    <w:p w14:paraId="7521921C">
      <w:pPr>
        <w:pStyle w:val="319"/>
        <w:ind w:firstLine="420"/>
        <w:rPr>
          <w:rFonts w:cs="Times New Roman"/>
          <w:sz w:val="21"/>
          <w:szCs w:val="21"/>
          <w:lang w:val="en-US"/>
        </w:rPr>
      </w:pPr>
      <w:bookmarkStart w:id="166" w:name="bookmark890"/>
      <w:bookmarkEnd w:id="166"/>
      <w:r>
        <w:rPr>
          <w:sz w:val="21"/>
          <w:szCs w:val="21"/>
          <w:lang w:val="en-US"/>
        </w:rPr>
        <w:t>1.1.1.7</w:t>
      </w:r>
      <w:r>
        <w:rPr>
          <w:rFonts w:hint="eastAsia"/>
          <w:sz w:val="21"/>
          <w:szCs w:val="21"/>
          <w:lang w:val="en-US"/>
        </w:rPr>
        <w:t>图纸：指列入合同的招标图纸、投标图纸和发包人按合同约定向承包人提供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00E842F3">
      <w:pPr>
        <w:pStyle w:val="319"/>
        <w:ind w:firstLine="420"/>
        <w:rPr>
          <w:rFonts w:cs="Times New Roman"/>
          <w:sz w:val="21"/>
          <w:szCs w:val="21"/>
        </w:rPr>
      </w:pPr>
      <w:r>
        <w:rPr>
          <w:sz w:val="21"/>
          <w:szCs w:val="21"/>
          <w:lang w:val="en-US"/>
        </w:rPr>
        <w:t>1.1.1.</w:t>
      </w:r>
      <w:r>
        <w:rPr>
          <w:sz w:val="21"/>
          <w:szCs w:val="21"/>
        </w:rPr>
        <w:t>8</w:t>
      </w:r>
      <w:r>
        <w:rPr>
          <w:rFonts w:hint="eastAsia"/>
          <w:sz w:val="21"/>
          <w:szCs w:val="21"/>
        </w:rPr>
        <w:t>已标价工程量清单：指构成合同文件组成部分的由承包人按照规定的格式和要求填写并标明价格的工程量清单。</w:t>
      </w:r>
    </w:p>
    <w:p w14:paraId="6DCC9E7D">
      <w:pPr>
        <w:pStyle w:val="319"/>
        <w:ind w:firstLine="420"/>
        <w:rPr>
          <w:rFonts w:cs="Times New Roman"/>
          <w:sz w:val="21"/>
          <w:szCs w:val="21"/>
        </w:rPr>
      </w:pPr>
      <w:r>
        <w:rPr>
          <w:sz w:val="21"/>
          <w:szCs w:val="21"/>
          <w:lang w:val="en-US"/>
        </w:rPr>
        <w:t>1.1.1.</w:t>
      </w:r>
      <w:r>
        <w:rPr>
          <w:sz w:val="21"/>
          <w:szCs w:val="21"/>
        </w:rPr>
        <w:t>9</w:t>
      </w:r>
      <w:r>
        <w:rPr>
          <w:rFonts w:hint="eastAsia"/>
          <w:sz w:val="21"/>
          <w:szCs w:val="21"/>
        </w:rPr>
        <w:t>其他合同文件：指经合同双方当事人确认构成合同文件的其他文件。</w:t>
      </w:r>
    </w:p>
    <w:p w14:paraId="162EC87C">
      <w:pPr>
        <w:pStyle w:val="319"/>
        <w:ind w:firstLine="420"/>
        <w:rPr>
          <w:rFonts w:cs="Times New Roman"/>
          <w:sz w:val="21"/>
          <w:szCs w:val="21"/>
        </w:rPr>
      </w:pPr>
      <w:r>
        <w:rPr>
          <w:sz w:val="21"/>
          <w:szCs w:val="21"/>
          <w:lang w:val="en-US"/>
        </w:rPr>
        <w:t>1.1.2</w:t>
      </w:r>
      <w:r>
        <w:rPr>
          <w:rFonts w:hint="eastAsia"/>
          <w:sz w:val="21"/>
          <w:szCs w:val="21"/>
        </w:rPr>
        <w:t>合同当事人和人员。</w:t>
      </w:r>
    </w:p>
    <w:p w14:paraId="4C2419F7">
      <w:pPr>
        <w:pStyle w:val="319"/>
        <w:ind w:firstLine="420"/>
        <w:rPr>
          <w:rFonts w:cs="Times New Roman"/>
          <w:sz w:val="21"/>
          <w:szCs w:val="21"/>
        </w:rPr>
      </w:pPr>
      <w:r>
        <w:rPr>
          <w:sz w:val="21"/>
          <w:szCs w:val="21"/>
          <w:lang w:val="en-US"/>
        </w:rPr>
        <w:t>1.1.2.1</w:t>
      </w:r>
      <w:r>
        <w:rPr>
          <w:rFonts w:hint="eastAsia"/>
          <w:sz w:val="21"/>
          <w:szCs w:val="21"/>
        </w:rPr>
        <w:t>合同当事人：指发包人和（或）承包人。</w:t>
      </w:r>
    </w:p>
    <w:p w14:paraId="0B504603">
      <w:pPr>
        <w:pStyle w:val="319"/>
        <w:tabs>
          <w:tab w:val="left" w:pos="944"/>
        </w:tabs>
        <w:ind w:left="420" w:firstLine="0"/>
        <w:rPr>
          <w:rFonts w:cs="Times New Roman"/>
          <w:sz w:val="21"/>
          <w:szCs w:val="21"/>
        </w:rPr>
      </w:pPr>
      <w:bookmarkStart w:id="167" w:name="bookmark891"/>
      <w:bookmarkEnd w:id="167"/>
      <w:r>
        <w:rPr>
          <w:sz w:val="21"/>
          <w:szCs w:val="21"/>
          <w:lang w:val="en-US"/>
        </w:rPr>
        <w:t>1.1.2.2</w:t>
      </w:r>
      <w:r>
        <w:rPr>
          <w:rFonts w:hint="eastAsia"/>
          <w:sz w:val="21"/>
          <w:szCs w:val="21"/>
        </w:rPr>
        <w:t>发包人：指专用合同条款中指明并与承包人在合同协议书中签字的当事人。</w:t>
      </w:r>
    </w:p>
    <w:p w14:paraId="0B214EC6">
      <w:pPr>
        <w:pStyle w:val="319"/>
        <w:tabs>
          <w:tab w:val="left" w:pos="944"/>
        </w:tabs>
        <w:ind w:left="420" w:firstLine="0"/>
        <w:rPr>
          <w:rFonts w:cs="Times New Roman"/>
          <w:sz w:val="21"/>
          <w:szCs w:val="21"/>
        </w:rPr>
      </w:pPr>
      <w:bookmarkStart w:id="168" w:name="bookmark892"/>
      <w:bookmarkEnd w:id="168"/>
      <w:r>
        <w:rPr>
          <w:sz w:val="21"/>
          <w:szCs w:val="21"/>
          <w:lang w:val="en-US"/>
        </w:rPr>
        <w:t>1.1.2.3</w:t>
      </w:r>
      <w:r>
        <w:rPr>
          <w:rFonts w:hint="eastAsia"/>
          <w:sz w:val="21"/>
          <w:szCs w:val="21"/>
        </w:rPr>
        <w:t>承包人：指专用合同条款中指明并与发包人在合同协议书中签字的当事人。</w:t>
      </w:r>
    </w:p>
    <w:p w14:paraId="4CF7871D">
      <w:pPr>
        <w:pStyle w:val="319"/>
        <w:ind w:firstLine="420"/>
        <w:rPr>
          <w:rFonts w:cs="Times New Roman"/>
          <w:sz w:val="21"/>
          <w:szCs w:val="21"/>
        </w:rPr>
      </w:pPr>
      <w:r>
        <w:rPr>
          <w:sz w:val="21"/>
          <w:szCs w:val="21"/>
          <w:lang w:val="en-US"/>
        </w:rPr>
        <w:t>1.1.2.4</w:t>
      </w:r>
      <w:r>
        <w:rPr>
          <w:rFonts w:hint="eastAsia"/>
          <w:sz w:val="21"/>
          <w:szCs w:val="21"/>
        </w:rPr>
        <w:t>承包人项目经理：指承包人派驻施工场地的全权负责人。</w:t>
      </w:r>
    </w:p>
    <w:p w14:paraId="3F3D6BE9">
      <w:pPr>
        <w:pStyle w:val="319"/>
        <w:ind w:firstLine="420"/>
        <w:rPr>
          <w:rFonts w:cs="Times New Roman"/>
          <w:sz w:val="21"/>
          <w:szCs w:val="21"/>
        </w:rPr>
      </w:pPr>
      <w:r>
        <w:rPr>
          <w:sz w:val="21"/>
          <w:szCs w:val="21"/>
          <w:lang w:val="en-US"/>
        </w:rPr>
        <w:t>1.1.2.5</w:t>
      </w:r>
      <w:r>
        <w:rPr>
          <w:rFonts w:hint="eastAsia"/>
          <w:sz w:val="21"/>
          <w:szCs w:val="21"/>
        </w:rPr>
        <w:t>分包人：指专用合同条款中指明的，从承包人处分包合同中某一部分工程</w:t>
      </w:r>
      <w:r>
        <w:rPr>
          <w:sz w:val="21"/>
          <w:szCs w:val="21"/>
        </w:rPr>
        <w:t xml:space="preserve">, </w:t>
      </w:r>
      <w:r>
        <w:rPr>
          <w:rFonts w:hint="eastAsia"/>
          <w:sz w:val="21"/>
          <w:szCs w:val="21"/>
        </w:rPr>
        <w:t>并与其签订分包合同的分包人。</w:t>
      </w:r>
    </w:p>
    <w:p w14:paraId="10178A33">
      <w:pPr>
        <w:pStyle w:val="319"/>
        <w:tabs>
          <w:tab w:val="left" w:pos="951"/>
        </w:tabs>
        <w:ind w:left="420" w:firstLine="0"/>
        <w:rPr>
          <w:rFonts w:cs="Times New Roman"/>
          <w:sz w:val="21"/>
          <w:szCs w:val="21"/>
        </w:rPr>
      </w:pPr>
      <w:bookmarkStart w:id="169" w:name="bookmark893"/>
      <w:bookmarkEnd w:id="169"/>
      <w:r>
        <w:rPr>
          <w:sz w:val="21"/>
          <w:szCs w:val="21"/>
          <w:lang w:val="en-US"/>
        </w:rPr>
        <w:t xml:space="preserve">1.1.2.6  </w:t>
      </w:r>
      <w:r>
        <w:rPr>
          <w:rFonts w:hint="eastAsia"/>
          <w:sz w:val="21"/>
          <w:szCs w:val="21"/>
        </w:rPr>
        <w:t>监理人：指在专用合同条款中指明的，受发包人委托对合同履行实施管理的</w:t>
      </w:r>
      <w:r>
        <w:rPr>
          <w:sz w:val="21"/>
          <w:szCs w:val="21"/>
        </w:rPr>
        <w:t xml:space="preserve"> </w:t>
      </w:r>
      <w:r>
        <w:rPr>
          <w:rFonts w:hint="eastAsia"/>
          <w:sz w:val="21"/>
          <w:szCs w:val="21"/>
        </w:rPr>
        <w:t>法人或其他组织。</w:t>
      </w:r>
    </w:p>
    <w:p w14:paraId="2DBC213F">
      <w:pPr>
        <w:pStyle w:val="319"/>
        <w:ind w:firstLine="420"/>
        <w:rPr>
          <w:rFonts w:cs="Times New Roman"/>
          <w:sz w:val="21"/>
          <w:szCs w:val="21"/>
        </w:rPr>
      </w:pPr>
      <w:r>
        <w:rPr>
          <w:sz w:val="21"/>
          <w:szCs w:val="21"/>
          <w:lang w:val="en-US"/>
        </w:rPr>
        <w:t>1.1.2.</w:t>
      </w:r>
      <w:r>
        <w:rPr>
          <w:sz w:val="21"/>
          <w:szCs w:val="21"/>
        </w:rPr>
        <w:t>7</w:t>
      </w:r>
      <w:r>
        <w:rPr>
          <w:rFonts w:hint="eastAsia"/>
          <w:sz w:val="21"/>
          <w:szCs w:val="21"/>
        </w:rPr>
        <w:t>总监理工程师（总监）：指由监理人委派常驻施工场地对合同履行实施管理的全权负责人。</w:t>
      </w:r>
    </w:p>
    <w:p w14:paraId="3EEEF435">
      <w:pPr>
        <w:pStyle w:val="320"/>
        <w:spacing w:after="0" w:line="360" w:lineRule="auto"/>
        <w:rPr>
          <w:rFonts w:ascii="宋体" w:cs="宋体"/>
          <w:sz w:val="21"/>
          <w:szCs w:val="21"/>
        </w:rPr>
      </w:pPr>
      <w:r>
        <w:rPr>
          <w:rFonts w:ascii="宋体" w:hAnsi="宋体" w:cs="宋体"/>
          <w:sz w:val="21"/>
          <w:szCs w:val="21"/>
        </w:rPr>
        <w:t>1.1.</w:t>
      </w:r>
      <w:r>
        <w:rPr>
          <w:rFonts w:ascii="宋体" w:hAnsi="宋体" w:cs="宋体"/>
          <w:sz w:val="21"/>
          <w:szCs w:val="21"/>
          <w:lang w:val="zh-CN"/>
        </w:rPr>
        <w:t>3</w:t>
      </w:r>
      <w:r>
        <w:rPr>
          <w:rFonts w:hint="eastAsia" w:ascii="宋体" w:hAnsi="宋体" w:cs="宋体"/>
          <w:sz w:val="21"/>
          <w:szCs w:val="21"/>
          <w:lang w:val="zh-CN"/>
        </w:rPr>
        <w:t>工程和设备</w:t>
      </w:r>
    </w:p>
    <w:p w14:paraId="7EF5E1E5">
      <w:pPr>
        <w:pStyle w:val="319"/>
        <w:ind w:firstLine="420"/>
        <w:rPr>
          <w:rFonts w:cs="Times New Roman"/>
          <w:sz w:val="21"/>
          <w:szCs w:val="21"/>
        </w:rPr>
      </w:pPr>
      <w:r>
        <w:rPr>
          <w:sz w:val="21"/>
          <w:szCs w:val="21"/>
          <w:lang w:val="en-US"/>
        </w:rPr>
        <w:t>1.1.3.</w:t>
      </w:r>
      <w:r>
        <w:rPr>
          <w:sz w:val="21"/>
          <w:szCs w:val="21"/>
        </w:rPr>
        <w:t>1</w:t>
      </w:r>
      <w:r>
        <w:rPr>
          <w:rFonts w:hint="eastAsia"/>
          <w:sz w:val="21"/>
          <w:szCs w:val="21"/>
        </w:rPr>
        <w:t>工程：指永久工程和（或）临时工程。</w:t>
      </w:r>
    </w:p>
    <w:p w14:paraId="26CABB3F">
      <w:pPr>
        <w:pStyle w:val="319"/>
        <w:tabs>
          <w:tab w:val="left" w:pos="944"/>
        </w:tabs>
        <w:ind w:left="420" w:firstLine="0"/>
        <w:rPr>
          <w:rFonts w:cs="Times New Roman"/>
          <w:sz w:val="21"/>
          <w:szCs w:val="21"/>
        </w:rPr>
      </w:pPr>
      <w:bookmarkStart w:id="170" w:name="bookmark894"/>
      <w:bookmarkEnd w:id="170"/>
      <w:r>
        <w:rPr>
          <w:sz w:val="21"/>
          <w:szCs w:val="21"/>
          <w:lang w:val="en-US"/>
        </w:rPr>
        <w:t>1.1.3.</w:t>
      </w:r>
      <w:r>
        <w:rPr>
          <w:sz w:val="21"/>
          <w:szCs w:val="21"/>
        </w:rPr>
        <w:t>2</w:t>
      </w:r>
      <w:r>
        <w:rPr>
          <w:rFonts w:hint="eastAsia"/>
          <w:sz w:val="21"/>
          <w:szCs w:val="21"/>
        </w:rPr>
        <w:t>永久工程：指按合同约定建造并移交给发包人的工程，包括工程设备。</w:t>
      </w:r>
    </w:p>
    <w:p w14:paraId="42B6DAB6">
      <w:pPr>
        <w:pStyle w:val="319"/>
        <w:tabs>
          <w:tab w:val="left" w:pos="954"/>
        </w:tabs>
        <w:ind w:firstLine="447" w:firstLineChars="213"/>
        <w:rPr>
          <w:rFonts w:cs="Times New Roman"/>
          <w:sz w:val="21"/>
          <w:szCs w:val="21"/>
        </w:rPr>
      </w:pPr>
      <w:bookmarkStart w:id="171" w:name="bookmark895"/>
      <w:bookmarkEnd w:id="171"/>
      <w:r>
        <w:rPr>
          <w:sz w:val="21"/>
          <w:szCs w:val="21"/>
          <w:lang w:val="en-US"/>
        </w:rPr>
        <w:t>1.1.3.</w:t>
      </w:r>
      <w:r>
        <w:rPr>
          <w:sz w:val="21"/>
          <w:szCs w:val="21"/>
        </w:rPr>
        <w:t>3</w:t>
      </w:r>
      <w:r>
        <w:rPr>
          <w:rFonts w:hint="eastAsia"/>
          <w:sz w:val="21"/>
          <w:szCs w:val="21"/>
        </w:rPr>
        <w:t>临时工程：指为完成合同约定的永久工程所修建的各类临时性工程，不包括施工设备。</w:t>
      </w:r>
    </w:p>
    <w:p w14:paraId="5E1547BD">
      <w:pPr>
        <w:pStyle w:val="319"/>
        <w:ind w:firstLine="420"/>
        <w:rPr>
          <w:rFonts w:cs="Times New Roman"/>
          <w:sz w:val="21"/>
          <w:szCs w:val="21"/>
        </w:rPr>
      </w:pPr>
      <w:r>
        <w:rPr>
          <w:sz w:val="21"/>
          <w:szCs w:val="21"/>
          <w:lang w:val="en-US"/>
        </w:rPr>
        <w:t>1.1.3.</w:t>
      </w:r>
      <w:r>
        <w:rPr>
          <w:sz w:val="21"/>
          <w:szCs w:val="21"/>
        </w:rPr>
        <w:t>4</w:t>
      </w:r>
      <w:r>
        <w:rPr>
          <w:rFonts w:hint="eastAsia"/>
          <w:sz w:val="21"/>
          <w:szCs w:val="21"/>
        </w:rPr>
        <w:t>单位工程：指专用合同条款中指明特定范围的永久工程。</w:t>
      </w:r>
    </w:p>
    <w:p w14:paraId="349B5CEF">
      <w:pPr>
        <w:pStyle w:val="319"/>
        <w:tabs>
          <w:tab w:val="left" w:pos="951"/>
        </w:tabs>
        <w:ind w:firstLine="447" w:firstLineChars="213"/>
        <w:rPr>
          <w:rFonts w:cs="Times New Roman"/>
          <w:sz w:val="21"/>
          <w:szCs w:val="21"/>
        </w:rPr>
      </w:pPr>
      <w:bookmarkStart w:id="172" w:name="bookmark896"/>
      <w:bookmarkEnd w:id="172"/>
      <w:r>
        <w:rPr>
          <w:sz w:val="21"/>
          <w:szCs w:val="21"/>
          <w:lang w:val="en-US"/>
        </w:rPr>
        <w:t>1.1.3.</w:t>
      </w:r>
      <w:r>
        <w:rPr>
          <w:sz w:val="21"/>
          <w:szCs w:val="21"/>
        </w:rPr>
        <w:t>5</w:t>
      </w:r>
      <w:r>
        <w:rPr>
          <w:rFonts w:hint="eastAsia"/>
          <w:sz w:val="21"/>
          <w:szCs w:val="21"/>
        </w:rPr>
        <w:t>工程设备：指构成或计划构成永久工程一部分的机电设备、金属结构设备、仪器装置及其他类似的设备和装置。</w:t>
      </w:r>
    </w:p>
    <w:p w14:paraId="3200D491">
      <w:pPr>
        <w:pStyle w:val="319"/>
        <w:tabs>
          <w:tab w:val="left" w:pos="954"/>
        </w:tabs>
        <w:ind w:firstLine="447" w:firstLineChars="213"/>
        <w:rPr>
          <w:rFonts w:cs="Times New Roman"/>
          <w:sz w:val="21"/>
          <w:szCs w:val="21"/>
        </w:rPr>
      </w:pPr>
      <w:bookmarkStart w:id="173" w:name="bookmark897"/>
      <w:bookmarkEnd w:id="173"/>
      <w:r>
        <w:rPr>
          <w:sz w:val="21"/>
          <w:szCs w:val="21"/>
          <w:lang w:val="en-US"/>
        </w:rPr>
        <w:t>1.1.3.</w:t>
      </w:r>
      <w:r>
        <w:rPr>
          <w:sz w:val="21"/>
          <w:szCs w:val="21"/>
        </w:rPr>
        <w:t>6</w:t>
      </w:r>
      <w:r>
        <w:rPr>
          <w:rFonts w:hint="eastAsia"/>
          <w:sz w:val="21"/>
          <w:szCs w:val="21"/>
        </w:rPr>
        <w:t>施工设备：指为完成合同约定的各项工作所需的设备、器具和其他物品，不包括临时工程和材料。</w:t>
      </w:r>
    </w:p>
    <w:p w14:paraId="23FEBA21">
      <w:pPr>
        <w:pStyle w:val="319"/>
        <w:tabs>
          <w:tab w:val="left" w:pos="944"/>
        </w:tabs>
        <w:ind w:left="420" w:firstLine="0"/>
        <w:rPr>
          <w:rFonts w:cs="Times New Roman"/>
          <w:sz w:val="21"/>
          <w:szCs w:val="21"/>
        </w:rPr>
      </w:pPr>
      <w:bookmarkStart w:id="174" w:name="bookmark898"/>
      <w:bookmarkEnd w:id="174"/>
      <w:r>
        <w:rPr>
          <w:sz w:val="21"/>
          <w:szCs w:val="21"/>
          <w:lang w:val="en-US"/>
        </w:rPr>
        <w:t>1.1.3.7</w:t>
      </w:r>
      <w:r>
        <w:rPr>
          <w:rFonts w:hint="eastAsia"/>
          <w:sz w:val="21"/>
          <w:szCs w:val="21"/>
        </w:rPr>
        <w:t>临时设施：指为完成合同约定的各项工作所服务的临时性生产和生活设施。</w:t>
      </w:r>
    </w:p>
    <w:p w14:paraId="1DEB622A">
      <w:pPr>
        <w:pStyle w:val="319"/>
        <w:tabs>
          <w:tab w:val="left" w:pos="954"/>
        </w:tabs>
        <w:ind w:left="420" w:firstLine="0"/>
        <w:rPr>
          <w:rFonts w:cs="Times New Roman"/>
          <w:sz w:val="21"/>
          <w:szCs w:val="21"/>
        </w:rPr>
      </w:pPr>
      <w:r>
        <w:rPr>
          <w:sz w:val="21"/>
          <w:szCs w:val="21"/>
          <w:lang w:val="en-US"/>
        </w:rPr>
        <w:t>1.1.3.8</w:t>
      </w:r>
      <w:r>
        <w:rPr>
          <w:rFonts w:hint="eastAsia"/>
          <w:sz w:val="21"/>
          <w:szCs w:val="21"/>
        </w:rPr>
        <w:t>承包人设备：指承包人自带的施工设备。</w:t>
      </w:r>
    </w:p>
    <w:p w14:paraId="29EB69D4">
      <w:pPr>
        <w:pStyle w:val="319"/>
        <w:tabs>
          <w:tab w:val="left" w:pos="954"/>
        </w:tabs>
        <w:ind w:firstLine="447" w:firstLineChars="213"/>
        <w:rPr>
          <w:rFonts w:cs="Times New Roman"/>
          <w:sz w:val="21"/>
          <w:szCs w:val="21"/>
        </w:rPr>
      </w:pPr>
      <w:r>
        <w:rPr>
          <w:sz w:val="21"/>
          <w:szCs w:val="21"/>
          <w:lang w:val="en-US"/>
        </w:rPr>
        <w:t>1.1.3.9</w:t>
      </w:r>
      <w:r>
        <w:rPr>
          <w:rFonts w:hint="eastAsia"/>
          <w:sz w:val="21"/>
          <w:szCs w:val="21"/>
        </w:rPr>
        <w:t>施工场地（或称工地、现场）：指用于合同工程施工的场所，以及在合同中指定作为施工场地组成部分的其他场所，包括永久占地和临时占地。</w:t>
      </w:r>
    </w:p>
    <w:p w14:paraId="6C6DF424">
      <w:pPr>
        <w:pStyle w:val="319"/>
        <w:tabs>
          <w:tab w:val="left" w:pos="951"/>
        </w:tabs>
        <w:ind w:left="420" w:firstLine="0"/>
        <w:rPr>
          <w:rFonts w:cs="Times New Roman"/>
          <w:sz w:val="21"/>
          <w:szCs w:val="21"/>
        </w:rPr>
      </w:pPr>
      <w:r>
        <w:rPr>
          <w:sz w:val="21"/>
          <w:szCs w:val="21"/>
          <w:lang w:val="en-US"/>
        </w:rPr>
        <w:t>1.1.3.10</w:t>
      </w:r>
      <w:r>
        <w:rPr>
          <w:rFonts w:hint="eastAsia"/>
          <w:sz w:val="21"/>
          <w:szCs w:val="21"/>
        </w:rPr>
        <w:t>永久占地：指发包人为建设本合同工程永久征用的场地。</w:t>
      </w:r>
    </w:p>
    <w:p w14:paraId="540AFCBC">
      <w:pPr>
        <w:pStyle w:val="319"/>
        <w:tabs>
          <w:tab w:val="left" w:pos="951"/>
        </w:tabs>
        <w:ind w:firstLine="447" w:firstLineChars="213"/>
        <w:rPr>
          <w:rFonts w:cs="Times New Roman"/>
          <w:sz w:val="21"/>
          <w:szCs w:val="21"/>
        </w:rPr>
      </w:pPr>
      <w:r>
        <w:rPr>
          <w:sz w:val="21"/>
          <w:szCs w:val="21"/>
          <w:lang w:val="en-US"/>
        </w:rPr>
        <w:t>1.1.3.11</w:t>
      </w:r>
      <w:r>
        <w:rPr>
          <w:rFonts w:hint="eastAsia"/>
          <w:sz w:val="21"/>
          <w:szCs w:val="21"/>
        </w:rPr>
        <w:t>临时占地：指发包人为建设本合同工程临时征用，并应在完工后须按合同</w:t>
      </w:r>
      <w:r>
        <w:rPr>
          <w:sz w:val="21"/>
          <w:szCs w:val="21"/>
        </w:rPr>
        <w:t xml:space="preserve"> </w:t>
      </w:r>
      <w:r>
        <w:rPr>
          <w:rFonts w:hint="eastAsia"/>
          <w:sz w:val="21"/>
          <w:szCs w:val="21"/>
        </w:rPr>
        <w:t>要求退还的场地。</w:t>
      </w:r>
    </w:p>
    <w:p w14:paraId="69B3D44A">
      <w:pPr>
        <w:pStyle w:val="320"/>
        <w:spacing w:after="0" w:line="360" w:lineRule="auto"/>
        <w:rPr>
          <w:rFonts w:ascii="宋体" w:cs="宋体"/>
          <w:sz w:val="21"/>
          <w:szCs w:val="21"/>
        </w:rPr>
      </w:pPr>
      <w:r>
        <w:rPr>
          <w:rFonts w:ascii="宋体" w:hAnsi="宋体" w:cs="宋体"/>
          <w:sz w:val="21"/>
          <w:szCs w:val="21"/>
        </w:rPr>
        <w:t>1.1.4</w:t>
      </w:r>
      <w:r>
        <w:rPr>
          <w:rFonts w:hint="eastAsia" w:ascii="宋体" w:hAnsi="宋体" w:cs="宋体"/>
          <w:sz w:val="21"/>
          <w:szCs w:val="21"/>
          <w:lang w:val="zh-CN"/>
        </w:rPr>
        <w:t>日期</w:t>
      </w:r>
    </w:p>
    <w:p w14:paraId="5F10E898">
      <w:pPr>
        <w:pStyle w:val="319"/>
        <w:ind w:firstLine="420"/>
        <w:rPr>
          <w:rFonts w:cs="Times New Roman"/>
          <w:sz w:val="21"/>
          <w:szCs w:val="21"/>
        </w:rPr>
      </w:pPr>
      <w:r>
        <w:rPr>
          <w:sz w:val="21"/>
          <w:szCs w:val="21"/>
          <w:lang w:val="en-US"/>
        </w:rPr>
        <w:t xml:space="preserve">1.1.4. </w:t>
      </w:r>
      <w:r>
        <w:rPr>
          <w:sz w:val="21"/>
          <w:szCs w:val="21"/>
        </w:rPr>
        <w:t>1</w:t>
      </w:r>
      <w:r>
        <w:rPr>
          <w:rFonts w:hint="eastAsia"/>
          <w:sz w:val="21"/>
          <w:szCs w:val="21"/>
        </w:rPr>
        <w:t>开工通知：指监理人按第</w:t>
      </w:r>
      <w:r>
        <w:rPr>
          <w:sz w:val="21"/>
          <w:szCs w:val="21"/>
          <w:lang w:val="en-US"/>
        </w:rPr>
        <w:t xml:space="preserve">11. </w:t>
      </w:r>
      <w:r>
        <w:rPr>
          <w:sz w:val="21"/>
          <w:szCs w:val="21"/>
        </w:rPr>
        <w:t>1</w:t>
      </w:r>
      <w:r>
        <w:rPr>
          <w:rFonts w:hint="eastAsia"/>
          <w:sz w:val="21"/>
          <w:szCs w:val="21"/>
        </w:rPr>
        <w:t>款通知承包人开工的函件。</w:t>
      </w:r>
    </w:p>
    <w:p w14:paraId="78448EB1">
      <w:pPr>
        <w:pStyle w:val="319"/>
        <w:ind w:firstLine="420"/>
        <w:rPr>
          <w:rFonts w:cs="Times New Roman"/>
          <w:sz w:val="21"/>
          <w:szCs w:val="21"/>
        </w:rPr>
      </w:pPr>
      <w:r>
        <w:rPr>
          <w:sz w:val="21"/>
          <w:szCs w:val="21"/>
          <w:lang w:val="en-US"/>
        </w:rPr>
        <w:t>1.1.4.2</w:t>
      </w:r>
      <w:r>
        <w:rPr>
          <w:rFonts w:hint="eastAsia"/>
          <w:sz w:val="21"/>
          <w:szCs w:val="21"/>
        </w:rPr>
        <w:t>开工日期：指监理人按第</w:t>
      </w:r>
      <w:r>
        <w:rPr>
          <w:sz w:val="21"/>
          <w:szCs w:val="21"/>
          <w:lang w:val="en-US"/>
        </w:rPr>
        <w:t xml:space="preserve">11. </w:t>
      </w:r>
      <w:r>
        <w:rPr>
          <w:sz w:val="21"/>
          <w:szCs w:val="21"/>
        </w:rPr>
        <w:t>1</w:t>
      </w:r>
      <w:r>
        <w:rPr>
          <w:rFonts w:hint="eastAsia"/>
          <w:sz w:val="21"/>
          <w:szCs w:val="21"/>
        </w:rPr>
        <w:t>款发出的开工通知中写明的开工日期。</w:t>
      </w:r>
    </w:p>
    <w:p w14:paraId="5921BFB3">
      <w:pPr>
        <w:pStyle w:val="319"/>
        <w:ind w:firstLine="420"/>
        <w:rPr>
          <w:rFonts w:cs="Times New Roman"/>
          <w:sz w:val="21"/>
          <w:szCs w:val="21"/>
        </w:rPr>
      </w:pPr>
      <w:r>
        <w:rPr>
          <w:sz w:val="21"/>
          <w:szCs w:val="21"/>
          <w:lang w:val="en-US"/>
        </w:rPr>
        <w:t>1.1.4.3</w:t>
      </w:r>
      <w:r>
        <w:rPr>
          <w:rFonts w:hint="eastAsia"/>
          <w:sz w:val="21"/>
          <w:szCs w:val="21"/>
        </w:rPr>
        <w:t>工期：指承包人在磋商函中承诺的完成合同工程所需的期限，包括按第</w:t>
      </w:r>
      <w:r>
        <w:rPr>
          <w:sz w:val="21"/>
          <w:szCs w:val="21"/>
          <w:lang w:val="en-US"/>
        </w:rPr>
        <w:t xml:space="preserve">11.3 </w:t>
      </w:r>
      <w:r>
        <w:rPr>
          <w:rFonts w:hint="eastAsia"/>
          <w:sz w:val="21"/>
          <w:szCs w:val="21"/>
        </w:rPr>
        <w:t>款、第</w:t>
      </w:r>
      <w:r>
        <w:rPr>
          <w:sz w:val="21"/>
          <w:szCs w:val="21"/>
          <w:lang w:val="en-US"/>
        </w:rPr>
        <w:t xml:space="preserve">11. </w:t>
      </w:r>
      <w:r>
        <w:rPr>
          <w:sz w:val="21"/>
          <w:szCs w:val="21"/>
        </w:rPr>
        <w:t>4</w:t>
      </w:r>
      <w:r>
        <w:rPr>
          <w:rFonts w:hint="eastAsia"/>
          <w:sz w:val="21"/>
          <w:szCs w:val="21"/>
        </w:rPr>
        <w:t>款和第</w:t>
      </w:r>
      <w:r>
        <w:rPr>
          <w:sz w:val="21"/>
          <w:szCs w:val="21"/>
          <w:lang w:val="en-US"/>
        </w:rPr>
        <w:t xml:space="preserve">11. </w:t>
      </w:r>
      <w:r>
        <w:rPr>
          <w:sz w:val="21"/>
          <w:szCs w:val="21"/>
        </w:rPr>
        <w:t>6</w:t>
      </w:r>
      <w:r>
        <w:rPr>
          <w:rFonts w:hint="eastAsia"/>
          <w:sz w:val="21"/>
          <w:szCs w:val="21"/>
        </w:rPr>
        <w:t>款约定所作的变更。</w:t>
      </w:r>
    </w:p>
    <w:p w14:paraId="221CB63E">
      <w:pPr>
        <w:pStyle w:val="319"/>
        <w:tabs>
          <w:tab w:val="left" w:pos="949"/>
        </w:tabs>
        <w:ind w:firstLine="447" w:firstLineChars="213"/>
        <w:rPr>
          <w:rFonts w:cs="Times New Roman"/>
          <w:sz w:val="21"/>
          <w:szCs w:val="21"/>
        </w:rPr>
      </w:pPr>
      <w:bookmarkStart w:id="175" w:name="bookmark899"/>
      <w:bookmarkEnd w:id="175"/>
      <w:r>
        <w:rPr>
          <w:sz w:val="21"/>
          <w:szCs w:val="21"/>
          <w:lang w:val="en-US"/>
        </w:rPr>
        <w:t xml:space="preserve">1.1.4.4  </w:t>
      </w:r>
      <w:r>
        <w:rPr>
          <w:rFonts w:hint="eastAsia"/>
          <w:sz w:val="21"/>
          <w:szCs w:val="21"/>
        </w:rPr>
        <w:t>竣工日期：即合同工程完工日期，指第</w:t>
      </w:r>
      <w:r>
        <w:rPr>
          <w:sz w:val="21"/>
          <w:szCs w:val="21"/>
          <w:lang w:val="en-US"/>
        </w:rPr>
        <w:t xml:space="preserve">1.1. 4. </w:t>
      </w:r>
      <w:r>
        <w:rPr>
          <w:sz w:val="21"/>
          <w:szCs w:val="21"/>
        </w:rPr>
        <w:t>3</w:t>
      </w:r>
      <w:r>
        <w:rPr>
          <w:rFonts w:hint="eastAsia"/>
          <w:sz w:val="21"/>
          <w:szCs w:val="21"/>
        </w:rPr>
        <w:t>目约定工期届满时的日期。</w:t>
      </w:r>
      <w:r>
        <w:rPr>
          <w:sz w:val="21"/>
          <w:szCs w:val="21"/>
        </w:rPr>
        <w:t xml:space="preserve"> </w:t>
      </w:r>
      <w:r>
        <w:rPr>
          <w:rFonts w:hint="eastAsia"/>
          <w:sz w:val="21"/>
          <w:szCs w:val="21"/>
        </w:rPr>
        <w:t>实际完工时间以合同工程完工证书中写明的日期为准。</w:t>
      </w:r>
    </w:p>
    <w:p w14:paraId="58B468E8">
      <w:pPr>
        <w:pStyle w:val="319"/>
        <w:tabs>
          <w:tab w:val="left" w:pos="954"/>
        </w:tabs>
        <w:ind w:firstLine="447" w:firstLineChars="213"/>
        <w:rPr>
          <w:rFonts w:cs="Times New Roman"/>
          <w:sz w:val="21"/>
          <w:szCs w:val="21"/>
        </w:rPr>
      </w:pPr>
      <w:bookmarkStart w:id="176" w:name="bookmark900"/>
      <w:bookmarkEnd w:id="176"/>
      <w:r>
        <w:rPr>
          <w:sz w:val="21"/>
          <w:szCs w:val="21"/>
          <w:lang w:val="en-US"/>
        </w:rPr>
        <w:t xml:space="preserve">1.1.4.5  </w:t>
      </w:r>
      <w:r>
        <w:rPr>
          <w:rFonts w:hint="eastAsia"/>
          <w:sz w:val="21"/>
          <w:szCs w:val="21"/>
        </w:rPr>
        <w:t>缺陷责任期：即工程质量保修期，指履行第</w:t>
      </w:r>
      <w:r>
        <w:rPr>
          <w:sz w:val="21"/>
          <w:szCs w:val="21"/>
          <w:lang w:val="en-US"/>
        </w:rPr>
        <w:t>19.2</w:t>
      </w:r>
      <w:r>
        <w:rPr>
          <w:rFonts w:hint="eastAsia"/>
          <w:sz w:val="21"/>
          <w:szCs w:val="21"/>
        </w:rPr>
        <w:t>款约定的缺陷责任的期限</w:t>
      </w:r>
      <w:r>
        <w:rPr>
          <w:sz w:val="21"/>
          <w:szCs w:val="21"/>
        </w:rPr>
        <w:t xml:space="preserve">, </w:t>
      </w:r>
      <w:r>
        <w:rPr>
          <w:rFonts w:hint="eastAsia"/>
          <w:sz w:val="21"/>
          <w:szCs w:val="21"/>
        </w:rPr>
        <w:t>包括根据第</w:t>
      </w:r>
      <w:r>
        <w:rPr>
          <w:sz w:val="21"/>
          <w:szCs w:val="21"/>
          <w:lang w:val="en-US"/>
        </w:rPr>
        <w:t xml:space="preserve">19. </w:t>
      </w:r>
      <w:r>
        <w:rPr>
          <w:sz w:val="21"/>
          <w:szCs w:val="21"/>
        </w:rPr>
        <w:t>3</w:t>
      </w:r>
      <w:r>
        <w:rPr>
          <w:rFonts w:hint="eastAsia"/>
          <w:sz w:val="21"/>
          <w:szCs w:val="21"/>
        </w:rPr>
        <w:t>款约定所作的延长，具体期限由专用合同条款约定。</w:t>
      </w:r>
    </w:p>
    <w:p w14:paraId="3E46621E">
      <w:pPr>
        <w:pStyle w:val="319"/>
        <w:ind w:firstLine="420"/>
        <w:rPr>
          <w:rFonts w:cs="Times New Roman"/>
          <w:sz w:val="21"/>
          <w:szCs w:val="21"/>
        </w:rPr>
      </w:pPr>
      <w:r>
        <w:rPr>
          <w:sz w:val="21"/>
          <w:szCs w:val="21"/>
          <w:lang w:val="en-US"/>
        </w:rPr>
        <w:t>1.1.4.6</w:t>
      </w:r>
      <w:r>
        <w:rPr>
          <w:rFonts w:hint="eastAsia"/>
          <w:sz w:val="21"/>
          <w:szCs w:val="21"/>
        </w:rPr>
        <w:t>基准日期：指投标截止时间前</w:t>
      </w:r>
      <w:r>
        <w:rPr>
          <w:sz w:val="21"/>
          <w:szCs w:val="21"/>
        </w:rPr>
        <w:t>28</w:t>
      </w:r>
      <w:r>
        <w:rPr>
          <w:rFonts w:hint="eastAsia"/>
          <w:sz w:val="21"/>
          <w:szCs w:val="21"/>
        </w:rPr>
        <w:t>天的日期。</w:t>
      </w:r>
    </w:p>
    <w:p w14:paraId="3E86FA9E">
      <w:pPr>
        <w:pStyle w:val="319"/>
        <w:ind w:firstLine="420"/>
        <w:rPr>
          <w:rFonts w:cs="Times New Roman"/>
          <w:sz w:val="21"/>
          <w:szCs w:val="21"/>
        </w:rPr>
      </w:pPr>
      <w:r>
        <w:rPr>
          <w:sz w:val="21"/>
          <w:szCs w:val="21"/>
          <w:lang w:val="en-US"/>
        </w:rPr>
        <w:t>1.1.4.7</w:t>
      </w:r>
      <w:r>
        <w:rPr>
          <w:rFonts w:hint="eastAsia"/>
          <w:sz w:val="21"/>
          <w:szCs w:val="21"/>
        </w:rPr>
        <w:t>天：除特别指明外，指日历天。合同中按天计算时间的，开始当天不计入</w:t>
      </w:r>
      <w:r>
        <w:rPr>
          <w:sz w:val="21"/>
          <w:szCs w:val="21"/>
        </w:rPr>
        <w:t xml:space="preserve">, </w:t>
      </w:r>
      <w:r>
        <w:rPr>
          <w:rFonts w:hint="eastAsia"/>
          <w:sz w:val="21"/>
          <w:szCs w:val="21"/>
        </w:rPr>
        <w:t>从次日开始计算。期限最后一天的截止时间为当天</w:t>
      </w:r>
      <w:r>
        <w:rPr>
          <w:sz w:val="21"/>
          <w:szCs w:val="21"/>
        </w:rPr>
        <w:t>24</w:t>
      </w:r>
      <w:r>
        <w:rPr>
          <w:rFonts w:hint="eastAsia"/>
          <w:sz w:val="21"/>
          <w:szCs w:val="21"/>
        </w:rPr>
        <w:t>：</w:t>
      </w:r>
      <w:r>
        <w:rPr>
          <w:sz w:val="21"/>
          <w:szCs w:val="21"/>
          <w:lang w:val="en-US"/>
        </w:rPr>
        <w:t>00</w:t>
      </w:r>
      <w:r>
        <w:rPr>
          <w:sz w:val="21"/>
          <w:szCs w:val="21"/>
          <w:vertAlign w:val="subscript"/>
          <w:lang w:val="en-US"/>
        </w:rPr>
        <w:t>o</w:t>
      </w:r>
    </w:p>
    <w:p w14:paraId="6D13BDD0">
      <w:pPr>
        <w:pStyle w:val="319"/>
        <w:ind w:firstLine="420"/>
        <w:rPr>
          <w:rFonts w:cs="Times New Roman"/>
          <w:sz w:val="21"/>
          <w:szCs w:val="21"/>
        </w:rPr>
      </w:pPr>
      <w:r>
        <w:rPr>
          <w:sz w:val="21"/>
          <w:szCs w:val="21"/>
          <w:lang w:val="en-US"/>
        </w:rPr>
        <w:t>1.1.5</w:t>
      </w:r>
      <w:r>
        <w:rPr>
          <w:rFonts w:hint="eastAsia"/>
          <w:sz w:val="21"/>
          <w:szCs w:val="21"/>
        </w:rPr>
        <w:t>合同价格和费用</w:t>
      </w:r>
    </w:p>
    <w:p w14:paraId="09210B30">
      <w:pPr>
        <w:pStyle w:val="319"/>
        <w:tabs>
          <w:tab w:val="left" w:pos="934"/>
        </w:tabs>
        <w:ind w:firstLine="447" w:firstLineChars="213"/>
        <w:rPr>
          <w:rFonts w:cs="Times New Roman"/>
          <w:sz w:val="21"/>
          <w:szCs w:val="21"/>
        </w:rPr>
      </w:pPr>
      <w:bookmarkStart w:id="177" w:name="bookmark901"/>
      <w:bookmarkEnd w:id="177"/>
      <w:r>
        <w:rPr>
          <w:sz w:val="21"/>
          <w:szCs w:val="21"/>
          <w:lang w:val="en-US"/>
        </w:rPr>
        <w:t>1.1.5.1</w:t>
      </w:r>
      <w:r>
        <w:rPr>
          <w:rFonts w:hint="eastAsia"/>
          <w:sz w:val="21"/>
          <w:szCs w:val="21"/>
        </w:rPr>
        <w:t>签约合同价：指签定合同时合同协议书中写明的，包括了暂列金额、暂估价的合同总金额。</w:t>
      </w:r>
    </w:p>
    <w:p w14:paraId="523E3540">
      <w:pPr>
        <w:pStyle w:val="319"/>
        <w:tabs>
          <w:tab w:val="left" w:pos="954"/>
        </w:tabs>
        <w:ind w:firstLine="447" w:firstLineChars="213"/>
        <w:rPr>
          <w:rFonts w:cs="Times New Roman"/>
          <w:sz w:val="21"/>
          <w:szCs w:val="21"/>
        </w:rPr>
      </w:pPr>
      <w:bookmarkStart w:id="178" w:name="bookmark902"/>
      <w:bookmarkEnd w:id="178"/>
      <w:r>
        <w:rPr>
          <w:sz w:val="21"/>
          <w:szCs w:val="21"/>
        </w:rPr>
        <w:t>1.1.5.2</w:t>
      </w:r>
      <w:r>
        <w:rPr>
          <w:rFonts w:hint="eastAsia"/>
          <w:sz w:val="21"/>
          <w:szCs w:val="21"/>
        </w:rPr>
        <w:t>合同价格：指承包人按合同约定完成了包括缺陷责任期内的全部承包工作后，发包人应付给承包人的金额，包括在履行合同过程中按合同约定进行的变更和调整。</w:t>
      </w:r>
    </w:p>
    <w:p w14:paraId="2C59AA40">
      <w:pPr>
        <w:pStyle w:val="319"/>
        <w:tabs>
          <w:tab w:val="left" w:pos="954"/>
        </w:tabs>
        <w:ind w:firstLine="447" w:firstLineChars="213"/>
        <w:rPr>
          <w:rFonts w:cs="Times New Roman"/>
          <w:sz w:val="21"/>
          <w:szCs w:val="21"/>
        </w:rPr>
      </w:pPr>
      <w:bookmarkStart w:id="179" w:name="bookmark903"/>
      <w:bookmarkEnd w:id="179"/>
      <w:r>
        <w:rPr>
          <w:sz w:val="21"/>
          <w:szCs w:val="21"/>
        </w:rPr>
        <w:t>1.1.5.3</w:t>
      </w:r>
      <w:r>
        <w:rPr>
          <w:rFonts w:hint="eastAsia"/>
          <w:sz w:val="21"/>
          <w:szCs w:val="21"/>
        </w:rPr>
        <w:t>费用：指为履行合同所发生的或将要发生的所有合理开支，包括管理费和应分摊的其他费用，但不包括利润。</w:t>
      </w:r>
    </w:p>
    <w:p w14:paraId="7BBFA193">
      <w:pPr>
        <w:pStyle w:val="319"/>
        <w:ind w:firstLine="440"/>
        <w:rPr>
          <w:rFonts w:cs="Times New Roman"/>
          <w:sz w:val="21"/>
          <w:szCs w:val="21"/>
        </w:rPr>
      </w:pPr>
      <w:r>
        <w:rPr>
          <w:sz w:val="21"/>
          <w:szCs w:val="21"/>
          <w:lang w:val="en-US"/>
        </w:rPr>
        <w:t>1.1.5.4</w:t>
      </w:r>
      <w:r>
        <w:rPr>
          <w:rFonts w:hint="eastAsia"/>
          <w:sz w:val="21"/>
          <w:szCs w:val="21"/>
        </w:rPr>
        <w:t>暂列金额：指已标价工程量清单中所列的暂列金额，用于在签订协议书时尚</w:t>
      </w:r>
      <w:r>
        <w:rPr>
          <w:sz w:val="21"/>
          <w:szCs w:val="21"/>
        </w:rPr>
        <w:t xml:space="preserve"> </w:t>
      </w:r>
      <w:r>
        <w:rPr>
          <w:rFonts w:hint="eastAsia"/>
          <w:sz w:val="21"/>
          <w:szCs w:val="21"/>
        </w:rPr>
        <w:t>未确定或不可预见变更的施工及其所需材料、工程设备、服务等的金额，包括以计日工方式支付的金额。</w:t>
      </w:r>
    </w:p>
    <w:p w14:paraId="62995441">
      <w:pPr>
        <w:pStyle w:val="319"/>
        <w:ind w:firstLine="440"/>
        <w:rPr>
          <w:rFonts w:cs="Times New Roman"/>
          <w:sz w:val="21"/>
          <w:szCs w:val="21"/>
        </w:rPr>
      </w:pPr>
      <w:r>
        <w:rPr>
          <w:sz w:val="21"/>
          <w:szCs w:val="21"/>
          <w:lang w:val="en-US"/>
        </w:rPr>
        <w:t>1. 1.5.5</w:t>
      </w:r>
      <w:r>
        <w:rPr>
          <w:rFonts w:hint="eastAsia"/>
          <w:sz w:val="21"/>
          <w:szCs w:val="21"/>
        </w:rPr>
        <w:t>暂估价：指发包人在工程量清单中给定的用于支付必然发生但暂时不能确定价格的材料、设备以及专业工程的金额。</w:t>
      </w:r>
    </w:p>
    <w:p w14:paraId="3EB6C76D">
      <w:pPr>
        <w:pStyle w:val="319"/>
        <w:ind w:firstLine="440"/>
        <w:rPr>
          <w:rFonts w:cs="Times New Roman"/>
          <w:sz w:val="21"/>
          <w:szCs w:val="21"/>
        </w:rPr>
      </w:pPr>
      <w:bookmarkStart w:id="180" w:name="bookmark904"/>
      <w:bookmarkEnd w:id="180"/>
      <w:r>
        <w:rPr>
          <w:sz w:val="21"/>
          <w:szCs w:val="21"/>
          <w:lang w:val="en-US"/>
        </w:rPr>
        <w:t>1.1.5. 6</w:t>
      </w:r>
      <w:r>
        <w:rPr>
          <w:rFonts w:hint="eastAsia"/>
          <w:sz w:val="21"/>
          <w:szCs w:val="21"/>
        </w:rPr>
        <w:t>计日工：指对零星工作采取的一种计价方式，按合同中的计日工子目及其单</w:t>
      </w:r>
      <w:r>
        <w:rPr>
          <w:sz w:val="21"/>
          <w:szCs w:val="21"/>
        </w:rPr>
        <w:t xml:space="preserve"> </w:t>
      </w:r>
      <w:r>
        <w:rPr>
          <w:rFonts w:hint="eastAsia"/>
          <w:sz w:val="21"/>
          <w:szCs w:val="21"/>
        </w:rPr>
        <w:t>价计价付款。</w:t>
      </w:r>
    </w:p>
    <w:p w14:paraId="7678ADC4">
      <w:pPr>
        <w:pStyle w:val="319"/>
        <w:spacing w:after="140"/>
        <w:ind w:firstLine="440"/>
        <w:rPr>
          <w:rFonts w:cs="Times New Roman"/>
          <w:sz w:val="21"/>
          <w:szCs w:val="21"/>
        </w:rPr>
      </w:pPr>
      <w:r>
        <w:rPr>
          <w:sz w:val="21"/>
          <w:szCs w:val="21"/>
          <w:lang w:val="en-US"/>
        </w:rPr>
        <w:t>1.1.5.7</w:t>
      </w:r>
      <w:r>
        <w:rPr>
          <w:rFonts w:hint="eastAsia"/>
          <w:sz w:val="21"/>
          <w:szCs w:val="21"/>
        </w:rPr>
        <w:t>质量保证金</w:t>
      </w:r>
      <w:r>
        <w:rPr>
          <w:sz w:val="21"/>
          <w:szCs w:val="21"/>
        </w:rPr>
        <w:t>(</w:t>
      </w:r>
      <w:r>
        <w:rPr>
          <w:rFonts w:hint="eastAsia"/>
          <w:sz w:val="21"/>
          <w:szCs w:val="21"/>
        </w:rPr>
        <w:t>或称保留金</w:t>
      </w:r>
      <w:r>
        <w:rPr>
          <w:sz w:val="21"/>
          <w:szCs w:val="21"/>
        </w:rPr>
        <w:t>)</w:t>
      </w:r>
      <w:r>
        <w:rPr>
          <w:rFonts w:hint="eastAsia"/>
          <w:sz w:val="21"/>
          <w:szCs w:val="21"/>
        </w:rPr>
        <w:t>：指按第</w:t>
      </w:r>
      <w:r>
        <w:rPr>
          <w:sz w:val="21"/>
          <w:szCs w:val="21"/>
          <w:lang w:val="en-US"/>
        </w:rPr>
        <w:t>17.4.1</w:t>
      </w:r>
      <w:r>
        <w:rPr>
          <w:rFonts w:hint="eastAsia"/>
          <w:sz w:val="21"/>
          <w:szCs w:val="21"/>
        </w:rPr>
        <w:t>项约定用于保证在缺陷责任期内履行缺陷修复义务的金额。</w:t>
      </w:r>
    </w:p>
    <w:p w14:paraId="06D8C6D3">
      <w:pPr>
        <w:pStyle w:val="320"/>
        <w:spacing w:after="0" w:line="360" w:lineRule="auto"/>
        <w:ind w:firstLine="440"/>
        <w:rPr>
          <w:rFonts w:ascii="宋体" w:cs="宋体"/>
          <w:sz w:val="21"/>
          <w:szCs w:val="21"/>
        </w:rPr>
      </w:pPr>
      <w:r>
        <w:rPr>
          <w:rFonts w:ascii="宋体" w:hAnsi="宋体" w:cs="宋体"/>
          <w:sz w:val="21"/>
          <w:szCs w:val="21"/>
        </w:rPr>
        <w:t>1.1.6</w:t>
      </w:r>
      <w:r>
        <w:rPr>
          <w:rFonts w:hint="eastAsia" w:ascii="宋体" w:hAnsi="宋体" w:cs="宋体"/>
          <w:sz w:val="21"/>
          <w:szCs w:val="21"/>
          <w:lang w:val="zh-CN"/>
        </w:rPr>
        <w:t>其他</w:t>
      </w:r>
    </w:p>
    <w:p w14:paraId="7C861FAC">
      <w:pPr>
        <w:pStyle w:val="319"/>
        <w:tabs>
          <w:tab w:val="left" w:pos="954"/>
        </w:tabs>
        <w:spacing w:after="140"/>
        <w:ind w:left="440" w:firstLine="0"/>
        <w:rPr>
          <w:rFonts w:cs="Times New Roman"/>
          <w:sz w:val="21"/>
          <w:szCs w:val="21"/>
        </w:rPr>
      </w:pPr>
      <w:bookmarkStart w:id="181" w:name="bookmark905"/>
      <w:bookmarkEnd w:id="181"/>
      <w:r>
        <w:rPr>
          <w:sz w:val="21"/>
          <w:szCs w:val="21"/>
          <w:lang w:val="en-US"/>
        </w:rPr>
        <w:t>1.1.6.1</w:t>
      </w:r>
      <w:r>
        <w:rPr>
          <w:rFonts w:hint="eastAsia"/>
          <w:sz w:val="21"/>
          <w:szCs w:val="21"/>
        </w:rPr>
        <w:t>书面形式：指合同文件、信函、电报、传真等可以有形地表现所载内容的形式。</w:t>
      </w:r>
    </w:p>
    <w:p w14:paraId="55EB5C7C">
      <w:pPr>
        <w:pStyle w:val="318"/>
        <w:spacing w:line="360" w:lineRule="auto"/>
        <w:rPr>
          <w:rFonts w:ascii="宋体" w:cs="宋体"/>
          <w:sz w:val="21"/>
          <w:szCs w:val="21"/>
        </w:rPr>
      </w:pPr>
      <w:bookmarkStart w:id="182" w:name="_Toc16626"/>
      <w:bookmarkStart w:id="183" w:name="_Toc29848"/>
      <w:bookmarkStart w:id="184" w:name="bookmark906"/>
      <w:bookmarkStart w:id="185" w:name="bookmark907"/>
      <w:bookmarkStart w:id="186" w:name="_Toc256000008"/>
      <w:bookmarkStart w:id="187" w:name="_Toc256000258"/>
      <w:bookmarkStart w:id="188" w:name="_Toc6385"/>
      <w:bookmarkStart w:id="189" w:name="_Toc27329"/>
      <w:bookmarkStart w:id="190" w:name="bookmark908"/>
      <w:r>
        <w:rPr>
          <w:rFonts w:ascii="宋体" w:hAnsi="宋体" w:cs="宋体"/>
          <w:sz w:val="21"/>
          <w:szCs w:val="21"/>
        </w:rPr>
        <w:t>1.2</w:t>
      </w:r>
      <w:r>
        <w:rPr>
          <w:rFonts w:hint="eastAsia" w:ascii="宋体" w:hAnsi="宋体" w:cs="宋体"/>
          <w:sz w:val="21"/>
          <w:szCs w:val="21"/>
        </w:rPr>
        <w:t>语言文字</w:t>
      </w:r>
      <w:bookmarkEnd w:id="182"/>
      <w:bookmarkEnd w:id="183"/>
      <w:bookmarkEnd w:id="184"/>
      <w:bookmarkEnd w:id="185"/>
      <w:bookmarkEnd w:id="186"/>
      <w:bookmarkEnd w:id="187"/>
      <w:bookmarkEnd w:id="188"/>
      <w:bookmarkEnd w:id="189"/>
      <w:bookmarkEnd w:id="190"/>
    </w:p>
    <w:p w14:paraId="4C67C45F">
      <w:pPr>
        <w:pStyle w:val="319"/>
        <w:spacing w:after="140"/>
        <w:ind w:firstLine="420"/>
        <w:rPr>
          <w:rFonts w:cs="Times New Roman"/>
          <w:sz w:val="21"/>
          <w:szCs w:val="21"/>
        </w:rPr>
      </w:pPr>
      <w:r>
        <w:rPr>
          <w:rFonts w:hint="eastAsia"/>
          <w:sz w:val="21"/>
          <w:szCs w:val="21"/>
        </w:rPr>
        <w:t>除专用术语外，合同使用的语言文字为中文。必要时专用术语应附有中文注释。</w:t>
      </w:r>
    </w:p>
    <w:p w14:paraId="75A71FF2">
      <w:pPr>
        <w:pStyle w:val="318"/>
        <w:spacing w:line="360" w:lineRule="auto"/>
        <w:rPr>
          <w:rFonts w:ascii="宋体" w:cs="宋体"/>
          <w:sz w:val="21"/>
          <w:szCs w:val="21"/>
        </w:rPr>
      </w:pPr>
      <w:bookmarkStart w:id="191" w:name="_Toc1008"/>
      <w:bookmarkStart w:id="192" w:name="_Toc256000259"/>
      <w:bookmarkStart w:id="193" w:name="_Toc256000009"/>
      <w:bookmarkStart w:id="194" w:name="_Toc21197"/>
      <w:bookmarkStart w:id="195" w:name="bookmark910"/>
      <w:bookmarkStart w:id="196" w:name="bookmark911"/>
      <w:bookmarkStart w:id="197" w:name="_Toc7852"/>
      <w:bookmarkStart w:id="198" w:name="_Toc24132"/>
      <w:bookmarkStart w:id="199" w:name="bookmark909"/>
      <w:r>
        <w:rPr>
          <w:rFonts w:ascii="宋体" w:hAnsi="宋体" w:cs="宋体"/>
          <w:sz w:val="21"/>
          <w:szCs w:val="21"/>
        </w:rPr>
        <w:t>1.3</w:t>
      </w:r>
      <w:r>
        <w:rPr>
          <w:rFonts w:hint="eastAsia" w:ascii="宋体" w:hAnsi="宋体" w:cs="宋体"/>
          <w:sz w:val="21"/>
          <w:szCs w:val="21"/>
        </w:rPr>
        <w:t>法律</w:t>
      </w:r>
      <w:bookmarkEnd w:id="191"/>
      <w:bookmarkEnd w:id="192"/>
      <w:bookmarkEnd w:id="193"/>
      <w:bookmarkEnd w:id="194"/>
      <w:bookmarkEnd w:id="195"/>
      <w:bookmarkEnd w:id="196"/>
      <w:bookmarkEnd w:id="197"/>
      <w:bookmarkEnd w:id="198"/>
      <w:bookmarkEnd w:id="199"/>
    </w:p>
    <w:p w14:paraId="64AD498C">
      <w:pPr>
        <w:pStyle w:val="319"/>
        <w:spacing w:after="140"/>
        <w:ind w:firstLine="440"/>
        <w:rPr>
          <w:rFonts w:cs="Times New Roman"/>
          <w:sz w:val="21"/>
          <w:szCs w:val="21"/>
        </w:rPr>
      </w:pPr>
      <w:r>
        <w:rPr>
          <w:rFonts w:hint="eastAsia"/>
          <w:sz w:val="21"/>
          <w:szCs w:val="21"/>
        </w:rPr>
        <w:t>适用于合同的法律包括中华人民共和国法律、行政法规、部门规章，以及工程所在地的地方法规、自治条例、单行条例和地方政府规章。</w:t>
      </w:r>
    </w:p>
    <w:p w14:paraId="581E46D3">
      <w:pPr>
        <w:pStyle w:val="318"/>
        <w:spacing w:line="360" w:lineRule="auto"/>
        <w:rPr>
          <w:rFonts w:ascii="宋体" w:cs="宋体"/>
          <w:sz w:val="21"/>
          <w:szCs w:val="21"/>
        </w:rPr>
      </w:pPr>
      <w:bookmarkStart w:id="200" w:name="_Toc32102"/>
      <w:bookmarkStart w:id="201" w:name="bookmark912"/>
      <w:bookmarkStart w:id="202" w:name="_Toc256000010"/>
      <w:bookmarkStart w:id="203" w:name="_Toc27599"/>
      <w:bookmarkStart w:id="204" w:name="_Toc17203"/>
      <w:bookmarkStart w:id="205" w:name="bookmark914"/>
      <w:bookmarkStart w:id="206" w:name="_Toc256000260"/>
      <w:bookmarkStart w:id="207" w:name="_Toc17089"/>
      <w:bookmarkStart w:id="208" w:name="bookmark913"/>
      <w:r>
        <w:rPr>
          <w:rFonts w:ascii="宋体" w:hAnsi="宋体" w:cs="宋体"/>
          <w:sz w:val="21"/>
          <w:szCs w:val="21"/>
        </w:rPr>
        <w:t>1.4</w:t>
      </w:r>
      <w:r>
        <w:rPr>
          <w:rFonts w:hint="eastAsia" w:ascii="宋体" w:hAnsi="宋体" w:cs="宋体"/>
          <w:sz w:val="21"/>
          <w:szCs w:val="21"/>
        </w:rPr>
        <w:t>合同文件的优先顺序</w:t>
      </w:r>
      <w:bookmarkEnd w:id="200"/>
      <w:bookmarkEnd w:id="201"/>
      <w:bookmarkEnd w:id="202"/>
      <w:bookmarkEnd w:id="203"/>
      <w:bookmarkEnd w:id="204"/>
      <w:bookmarkEnd w:id="205"/>
      <w:bookmarkEnd w:id="206"/>
      <w:bookmarkEnd w:id="207"/>
      <w:bookmarkEnd w:id="208"/>
    </w:p>
    <w:p w14:paraId="5FDC0A62">
      <w:pPr>
        <w:pStyle w:val="319"/>
        <w:spacing w:after="140"/>
        <w:ind w:firstLine="440"/>
        <w:rPr>
          <w:rFonts w:cs="Times New Roman"/>
          <w:sz w:val="21"/>
          <w:szCs w:val="21"/>
        </w:rPr>
      </w:pPr>
      <w:r>
        <w:rPr>
          <w:rFonts w:hint="eastAsia"/>
          <w:sz w:val="21"/>
          <w:szCs w:val="21"/>
        </w:rPr>
        <w:t>组成合同的各项文件应互相解释，互为说明。除专用合同条款另有约定外，解释合同文件的优先顺序如下：</w:t>
      </w:r>
    </w:p>
    <w:p w14:paraId="2139B7E5">
      <w:pPr>
        <w:pStyle w:val="319"/>
        <w:numPr>
          <w:ilvl w:val="0"/>
          <w:numId w:val="1"/>
        </w:numPr>
        <w:tabs>
          <w:tab w:val="left" w:pos="923"/>
        </w:tabs>
        <w:ind w:firstLine="440"/>
        <w:rPr>
          <w:rFonts w:cs="Times New Roman"/>
          <w:sz w:val="21"/>
          <w:szCs w:val="21"/>
        </w:rPr>
      </w:pPr>
      <w:bookmarkStart w:id="209" w:name="bookmark915"/>
      <w:bookmarkEnd w:id="209"/>
      <w:r>
        <w:rPr>
          <w:rFonts w:hint="eastAsia"/>
          <w:sz w:val="21"/>
          <w:szCs w:val="21"/>
        </w:rPr>
        <w:t>合同协议书；</w:t>
      </w:r>
    </w:p>
    <w:p w14:paraId="4D583BF0">
      <w:pPr>
        <w:pStyle w:val="319"/>
        <w:numPr>
          <w:ilvl w:val="0"/>
          <w:numId w:val="1"/>
        </w:numPr>
        <w:tabs>
          <w:tab w:val="left" w:pos="923"/>
        </w:tabs>
        <w:ind w:firstLine="440"/>
        <w:rPr>
          <w:rFonts w:cs="Times New Roman"/>
          <w:sz w:val="21"/>
          <w:szCs w:val="21"/>
        </w:rPr>
      </w:pPr>
      <w:bookmarkStart w:id="210" w:name="bookmark916"/>
      <w:bookmarkEnd w:id="210"/>
      <w:r>
        <w:rPr>
          <w:rFonts w:hint="eastAsia"/>
          <w:sz w:val="21"/>
          <w:szCs w:val="21"/>
        </w:rPr>
        <w:t>成交通知书；</w:t>
      </w:r>
    </w:p>
    <w:p w14:paraId="6E1D8709">
      <w:pPr>
        <w:pStyle w:val="319"/>
        <w:numPr>
          <w:ilvl w:val="0"/>
          <w:numId w:val="1"/>
        </w:numPr>
        <w:tabs>
          <w:tab w:val="left" w:pos="903"/>
        </w:tabs>
        <w:ind w:firstLine="420"/>
        <w:rPr>
          <w:rFonts w:cs="Times New Roman"/>
          <w:sz w:val="21"/>
          <w:szCs w:val="21"/>
        </w:rPr>
      </w:pPr>
      <w:bookmarkStart w:id="211" w:name="bookmark917"/>
      <w:bookmarkEnd w:id="211"/>
      <w:r>
        <w:rPr>
          <w:rFonts w:hint="eastAsia"/>
          <w:sz w:val="21"/>
          <w:szCs w:val="21"/>
        </w:rPr>
        <w:t>磋商函及磋商函附录；</w:t>
      </w:r>
    </w:p>
    <w:p w14:paraId="359B470C">
      <w:pPr>
        <w:pStyle w:val="319"/>
        <w:numPr>
          <w:ilvl w:val="0"/>
          <w:numId w:val="1"/>
        </w:numPr>
        <w:tabs>
          <w:tab w:val="left" w:pos="903"/>
        </w:tabs>
        <w:ind w:firstLine="420"/>
        <w:rPr>
          <w:rFonts w:cs="Times New Roman"/>
          <w:sz w:val="21"/>
          <w:szCs w:val="21"/>
        </w:rPr>
      </w:pPr>
      <w:bookmarkStart w:id="212" w:name="bookmark918"/>
      <w:bookmarkEnd w:id="212"/>
      <w:r>
        <w:rPr>
          <w:rFonts w:hint="eastAsia"/>
          <w:sz w:val="21"/>
          <w:szCs w:val="21"/>
        </w:rPr>
        <w:t>专用合同条款；</w:t>
      </w:r>
    </w:p>
    <w:p w14:paraId="64DD7527">
      <w:pPr>
        <w:pStyle w:val="319"/>
        <w:numPr>
          <w:ilvl w:val="0"/>
          <w:numId w:val="1"/>
        </w:numPr>
        <w:tabs>
          <w:tab w:val="left" w:pos="903"/>
        </w:tabs>
        <w:ind w:firstLine="420"/>
        <w:rPr>
          <w:rFonts w:cs="Times New Roman"/>
          <w:sz w:val="21"/>
          <w:szCs w:val="21"/>
        </w:rPr>
      </w:pPr>
      <w:bookmarkStart w:id="213" w:name="bookmark919"/>
      <w:bookmarkEnd w:id="213"/>
      <w:r>
        <w:rPr>
          <w:rFonts w:hint="eastAsia"/>
          <w:sz w:val="21"/>
          <w:szCs w:val="21"/>
        </w:rPr>
        <w:t>通用合同条款；</w:t>
      </w:r>
    </w:p>
    <w:p w14:paraId="5420DAA0">
      <w:pPr>
        <w:pStyle w:val="319"/>
        <w:numPr>
          <w:ilvl w:val="0"/>
          <w:numId w:val="1"/>
        </w:numPr>
        <w:tabs>
          <w:tab w:val="left" w:pos="903"/>
        </w:tabs>
        <w:ind w:firstLine="420"/>
        <w:rPr>
          <w:rFonts w:cs="Times New Roman"/>
          <w:sz w:val="21"/>
          <w:szCs w:val="21"/>
        </w:rPr>
      </w:pPr>
      <w:bookmarkStart w:id="214" w:name="bookmark920"/>
      <w:bookmarkEnd w:id="214"/>
      <w:r>
        <w:rPr>
          <w:rFonts w:hint="eastAsia"/>
          <w:sz w:val="21"/>
          <w:szCs w:val="21"/>
        </w:rPr>
        <w:t>技术标准和要求；</w:t>
      </w:r>
    </w:p>
    <w:p w14:paraId="7DDB0501">
      <w:pPr>
        <w:pStyle w:val="319"/>
        <w:numPr>
          <w:ilvl w:val="0"/>
          <w:numId w:val="1"/>
        </w:numPr>
        <w:tabs>
          <w:tab w:val="left" w:pos="903"/>
        </w:tabs>
        <w:ind w:firstLine="420"/>
        <w:rPr>
          <w:rFonts w:cs="Times New Roman"/>
          <w:sz w:val="21"/>
          <w:szCs w:val="21"/>
        </w:rPr>
      </w:pPr>
      <w:bookmarkStart w:id="215" w:name="bookmark921"/>
      <w:bookmarkEnd w:id="215"/>
      <w:r>
        <w:rPr>
          <w:rFonts w:hint="eastAsia"/>
          <w:sz w:val="21"/>
          <w:szCs w:val="21"/>
        </w:rPr>
        <w:t>图纸；</w:t>
      </w:r>
    </w:p>
    <w:p w14:paraId="5ABA2DE6">
      <w:pPr>
        <w:pStyle w:val="319"/>
        <w:numPr>
          <w:ilvl w:val="0"/>
          <w:numId w:val="1"/>
        </w:numPr>
        <w:tabs>
          <w:tab w:val="left" w:pos="903"/>
        </w:tabs>
        <w:ind w:firstLine="420"/>
        <w:rPr>
          <w:rFonts w:cs="Times New Roman"/>
          <w:sz w:val="21"/>
          <w:szCs w:val="21"/>
        </w:rPr>
      </w:pPr>
      <w:bookmarkStart w:id="216" w:name="bookmark922"/>
      <w:bookmarkEnd w:id="216"/>
      <w:r>
        <w:rPr>
          <w:rFonts w:hint="eastAsia"/>
          <w:sz w:val="21"/>
          <w:szCs w:val="21"/>
        </w:rPr>
        <w:t>已标价工程量清单；</w:t>
      </w:r>
    </w:p>
    <w:p w14:paraId="7BA2CF84">
      <w:pPr>
        <w:pStyle w:val="319"/>
        <w:numPr>
          <w:ilvl w:val="0"/>
          <w:numId w:val="1"/>
        </w:numPr>
        <w:tabs>
          <w:tab w:val="left" w:pos="903"/>
        </w:tabs>
        <w:ind w:firstLine="420"/>
        <w:rPr>
          <w:rFonts w:cs="Times New Roman"/>
          <w:sz w:val="21"/>
          <w:szCs w:val="21"/>
        </w:rPr>
      </w:pPr>
      <w:bookmarkStart w:id="217" w:name="bookmark923"/>
      <w:bookmarkEnd w:id="217"/>
      <w:r>
        <w:rPr>
          <w:rFonts w:hint="eastAsia"/>
          <w:sz w:val="21"/>
          <w:szCs w:val="21"/>
        </w:rPr>
        <w:t>其他合同文件。</w:t>
      </w:r>
    </w:p>
    <w:p w14:paraId="24094050">
      <w:pPr>
        <w:pStyle w:val="318"/>
        <w:spacing w:line="360" w:lineRule="auto"/>
        <w:rPr>
          <w:rFonts w:ascii="宋体" w:cs="宋体"/>
          <w:sz w:val="21"/>
          <w:szCs w:val="21"/>
        </w:rPr>
      </w:pPr>
      <w:bookmarkStart w:id="218" w:name="bookmark926"/>
      <w:bookmarkStart w:id="219" w:name="_Toc7690"/>
      <w:bookmarkStart w:id="220" w:name="_Toc11037"/>
      <w:bookmarkStart w:id="221" w:name="_Toc21308"/>
      <w:bookmarkStart w:id="222" w:name="_Toc256000261"/>
      <w:bookmarkStart w:id="223" w:name="_Toc30693"/>
      <w:bookmarkStart w:id="224" w:name="bookmark925"/>
      <w:bookmarkStart w:id="225" w:name="bookmark924"/>
      <w:bookmarkStart w:id="226" w:name="_Toc256000011"/>
      <w:r>
        <w:rPr>
          <w:rFonts w:ascii="宋体" w:hAnsi="宋体" w:cs="宋体"/>
          <w:sz w:val="21"/>
          <w:szCs w:val="21"/>
        </w:rPr>
        <w:t>1.5</w:t>
      </w:r>
      <w:r>
        <w:rPr>
          <w:rFonts w:hint="eastAsia" w:ascii="宋体" w:hAnsi="宋体" w:cs="宋体"/>
          <w:sz w:val="21"/>
          <w:szCs w:val="21"/>
        </w:rPr>
        <w:t>合同协议书</w:t>
      </w:r>
      <w:bookmarkEnd w:id="218"/>
      <w:bookmarkEnd w:id="219"/>
      <w:bookmarkEnd w:id="220"/>
      <w:bookmarkEnd w:id="221"/>
      <w:bookmarkEnd w:id="222"/>
      <w:bookmarkEnd w:id="223"/>
      <w:bookmarkEnd w:id="224"/>
      <w:bookmarkEnd w:id="225"/>
      <w:bookmarkEnd w:id="226"/>
    </w:p>
    <w:p w14:paraId="557C2E37">
      <w:pPr>
        <w:pStyle w:val="319"/>
        <w:spacing w:after="140"/>
        <w:ind w:firstLine="440"/>
        <w:rPr>
          <w:rFonts w:cs="Times New Roman"/>
          <w:sz w:val="21"/>
          <w:szCs w:val="21"/>
        </w:rPr>
      </w:pPr>
      <w:r>
        <w:rPr>
          <w:rFonts w:hint="eastAsia"/>
          <w:sz w:val="21"/>
          <w:szCs w:val="21"/>
        </w:rPr>
        <w:t>承包人按成交通知书规定的时间与发包人签订合同协议书。除法律另有规定或合同另有约定外，发包人和承包人的法定代表人或其委托代理人在合同协议书上签字并盖单位电子公章后，合同生效。</w:t>
      </w:r>
    </w:p>
    <w:p w14:paraId="044A50D9">
      <w:pPr>
        <w:pStyle w:val="318"/>
        <w:spacing w:line="360" w:lineRule="auto"/>
        <w:rPr>
          <w:rFonts w:ascii="宋体" w:cs="宋体"/>
          <w:sz w:val="21"/>
          <w:szCs w:val="21"/>
        </w:rPr>
      </w:pPr>
      <w:bookmarkStart w:id="227" w:name="bookmark928"/>
      <w:bookmarkStart w:id="228" w:name="bookmark927"/>
      <w:bookmarkStart w:id="229" w:name="bookmark929"/>
      <w:bookmarkStart w:id="230" w:name="_Toc14486"/>
      <w:bookmarkStart w:id="231" w:name="_Toc14160"/>
      <w:bookmarkStart w:id="232" w:name="_Toc10434"/>
      <w:bookmarkStart w:id="233" w:name="_Toc32129"/>
      <w:bookmarkStart w:id="234" w:name="_Toc256000012"/>
      <w:bookmarkStart w:id="235" w:name="_Toc256000262"/>
      <w:r>
        <w:rPr>
          <w:rFonts w:ascii="宋体" w:hAnsi="宋体" w:cs="宋体"/>
          <w:sz w:val="21"/>
          <w:szCs w:val="21"/>
        </w:rPr>
        <w:t>1.6</w:t>
      </w:r>
      <w:r>
        <w:rPr>
          <w:rFonts w:hint="eastAsia" w:ascii="宋体" w:hAnsi="宋体" w:cs="宋体"/>
          <w:sz w:val="21"/>
          <w:szCs w:val="21"/>
        </w:rPr>
        <w:t>图纸和承包人文件</w:t>
      </w:r>
      <w:bookmarkEnd w:id="227"/>
      <w:bookmarkEnd w:id="228"/>
      <w:bookmarkEnd w:id="229"/>
      <w:bookmarkEnd w:id="230"/>
      <w:bookmarkEnd w:id="231"/>
      <w:bookmarkEnd w:id="232"/>
      <w:bookmarkEnd w:id="233"/>
      <w:bookmarkEnd w:id="234"/>
      <w:bookmarkEnd w:id="235"/>
    </w:p>
    <w:p w14:paraId="16B951D8">
      <w:pPr>
        <w:pStyle w:val="319"/>
        <w:ind w:firstLine="420"/>
        <w:rPr>
          <w:rFonts w:cs="Times New Roman"/>
          <w:sz w:val="21"/>
          <w:szCs w:val="21"/>
        </w:rPr>
      </w:pPr>
      <w:r>
        <w:rPr>
          <w:sz w:val="21"/>
          <w:szCs w:val="21"/>
          <w:lang w:val="en-US"/>
        </w:rPr>
        <w:t>1.6.1</w:t>
      </w:r>
      <w:r>
        <w:rPr>
          <w:rFonts w:hint="eastAsia"/>
          <w:sz w:val="21"/>
          <w:szCs w:val="21"/>
        </w:rPr>
        <w:t>图纸的提供</w:t>
      </w:r>
    </w:p>
    <w:p w14:paraId="315E804A">
      <w:pPr>
        <w:pStyle w:val="319"/>
        <w:spacing w:after="120"/>
        <w:ind w:firstLine="420"/>
        <w:rPr>
          <w:rFonts w:cs="Times New Roman"/>
          <w:sz w:val="21"/>
          <w:szCs w:val="21"/>
        </w:rPr>
      </w:pPr>
      <w:r>
        <w:rPr>
          <w:rFonts w:hint="eastAsia"/>
          <w:sz w:val="21"/>
          <w:szCs w:val="21"/>
        </w:rPr>
        <w:t>发包人应按技术标准和要求</w:t>
      </w:r>
      <w:r>
        <w:rPr>
          <w:sz w:val="21"/>
          <w:szCs w:val="21"/>
        </w:rPr>
        <w:t>(</w:t>
      </w:r>
      <w:r>
        <w:rPr>
          <w:rFonts w:hint="eastAsia"/>
          <w:sz w:val="21"/>
          <w:szCs w:val="21"/>
        </w:rPr>
        <w:t>合同技术条款</w:t>
      </w:r>
      <w:r>
        <w:rPr>
          <w:sz w:val="21"/>
          <w:szCs w:val="21"/>
        </w:rPr>
        <w:t>)</w:t>
      </w:r>
      <w:r>
        <w:rPr>
          <w:rFonts w:hint="eastAsia"/>
          <w:sz w:val="21"/>
          <w:szCs w:val="21"/>
        </w:rPr>
        <w:t>约定的期限和数量将施工图纸以及其它图纸（包括配套说明和有关资料）提供给承包人。由于发包人未按时提供图纸造成工期延误的，按第</w:t>
      </w:r>
      <w:r>
        <w:rPr>
          <w:sz w:val="21"/>
          <w:szCs w:val="21"/>
          <w:lang w:val="en-US"/>
        </w:rPr>
        <w:t xml:space="preserve">11. </w:t>
      </w:r>
      <w:r>
        <w:rPr>
          <w:sz w:val="21"/>
          <w:szCs w:val="21"/>
        </w:rPr>
        <w:t>3</w:t>
      </w:r>
      <w:r>
        <w:rPr>
          <w:rFonts w:hint="eastAsia"/>
          <w:sz w:val="21"/>
          <w:szCs w:val="21"/>
        </w:rPr>
        <w:t>款的约定办理。</w:t>
      </w:r>
    </w:p>
    <w:p w14:paraId="0F703478">
      <w:pPr>
        <w:pStyle w:val="319"/>
        <w:ind w:firstLine="420"/>
        <w:rPr>
          <w:rFonts w:cs="Times New Roman"/>
          <w:sz w:val="21"/>
          <w:szCs w:val="21"/>
        </w:rPr>
      </w:pPr>
      <w:r>
        <w:rPr>
          <w:sz w:val="21"/>
          <w:szCs w:val="21"/>
          <w:lang w:val="en-US"/>
        </w:rPr>
        <w:t>1.6.</w:t>
      </w:r>
      <w:r>
        <w:rPr>
          <w:sz w:val="21"/>
          <w:szCs w:val="21"/>
        </w:rPr>
        <w:t>2</w:t>
      </w:r>
      <w:r>
        <w:rPr>
          <w:rFonts w:hint="eastAsia"/>
          <w:sz w:val="21"/>
          <w:szCs w:val="21"/>
        </w:rPr>
        <w:t>承包人提供的文件</w:t>
      </w:r>
    </w:p>
    <w:p w14:paraId="441B55C8">
      <w:pPr>
        <w:pStyle w:val="319"/>
        <w:spacing w:after="120"/>
        <w:ind w:firstLine="440"/>
        <w:rPr>
          <w:rFonts w:cs="Times New Roman"/>
          <w:sz w:val="21"/>
          <w:szCs w:val="21"/>
        </w:rPr>
      </w:pPr>
      <w:r>
        <w:rPr>
          <w:rFonts w:hint="eastAsia"/>
          <w:sz w:val="21"/>
          <w:szCs w:val="21"/>
        </w:rPr>
        <w:t>承包人提供的文件应按技术标准和要求（合同技术条款）约定的期限和数量提供给监理人。监理人应按技术标准和要求（合同技术条款）约定的期限批复承包人。</w:t>
      </w:r>
    </w:p>
    <w:p w14:paraId="59FC2379">
      <w:pPr>
        <w:pStyle w:val="319"/>
        <w:ind w:firstLine="420"/>
        <w:rPr>
          <w:rFonts w:cs="Times New Roman"/>
          <w:sz w:val="21"/>
          <w:szCs w:val="21"/>
        </w:rPr>
      </w:pPr>
      <w:r>
        <w:rPr>
          <w:sz w:val="21"/>
          <w:szCs w:val="21"/>
          <w:lang w:val="en-US"/>
        </w:rPr>
        <w:t>1.6.3</w:t>
      </w:r>
      <w:r>
        <w:rPr>
          <w:rFonts w:hint="eastAsia"/>
          <w:sz w:val="21"/>
          <w:szCs w:val="21"/>
        </w:rPr>
        <w:t>图纸的修改</w:t>
      </w:r>
    </w:p>
    <w:p w14:paraId="701E96A1">
      <w:pPr>
        <w:pStyle w:val="319"/>
        <w:spacing w:after="120"/>
        <w:ind w:firstLine="440"/>
        <w:rPr>
          <w:rFonts w:cs="Times New Roman"/>
          <w:sz w:val="21"/>
          <w:szCs w:val="21"/>
        </w:rPr>
      </w:pPr>
      <w:r>
        <w:rPr>
          <w:rFonts w:hint="eastAsia"/>
          <w:sz w:val="21"/>
          <w:szCs w:val="21"/>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8345DE1">
      <w:pPr>
        <w:pStyle w:val="319"/>
        <w:ind w:firstLine="420"/>
        <w:rPr>
          <w:rFonts w:cs="Times New Roman"/>
          <w:sz w:val="21"/>
          <w:szCs w:val="21"/>
        </w:rPr>
      </w:pPr>
      <w:r>
        <w:rPr>
          <w:sz w:val="21"/>
          <w:szCs w:val="21"/>
          <w:lang w:val="en-US"/>
        </w:rPr>
        <w:t>1.6.4</w:t>
      </w:r>
      <w:r>
        <w:rPr>
          <w:rFonts w:hint="eastAsia"/>
          <w:sz w:val="21"/>
          <w:szCs w:val="21"/>
        </w:rPr>
        <w:t>图纸的错误</w:t>
      </w:r>
    </w:p>
    <w:p w14:paraId="34A434B6">
      <w:pPr>
        <w:pStyle w:val="319"/>
        <w:spacing w:after="120"/>
        <w:ind w:firstLine="440"/>
        <w:rPr>
          <w:rFonts w:cs="Times New Roman"/>
          <w:sz w:val="21"/>
          <w:szCs w:val="21"/>
        </w:rPr>
      </w:pPr>
      <w:r>
        <w:rPr>
          <w:rFonts w:hint="eastAsia"/>
          <w:sz w:val="21"/>
          <w:szCs w:val="21"/>
        </w:rPr>
        <w:t>承包人发现发包人提供的图纸存在明显错误或疏忽，应及时通知监理人。</w:t>
      </w:r>
    </w:p>
    <w:p w14:paraId="2D726960">
      <w:pPr>
        <w:pStyle w:val="319"/>
        <w:ind w:firstLine="420"/>
        <w:rPr>
          <w:rFonts w:cs="Times New Roman"/>
          <w:sz w:val="21"/>
          <w:szCs w:val="21"/>
        </w:rPr>
      </w:pPr>
      <w:r>
        <w:rPr>
          <w:sz w:val="21"/>
          <w:szCs w:val="21"/>
          <w:lang w:val="en-US"/>
        </w:rPr>
        <w:t>1.6.5</w:t>
      </w:r>
      <w:r>
        <w:rPr>
          <w:rFonts w:hint="eastAsia"/>
          <w:sz w:val="21"/>
          <w:szCs w:val="21"/>
        </w:rPr>
        <w:t>图纸和承包人文件的保管</w:t>
      </w:r>
    </w:p>
    <w:p w14:paraId="4DD80650">
      <w:pPr>
        <w:pStyle w:val="319"/>
        <w:spacing w:after="180"/>
        <w:ind w:firstLine="440"/>
        <w:rPr>
          <w:rFonts w:cs="Times New Roman"/>
          <w:sz w:val="21"/>
          <w:szCs w:val="21"/>
        </w:rPr>
      </w:pPr>
      <w:r>
        <w:rPr>
          <w:rFonts w:hint="eastAsia"/>
          <w:sz w:val="21"/>
          <w:szCs w:val="21"/>
        </w:rPr>
        <w:t>监理人和承包人均应在施工场地各保存一套完整的包含第</w:t>
      </w:r>
      <w:r>
        <w:rPr>
          <w:sz w:val="21"/>
          <w:szCs w:val="21"/>
          <w:lang w:val="en-US"/>
        </w:rPr>
        <w:t xml:space="preserve">1. 6. </w:t>
      </w:r>
      <w:r>
        <w:rPr>
          <w:sz w:val="21"/>
          <w:szCs w:val="21"/>
        </w:rPr>
        <w:t>1</w:t>
      </w:r>
      <w:r>
        <w:rPr>
          <w:rFonts w:hint="eastAsia"/>
          <w:sz w:val="21"/>
          <w:szCs w:val="21"/>
        </w:rPr>
        <w:t>项、第</w:t>
      </w:r>
      <w:r>
        <w:rPr>
          <w:sz w:val="21"/>
          <w:szCs w:val="21"/>
          <w:lang w:val="en-US"/>
        </w:rPr>
        <w:t>1.6.2</w:t>
      </w:r>
      <w:r>
        <w:rPr>
          <w:rFonts w:hint="eastAsia"/>
          <w:sz w:val="21"/>
          <w:szCs w:val="21"/>
        </w:rPr>
        <w:t>项、第</w:t>
      </w:r>
      <w:r>
        <w:rPr>
          <w:sz w:val="21"/>
          <w:szCs w:val="21"/>
        </w:rPr>
        <w:t xml:space="preserve"> </w:t>
      </w:r>
      <w:r>
        <w:rPr>
          <w:sz w:val="21"/>
          <w:szCs w:val="21"/>
          <w:lang w:val="en-US"/>
        </w:rPr>
        <w:t xml:space="preserve">1.6. </w:t>
      </w:r>
      <w:r>
        <w:rPr>
          <w:sz w:val="21"/>
          <w:szCs w:val="21"/>
        </w:rPr>
        <w:t>3</w:t>
      </w:r>
      <w:r>
        <w:rPr>
          <w:rFonts w:hint="eastAsia"/>
          <w:sz w:val="21"/>
          <w:szCs w:val="21"/>
        </w:rPr>
        <w:t>项约定内容的图纸和承包人文件。</w:t>
      </w:r>
    </w:p>
    <w:p w14:paraId="1A834876">
      <w:pPr>
        <w:pStyle w:val="318"/>
        <w:spacing w:line="360" w:lineRule="auto"/>
        <w:rPr>
          <w:rFonts w:ascii="宋体" w:cs="宋体"/>
          <w:sz w:val="21"/>
          <w:szCs w:val="21"/>
        </w:rPr>
      </w:pPr>
      <w:bookmarkStart w:id="236" w:name="_Toc18431"/>
      <w:bookmarkStart w:id="237" w:name="_Toc256000013"/>
      <w:bookmarkStart w:id="238" w:name="_Toc28325"/>
      <w:bookmarkStart w:id="239" w:name="bookmark931"/>
      <w:bookmarkStart w:id="240" w:name="_Toc2901"/>
      <w:bookmarkStart w:id="241" w:name="_Toc256000263"/>
      <w:bookmarkStart w:id="242" w:name="bookmark932"/>
      <w:bookmarkStart w:id="243" w:name="_Toc29397"/>
      <w:bookmarkStart w:id="244" w:name="bookmark930"/>
      <w:r>
        <w:rPr>
          <w:rFonts w:ascii="宋体" w:hAnsi="宋体" w:cs="宋体"/>
          <w:sz w:val="21"/>
          <w:szCs w:val="21"/>
        </w:rPr>
        <w:t>1.7</w:t>
      </w:r>
      <w:r>
        <w:rPr>
          <w:rFonts w:hint="eastAsia" w:ascii="宋体" w:hAnsi="宋体" w:cs="宋体"/>
          <w:sz w:val="21"/>
          <w:szCs w:val="21"/>
        </w:rPr>
        <w:t>联络</w:t>
      </w:r>
      <w:bookmarkEnd w:id="236"/>
      <w:bookmarkEnd w:id="237"/>
      <w:bookmarkEnd w:id="238"/>
      <w:bookmarkEnd w:id="239"/>
      <w:bookmarkEnd w:id="240"/>
      <w:bookmarkEnd w:id="241"/>
      <w:bookmarkEnd w:id="242"/>
      <w:bookmarkEnd w:id="243"/>
      <w:bookmarkEnd w:id="244"/>
    </w:p>
    <w:p w14:paraId="2E6B55DB">
      <w:pPr>
        <w:pStyle w:val="319"/>
        <w:ind w:firstLine="440"/>
        <w:rPr>
          <w:rFonts w:cs="Times New Roman"/>
          <w:sz w:val="21"/>
          <w:szCs w:val="21"/>
        </w:rPr>
      </w:pPr>
      <w:r>
        <w:rPr>
          <w:sz w:val="21"/>
          <w:szCs w:val="21"/>
          <w:lang w:val="en-US"/>
        </w:rPr>
        <w:t>1.7.1</w:t>
      </w:r>
      <w:r>
        <w:rPr>
          <w:rFonts w:hint="eastAsia"/>
          <w:sz w:val="21"/>
          <w:szCs w:val="21"/>
        </w:rPr>
        <w:t>与合同有关的通知、批准、证明、证书、指示、要求、请求、同意、意见、确</w:t>
      </w:r>
      <w:r>
        <w:rPr>
          <w:sz w:val="21"/>
          <w:szCs w:val="21"/>
        </w:rPr>
        <w:t xml:space="preserve"> </w:t>
      </w:r>
      <w:r>
        <w:rPr>
          <w:rFonts w:hint="eastAsia"/>
          <w:sz w:val="21"/>
          <w:szCs w:val="21"/>
        </w:rPr>
        <w:t>定和决定等，均应采用书面形式。</w:t>
      </w:r>
    </w:p>
    <w:p w14:paraId="17822F5E">
      <w:pPr>
        <w:pStyle w:val="319"/>
        <w:ind w:firstLine="440"/>
        <w:rPr>
          <w:rFonts w:cs="Times New Roman"/>
          <w:sz w:val="21"/>
          <w:szCs w:val="21"/>
        </w:rPr>
      </w:pPr>
      <w:r>
        <w:rPr>
          <w:sz w:val="21"/>
          <w:szCs w:val="21"/>
          <w:lang w:val="en-US"/>
        </w:rPr>
        <w:t>1.7.2</w:t>
      </w:r>
      <w:r>
        <w:rPr>
          <w:rFonts w:hint="eastAsia"/>
          <w:sz w:val="21"/>
          <w:szCs w:val="21"/>
        </w:rPr>
        <w:t>第</w:t>
      </w:r>
      <w:r>
        <w:rPr>
          <w:sz w:val="21"/>
          <w:szCs w:val="21"/>
          <w:lang w:val="en-US"/>
        </w:rPr>
        <w:t>1.7.1</w:t>
      </w:r>
      <w:r>
        <w:rPr>
          <w:rFonts w:hint="eastAsia"/>
          <w:sz w:val="21"/>
          <w:szCs w:val="21"/>
        </w:rPr>
        <w:t>项中的通知、批准、证明、证书、指示、要求、请求、同意、意见、</w:t>
      </w:r>
      <w:r>
        <w:rPr>
          <w:sz w:val="21"/>
          <w:szCs w:val="21"/>
        </w:rPr>
        <w:t xml:space="preserve"> </w:t>
      </w:r>
      <w:r>
        <w:rPr>
          <w:rFonts w:hint="eastAsia"/>
          <w:sz w:val="21"/>
          <w:szCs w:val="21"/>
        </w:rPr>
        <w:t>确定和决定等来往函件，均应在合同约定的期限内送达指定地点和接收人，并办理签收手续。来往函件的送达期限在技术标准和要求（合同技术条款）中约定，送达地点在专用合同条款中约定。</w:t>
      </w:r>
    </w:p>
    <w:p w14:paraId="0291F118">
      <w:pPr>
        <w:pStyle w:val="319"/>
        <w:spacing w:after="180"/>
        <w:ind w:firstLine="440"/>
        <w:rPr>
          <w:rFonts w:cs="Times New Roman"/>
          <w:sz w:val="21"/>
          <w:szCs w:val="21"/>
        </w:rPr>
      </w:pPr>
      <w:r>
        <w:rPr>
          <w:sz w:val="21"/>
          <w:szCs w:val="21"/>
          <w:lang w:val="en-US"/>
        </w:rPr>
        <w:t>1.7.3</w:t>
      </w:r>
      <w:r>
        <w:rPr>
          <w:rFonts w:hint="eastAsia"/>
          <w:sz w:val="21"/>
          <w:szCs w:val="21"/>
        </w:rPr>
        <w:t>来往函件均应按合同约定的期限及时发出和答复，不得无故扣压和拖延，亦不得拒收。否则，由此造成的后果由责任方负责。</w:t>
      </w:r>
    </w:p>
    <w:p w14:paraId="06021A6D">
      <w:pPr>
        <w:pStyle w:val="318"/>
        <w:spacing w:line="360" w:lineRule="auto"/>
        <w:rPr>
          <w:rFonts w:ascii="宋体" w:cs="宋体"/>
          <w:sz w:val="21"/>
          <w:szCs w:val="21"/>
        </w:rPr>
      </w:pPr>
      <w:bookmarkStart w:id="245" w:name="_Toc256000014"/>
      <w:bookmarkStart w:id="246" w:name="_Toc11450"/>
      <w:bookmarkStart w:id="247" w:name="bookmark935"/>
      <w:bookmarkStart w:id="248" w:name="_Toc294"/>
      <w:bookmarkStart w:id="249" w:name="_Toc13600"/>
      <w:bookmarkStart w:id="250" w:name="bookmark934"/>
      <w:bookmarkStart w:id="251" w:name="bookmark933"/>
      <w:bookmarkStart w:id="252" w:name="_Toc31757"/>
      <w:bookmarkStart w:id="253" w:name="_Toc256000264"/>
      <w:r>
        <w:rPr>
          <w:rFonts w:ascii="宋体" w:hAnsi="宋体" w:cs="宋体"/>
          <w:sz w:val="21"/>
          <w:szCs w:val="21"/>
        </w:rPr>
        <w:t>1.8</w:t>
      </w:r>
      <w:r>
        <w:rPr>
          <w:rFonts w:hint="eastAsia" w:ascii="宋体" w:hAnsi="宋体" w:cs="宋体"/>
          <w:sz w:val="21"/>
          <w:szCs w:val="21"/>
        </w:rPr>
        <w:t>转让</w:t>
      </w:r>
      <w:bookmarkEnd w:id="245"/>
      <w:bookmarkEnd w:id="246"/>
      <w:bookmarkEnd w:id="247"/>
      <w:bookmarkEnd w:id="248"/>
      <w:bookmarkEnd w:id="249"/>
      <w:bookmarkEnd w:id="250"/>
      <w:bookmarkEnd w:id="251"/>
      <w:bookmarkEnd w:id="252"/>
      <w:bookmarkEnd w:id="253"/>
    </w:p>
    <w:p w14:paraId="7E005082">
      <w:pPr>
        <w:pStyle w:val="319"/>
        <w:spacing w:after="180"/>
        <w:ind w:firstLine="440"/>
        <w:rPr>
          <w:rFonts w:cs="Times New Roman"/>
          <w:sz w:val="21"/>
          <w:szCs w:val="21"/>
        </w:rPr>
      </w:pPr>
      <w:r>
        <w:rPr>
          <w:rFonts w:hint="eastAsia"/>
          <w:sz w:val="21"/>
          <w:szCs w:val="21"/>
        </w:rPr>
        <w:t>除合同另有约定外，未经对方当事人同意，一方当事人不得将合同权利全部或部分转让给第三人，也不得全部或部分转移合同义务。</w:t>
      </w:r>
    </w:p>
    <w:p w14:paraId="1159C8D8">
      <w:pPr>
        <w:pStyle w:val="318"/>
        <w:spacing w:line="360" w:lineRule="auto"/>
        <w:rPr>
          <w:rFonts w:ascii="宋体" w:cs="宋体"/>
          <w:sz w:val="21"/>
          <w:szCs w:val="21"/>
        </w:rPr>
      </w:pPr>
      <w:bookmarkStart w:id="254" w:name="bookmark937"/>
      <w:bookmarkStart w:id="255" w:name="bookmark936"/>
      <w:bookmarkStart w:id="256" w:name="bookmark938"/>
      <w:bookmarkStart w:id="257" w:name="_Toc256000265"/>
      <w:bookmarkStart w:id="258" w:name="_Toc12853"/>
      <w:bookmarkStart w:id="259" w:name="_Toc28520"/>
      <w:bookmarkStart w:id="260" w:name="_Toc256000015"/>
      <w:bookmarkStart w:id="261" w:name="_Toc25110"/>
      <w:bookmarkStart w:id="262" w:name="_Toc12060"/>
      <w:r>
        <w:rPr>
          <w:rFonts w:ascii="宋体" w:hAnsi="宋体" w:cs="宋体"/>
          <w:sz w:val="21"/>
          <w:szCs w:val="21"/>
        </w:rPr>
        <w:t>1.9</w:t>
      </w:r>
      <w:r>
        <w:rPr>
          <w:rFonts w:hint="eastAsia" w:ascii="宋体" w:hAnsi="宋体" w:cs="宋体"/>
          <w:sz w:val="21"/>
          <w:szCs w:val="21"/>
        </w:rPr>
        <w:t>严禁贿赂</w:t>
      </w:r>
      <w:bookmarkEnd w:id="254"/>
      <w:bookmarkEnd w:id="255"/>
      <w:bookmarkEnd w:id="256"/>
      <w:bookmarkEnd w:id="257"/>
      <w:bookmarkEnd w:id="258"/>
      <w:bookmarkEnd w:id="259"/>
      <w:bookmarkEnd w:id="260"/>
      <w:bookmarkEnd w:id="261"/>
      <w:bookmarkEnd w:id="262"/>
    </w:p>
    <w:p w14:paraId="7256E0E1">
      <w:pPr>
        <w:pStyle w:val="319"/>
        <w:spacing w:after="180"/>
        <w:ind w:firstLine="440"/>
        <w:rPr>
          <w:rFonts w:cs="Times New Roman"/>
          <w:sz w:val="21"/>
          <w:szCs w:val="21"/>
        </w:rPr>
      </w:pPr>
      <w:r>
        <w:rPr>
          <w:rFonts w:hint="eastAsia"/>
          <w:sz w:val="21"/>
          <w:szCs w:val="21"/>
        </w:rPr>
        <w:t>合同双方当事人不得以贿赂或变相贿赂的方式，谋取不当利益或损害对方权益。因贿赂造成对方损失的，行为人应赔偿损失，并承担相应的法律责任。</w:t>
      </w:r>
    </w:p>
    <w:p w14:paraId="4CBBA9D7">
      <w:pPr>
        <w:pStyle w:val="318"/>
        <w:spacing w:line="360" w:lineRule="auto"/>
        <w:rPr>
          <w:rFonts w:ascii="宋体" w:cs="宋体"/>
          <w:sz w:val="21"/>
          <w:szCs w:val="21"/>
        </w:rPr>
      </w:pPr>
      <w:bookmarkStart w:id="263" w:name="bookmark939"/>
      <w:bookmarkStart w:id="264" w:name="bookmark941"/>
      <w:bookmarkStart w:id="265" w:name="_Toc256000266"/>
      <w:bookmarkStart w:id="266" w:name="_Toc256000016"/>
      <w:bookmarkStart w:id="267" w:name="_Toc27697"/>
      <w:bookmarkStart w:id="268" w:name="_Toc4467"/>
      <w:bookmarkStart w:id="269" w:name="bookmark940"/>
      <w:bookmarkStart w:id="270" w:name="_Toc18304"/>
      <w:bookmarkStart w:id="271" w:name="_Toc18518"/>
      <w:r>
        <w:rPr>
          <w:rFonts w:ascii="宋体" w:hAnsi="宋体" w:cs="宋体"/>
          <w:sz w:val="21"/>
          <w:szCs w:val="21"/>
        </w:rPr>
        <w:t>1.10</w:t>
      </w:r>
      <w:r>
        <w:rPr>
          <w:rFonts w:hint="eastAsia" w:ascii="宋体" w:hAnsi="宋体" w:cs="宋体"/>
          <w:sz w:val="21"/>
          <w:szCs w:val="21"/>
        </w:rPr>
        <w:t>化石、文物</w:t>
      </w:r>
      <w:bookmarkEnd w:id="263"/>
      <w:bookmarkEnd w:id="264"/>
      <w:bookmarkEnd w:id="265"/>
      <w:bookmarkEnd w:id="266"/>
      <w:bookmarkEnd w:id="267"/>
      <w:bookmarkEnd w:id="268"/>
      <w:bookmarkEnd w:id="269"/>
      <w:bookmarkEnd w:id="270"/>
      <w:bookmarkEnd w:id="271"/>
    </w:p>
    <w:p w14:paraId="20A03316">
      <w:pPr>
        <w:pStyle w:val="319"/>
        <w:ind w:firstLine="440"/>
        <w:rPr>
          <w:rFonts w:cs="Times New Roman"/>
          <w:sz w:val="21"/>
          <w:szCs w:val="21"/>
        </w:rPr>
      </w:pPr>
      <w:r>
        <w:rPr>
          <w:sz w:val="21"/>
          <w:szCs w:val="21"/>
          <w:lang w:val="en-US"/>
        </w:rPr>
        <w:t xml:space="preserve">1.10. </w:t>
      </w:r>
      <w:r>
        <w:rPr>
          <w:sz w:val="21"/>
          <w:szCs w:val="21"/>
        </w:rPr>
        <w:t>1</w:t>
      </w:r>
      <w:r>
        <w:rPr>
          <w:rFonts w:hint="eastAsia"/>
          <w:sz w:val="21"/>
          <w:szCs w:val="21"/>
        </w:rPr>
        <w:t>在施工场地发掘的所有文物、古迹以及具有地质研究或考古价值的其他遗迹、</w:t>
      </w:r>
      <w:r>
        <w:rPr>
          <w:sz w:val="21"/>
          <w:szCs w:val="21"/>
        </w:rPr>
        <w:t xml:space="preserve"> </w:t>
      </w:r>
      <w:r>
        <w:rPr>
          <w:rFonts w:hint="eastAsia"/>
          <w:sz w:val="21"/>
          <w:szCs w:val="21"/>
        </w:rPr>
        <w:t>化石、钱币或物品属于国家所有。一旦发现上述文物，承包人应采取有效合理的保护措施</w:t>
      </w:r>
      <w:r>
        <w:rPr>
          <w:sz w:val="21"/>
          <w:szCs w:val="21"/>
        </w:rPr>
        <w:t xml:space="preserve">, </w:t>
      </w:r>
      <w:r>
        <w:rPr>
          <w:rFonts w:hint="eastAsia"/>
          <w:sz w:val="21"/>
          <w:szCs w:val="21"/>
        </w:rPr>
        <w:t>防止任何人员移动或损坏上述物品，并立即报告当地文物行政部门，同时通知监理人。发包人、监理人和承包人应按文物行政部门要求采取妥善保护措施，由此导致费用增加和（或）工期延误由发包人承担。</w:t>
      </w:r>
    </w:p>
    <w:p w14:paraId="472AB204">
      <w:pPr>
        <w:pStyle w:val="319"/>
        <w:spacing w:after="120"/>
        <w:ind w:firstLine="440"/>
        <w:rPr>
          <w:rFonts w:cs="Times New Roman"/>
          <w:sz w:val="21"/>
          <w:szCs w:val="21"/>
        </w:rPr>
      </w:pPr>
      <w:r>
        <w:rPr>
          <w:sz w:val="21"/>
          <w:szCs w:val="21"/>
          <w:lang w:val="en-US"/>
        </w:rPr>
        <w:t>1.10.</w:t>
      </w:r>
      <w:r>
        <w:rPr>
          <w:sz w:val="21"/>
          <w:szCs w:val="21"/>
        </w:rPr>
        <w:t>2</w:t>
      </w:r>
      <w:r>
        <w:rPr>
          <w:rFonts w:hint="eastAsia"/>
          <w:sz w:val="21"/>
          <w:szCs w:val="21"/>
        </w:rPr>
        <w:t>承包人发现文物后不及时报告或隐瞒不报，致使文物丢失或损坏的，应赔偿损失，并承担相应的法律责任。</w:t>
      </w:r>
    </w:p>
    <w:p w14:paraId="5B539358">
      <w:pPr>
        <w:pStyle w:val="318"/>
        <w:spacing w:line="360" w:lineRule="auto"/>
        <w:rPr>
          <w:rFonts w:ascii="宋体" w:cs="宋体"/>
          <w:sz w:val="21"/>
          <w:szCs w:val="21"/>
        </w:rPr>
      </w:pPr>
      <w:bookmarkStart w:id="272" w:name="bookmark942"/>
      <w:bookmarkStart w:id="273" w:name="bookmark943"/>
      <w:bookmarkStart w:id="274" w:name="_Toc256000267"/>
      <w:bookmarkStart w:id="275" w:name="_Toc256000017"/>
      <w:bookmarkStart w:id="276" w:name="_Toc20604"/>
      <w:bookmarkStart w:id="277" w:name="_Toc8461"/>
      <w:bookmarkStart w:id="278" w:name="_Toc24234"/>
      <w:bookmarkStart w:id="279" w:name="_Toc12830"/>
      <w:bookmarkStart w:id="280" w:name="bookmark944"/>
      <w:r>
        <w:rPr>
          <w:rFonts w:ascii="宋体" w:hAnsi="宋体" w:cs="宋体"/>
          <w:sz w:val="21"/>
          <w:szCs w:val="21"/>
        </w:rPr>
        <w:t>1.11</w:t>
      </w:r>
      <w:r>
        <w:rPr>
          <w:rFonts w:hint="eastAsia" w:ascii="宋体" w:hAnsi="宋体" w:cs="宋体"/>
          <w:sz w:val="21"/>
          <w:szCs w:val="21"/>
        </w:rPr>
        <w:t>专利技术</w:t>
      </w:r>
      <w:bookmarkEnd w:id="272"/>
      <w:bookmarkEnd w:id="273"/>
      <w:bookmarkEnd w:id="274"/>
      <w:bookmarkEnd w:id="275"/>
      <w:bookmarkEnd w:id="276"/>
      <w:bookmarkEnd w:id="277"/>
      <w:bookmarkEnd w:id="278"/>
      <w:bookmarkEnd w:id="279"/>
      <w:bookmarkEnd w:id="280"/>
    </w:p>
    <w:p w14:paraId="6591D4D3">
      <w:pPr>
        <w:pStyle w:val="319"/>
        <w:ind w:firstLine="440"/>
        <w:rPr>
          <w:rFonts w:cs="Times New Roman"/>
          <w:sz w:val="21"/>
          <w:szCs w:val="21"/>
        </w:rPr>
      </w:pPr>
      <w:r>
        <w:rPr>
          <w:sz w:val="21"/>
          <w:szCs w:val="21"/>
          <w:lang w:val="en-US"/>
        </w:rPr>
        <w:t>1.11.1</w:t>
      </w:r>
      <w:r>
        <w:rPr>
          <w:rFonts w:hint="eastAsia"/>
          <w:sz w:val="21"/>
          <w:szCs w:val="21"/>
        </w:rPr>
        <w:t>承包人在使用任何材料、承包人设备、工程设备或采用施工工艺时，因侵犯专利权或其他知识产权所引起的责任，由承包人承担，但由于遵照发包人提供的设计或技术标准和要求引起的除外。</w:t>
      </w:r>
    </w:p>
    <w:p w14:paraId="0A92651F">
      <w:pPr>
        <w:pStyle w:val="319"/>
        <w:ind w:firstLine="420"/>
        <w:rPr>
          <w:rFonts w:cs="Times New Roman"/>
          <w:sz w:val="21"/>
          <w:szCs w:val="21"/>
        </w:rPr>
      </w:pPr>
      <w:r>
        <w:rPr>
          <w:sz w:val="21"/>
          <w:szCs w:val="21"/>
          <w:lang w:val="en-US"/>
        </w:rPr>
        <w:t>1.11.2</w:t>
      </w:r>
      <w:r>
        <w:rPr>
          <w:rFonts w:hint="eastAsia"/>
          <w:sz w:val="21"/>
          <w:szCs w:val="21"/>
        </w:rPr>
        <w:t>承包人在响应文件中采用专利技术的，专利技术的使用费包含在投标报价内。</w:t>
      </w:r>
    </w:p>
    <w:p w14:paraId="2D92D137">
      <w:pPr>
        <w:pStyle w:val="319"/>
        <w:ind w:firstLine="440"/>
        <w:rPr>
          <w:rFonts w:cs="Times New Roman"/>
          <w:sz w:val="21"/>
          <w:szCs w:val="21"/>
        </w:rPr>
      </w:pPr>
      <w:r>
        <w:rPr>
          <w:sz w:val="21"/>
          <w:szCs w:val="21"/>
          <w:lang w:val="en-US"/>
        </w:rPr>
        <w:t>1.11.3</w:t>
      </w:r>
      <w:r>
        <w:rPr>
          <w:rFonts w:hint="eastAsia"/>
          <w:sz w:val="21"/>
          <w:szCs w:val="21"/>
        </w:rPr>
        <w:t>承包人的技术秘密和声明需要保密的资料和信息，发包人和监理人不得为合同以外的目的泄露给他人。</w:t>
      </w:r>
    </w:p>
    <w:p w14:paraId="11147C1D">
      <w:pPr>
        <w:pStyle w:val="319"/>
        <w:ind w:firstLine="440"/>
        <w:rPr>
          <w:rFonts w:cs="Times New Roman"/>
          <w:sz w:val="21"/>
          <w:szCs w:val="21"/>
        </w:rPr>
      </w:pPr>
      <w:r>
        <w:rPr>
          <w:sz w:val="21"/>
          <w:szCs w:val="21"/>
          <w:lang w:val="en-US"/>
        </w:rPr>
        <w:t>1.11.4</w:t>
      </w:r>
      <w:r>
        <w:rPr>
          <w:rFonts w:hint="eastAsia"/>
          <w:sz w:val="21"/>
          <w:szCs w:val="21"/>
        </w:rPr>
        <w:t>合同实施过程中，发包人要求承包人采用专利技术的，发包人应办理相应的使用手续，承包人应按发包人约定的条件使用，并承担使用专利技术的相关试验工作。所需的费用由发包人承担。</w:t>
      </w:r>
    </w:p>
    <w:p w14:paraId="6DB976F3">
      <w:pPr>
        <w:pStyle w:val="318"/>
        <w:spacing w:line="360" w:lineRule="auto"/>
        <w:rPr>
          <w:rFonts w:ascii="宋体" w:cs="宋体"/>
          <w:sz w:val="21"/>
          <w:szCs w:val="21"/>
        </w:rPr>
      </w:pPr>
      <w:bookmarkStart w:id="281" w:name="_Toc256000268"/>
      <w:bookmarkStart w:id="282" w:name="bookmark946"/>
      <w:bookmarkStart w:id="283" w:name="bookmark947"/>
      <w:bookmarkStart w:id="284" w:name="_Toc12197"/>
      <w:bookmarkStart w:id="285" w:name="bookmark945"/>
      <w:bookmarkStart w:id="286" w:name="_Toc20348"/>
      <w:bookmarkStart w:id="287" w:name="_Toc21439"/>
      <w:bookmarkStart w:id="288" w:name="_Toc29021"/>
      <w:bookmarkStart w:id="289" w:name="_Toc256000018"/>
      <w:r>
        <w:rPr>
          <w:rFonts w:ascii="宋体" w:hAnsi="宋体" w:cs="宋体"/>
          <w:sz w:val="21"/>
          <w:szCs w:val="21"/>
        </w:rPr>
        <w:t>1.12</w:t>
      </w:r>
      <w:r>
        <w:rPr>
          <w:rFonts w:hint="eastAsia" w:ascii="宋体" w:hAnsi="宋体" w:cs="宋体"/>
          <w:sz w:val="21"/>
          <w:szCs w:val="21"/>
        </w:rPr>
        <w:t>图纸和文件的保密</w:t>
      </w:r>
      <w:bookmarkEnd w:id="281"/>
      <w:bookmarkEnd w:id="282"/>
      <w:bookmarkEnd w:id="283"/>
      <w:bookmarkEnd w:id="284"/>
      <w:bookmarkEnd w:id="285"/>
      <w:bookmarkEnd w:id="286"/>
      <w:bookmarkEnd w:id="287"/>
      <w:bookmarkEnd w:id="288"/>
      <w:bookmarkEnd w:id="289"/>
    </w:p>
    <w:p w14:paraId="3CC538E6">
      <w:pPr>
        <w:pStyle w:val="319"/>
        <w:ind w:firstLine="440"/>
        <w:rPr>
          <w:rFonts w:cs="Times New Roman"/>
          <w:sz w:val="21"/>
          <w:szCs w:val="21"/>
        </w:rPr>
      </w:pPr>
      <w:r>
        <w:rPr>
          <w:sz w:val="21"/>
          <w:szCs w:val="21"/>
          <w:lang w:val="en-US"/>
        </w:rPr>
        <w:t>1.12.1</w:t>
      </w:r>
      <w:r>
        <w:rPr>
          <w:rFonts w:hint="eastAsia"/>
          <w:sz w:val="21"/>
          <w:szCs w:val="21"/>
        </w:rPr>
        <w:t>发包人提供的图纸和文件，未经发包人同意，承包人不得为合同以外的目的泄露给他人或公开发表与引用。</w:t>
      </w:r>
    </w:p>
    <w:p w14:paraId="1BF5E215">
      <w:pPr>
        <w:pStyle w:val="319"/>
        <w:spacing w:after="200"/>
        <w:ind w:firstLine="440"/>
        <w:rPr>
          <w:rFonts w:cs="Times New Roman"/>
          <w:sz w:val="21"/>
          <w:szCs w:val="21"/>
        </w:rPr>
      </w:pPr>
      <w:r>
        <w:rPr>
          <w:sz w:val="21"/>
          <w:szCs w:val="21"/>
          <w:lang w:val="en-US"/>
        </w:rPr>
        <w:t>1.12.2</w:t>
      </w:r>
      <w:r>
        <w:rPr>
          <w:rFonts w:hint="eastAsia"/>
          <w:sz w:val="21"/>
          <w:szCs w:val="21"/>
        </w:rPr>
        <w:t>承包人提供的文件，未经承包人同意，发包人和监理人不得为合同以外的目的泄露给他人或公开发表与引用。</w:t>
      </w:r>
    </w:p>
    <w:p w14:paraId="292615E1">
      <w:pPr>
        <w:pStyle w:val="318"/>
        <w:spacing w:line="360" w:lineRule="auto"/>
        <w:rPr>
          <w:rFonts w:ascii="宋体" w:cs="宋体"/>
          <w:sz w:val="21"/>
          <w:szCs w:val="21"/>
        </w:rPr>
      </w:pPr>
      <w:bookmarkStart w:id="290" w:name="bookmark950"/>
      <w:bookmarkEnd w:id="290"/>
      <w:bookmarkStart w:id="291" w:name="bookmark951"/>
      <w:bookmarkStart w:id="292" w:name="bookmark948"/>
      <w:bookmarkStart w:id="293" w:name="_Toc16330"/>
      <w:bookmarkStart w:id="294" w:name="_Toc256000269"/>
      <w:bookmarkStart w:id="295" w:name="_Toc26241"/>
      <w:bookmarkStart w:id="296" w:name="_Toc256000019"/>
      <w:bookmarkStart w:id="297" w:name="_Toc3842"/>
      <w:bookmarkStart w:id="298" w:name="_Toc4946"/>
      <w:bookmarkStart w:id="299" w:name="bookmark949"/>
      <w:r>
        <w:rPr>
          <w:rFonts w:ascii="宋体" w:hAnsi="宋体" w:cs="宋体"/>
          <w:sz w:val="21"/>
          <w:szCs w:val="21"/>
        </w:rPr>
        <w:t>2.</w:t>
      </w:r>
      <w:r>
        <w:rPr>
          <w:rFonts w:hint="eastAsia" w:ascii="宋体" w:hAnsi="宋体" w:cs="宋体"/>
          <w:sz w:val="21"/>
          <w:szCs w:val="21"/>
        </w:rPr>
        <w:t>发包人义务</w:t>
      </w:r>
      <w:bookmarkEnd w:id="291"/>
      <w:bookmarkEnd w:id="292"/>
      <w:bookmarkEnd w:id="293"/>
      <w:bookmarkEnd w:id="294"/>
      <w:bookmarkEnd w:id="295"/>
      <w:bookmarkEnd w:id="296"/>
      <w:bookmarkEnd w:id="297"/>
      <w:bookmarkEnd w:id="298"/>
      <w:bookmarkEnd w:id="299"/>
    </w:p>
    <w:p w14:paraId="5DF232BF">
      <w:pPr>
        <w:pStyle w:val="318"/>
        <w:spacing w:line="360" w:lineRule="auto"/>
        <w:rPr>
          <w:rFonts w:ascii="宋体" w:cs="宋体"/>
          <w:sz w:val="21"/>
          <w:szCs w:val="21"/>
        </w:rPr>
      </w:pPr>
      <w:bookmarkStart w:id="300" w:name="bookmark952"/>
      <w:bookmarkStart w:id="301" w:name="_Toc256000020"/>
      <w:bookmarkStart w:id="302" w:name="_Toc19875"/>
      <w:bookmarkStart w:id="303" w:name="bookmark954"/>
      <w:bookmarkStart w:id="304" w:name="_Toc256000270"/>
      <w:bookmarkStart w:id="305" w:name="bookmark953"/>
      <w:bookmarkStart w:id="306" w:name="_Toc27192"/>
      <w:bookmarkStart w:id="307" w:name="_Toc2422"/>
      <w:bookmarkStart w:id="308" w:name="_Toc6466"/>
      <w:r>
        <w:rPr>
          <w:rFonts w:ascii="宋体" w:hAnsi="宋体" w:cs="宋体"/>
          <w:sz w:val="21"/>
          <w:szCs w:val="21"/>
        </w:rPr>
        <w:t>2.1</w:t>
      </w:r>
      <w:r>
        <w:rPr>
          <w:rFonts w:hint="eastAsia" w:ascii="宋体" w:hAnsi="宋体" w:cs="宋体"/>
          <w:sz w:val="21"/>
          <w:szCs w:val="21"/>
        </w:rPr>
        <w:t>遵守法律</w:t>
      </w:r>
      <w:bookmarkEnd w:id="300"/>
      <w:bookmarkEnd w:id="301"/>
      <w:bookmarkEnd w:id="302"/>
      <w:bookmarkEnd w:id="303"/>
      <w:bookmarkEnd w:id="304"/>
      <w:bookmarkEnd w:id="305"/>
      <w:bookmarkEnd w:id="306"/>
      <w:bookmarkEnd w:id="307"/>
      <w:bookmarkEnd w:id="308"/>
    </w:p>
    <w:p w14:paraId="2198023E">
      <w:pPr>
        <w:pStyle w:val="319"/>
        <w:spacing w:after="240"/>
        <w:ind w:firstLine="440"/>
        <w:rPr>
          <w:rFonts w:cs="Times New Roman"/>
          <w:sz w:val="21"/>
          <w:szCs w:val="21"/>
        </w:rPr>
      </w:pPr>
      <w:r>
        <w:rPr>
          <w:rFonts w:hint="eastAsia"/>
          <w:sz w:val="21"/>
          <w:szCs w:val="21"/>
        </w:rPr>
        <w:t>发包人在履行合同过程中应遵守法律，并保证承包人免于承担因发包人违反法律而引</w:t>
      </w:r>
      <w:r>
        <w:rPr>
          <w:sz w:val="21"/>
          <w:szCs w:val="21"/>
        </w:rPr>
        <w:t xml:space="preserve"> </w:t>
      </w:r>
      <w:r>
        <w:rPr>
          <w:rFonts w:hint="eastAsia"/>
          <w:sz w:val="21"/>
          <w:szCs w:val="21"/>
        </w:rPr>
        <w:t>起的任何责任。</w:t>
      </w:r>
    </w:p>
    <w:p w14:paraId="16BAFF71">
      <w:pPr>
        <w:pStyle w:val="318"/>
        <w:spacing w:line="360" w:lineRule="auto"/>
        <w:rPr>
          <w:rFonts w:ascii="宋体" w:cs="宋体"/>
          <w:sz w:val="21"/>
          <w:szCs w:val="21"/>
        </w:rPr>
      </w:pPr>
      <w:bookmarkStart w:id="309" w:name="_Toc15143"/>
      <w:bookmarkStart w:id="310" w:name="_Toc256000271"/>
      <w:bookmarkStart w:id="311" w:name="bookmark955"/>
      <w:bookmarkStart w:id="312" w:name="_Toc16693"/>
      <w:bookmarkStart w:id="313" w:name="_Toc15166"/>
      <w:bookmarkStart w:id="314" w:name="bookmark956"/>
      <w:bookmarkStart w:id="315" w:name="bookmark957"/>
      <w:bookmarkStart w:id="316" w:name="_Toc256000021"/>
      <w:bookmarkStart w:id="317" w:name="_Toc5959"/>
      <w:r>
        <w:rPr>
          <w:rFonts w:ascii="宋体" w:hAnsi="宋体" w:cs="宋体"/>
          <w:sz w:val="21"/>
          <w:szCs w:val="21"/>
        </w:rPr>
        <w:t>2.2</w:t>
      </w:r>
      <w:r>
        <w:rPr>
          <w:rFonts w:hint="eastAsia" w:ascii="宋体" w:hAnsi="宋体" w:cs="宋体"/>
          <w:sz w:val="21"/>
          <w:szCs w:val="21"/>
        </w:rPr>
        <w:t>发出开工通知</w:t>
      </w:r>
      <w:bookmarkEnd w:id="309"/>
      <w:bookmarkEnd w:id="310"/>
      <w:bookmarkEnd w:id="311"/>
      <w:bookmarkEnd w:id="312"/>
      <w:bookmarkEnd w:id="313"/>
      <w:bookmarkEnd w:id="314"/>
      <w:bookmarkEnd w:id="315"/>
      <w:bookmarkEnd w:id="316"/>
      <w:bookmarkEnd w:id="317"/>
    </w:p>
    <w:p w14:paraId="26657268">
      <w:pPr>
        <w:pStyle w:val="319"/>
        <w:spacing w:after="240"/>
        <w:ind w:firstLine="420"/>
        <w:rPr>
          <w:rFonts w:cs="Times New Roman"/>
          <w:sz w:val="21"/>
          <w:szCs w:val="21"/>
        </w:rPr>
      </w:pPr>
      <w:r>
        <w:rPr>
          <w:rFonts w:hint="eastAsia"/>
          <w:sz w:val="21"/>
          <w:szCs w:val="21"/>
        </w:rPr>
        <w:t>发包人应委托监理人按第</w:t>
      </w:r>
      <w:r>
        <w:rPr>
          <w:sz w:val="21"/>
          <w:szCs w:val="21"/>
          <w:lang w:val="en-US"/>
        </w:rPr>
        <w:t xml:space="preserve">H. </w:t>
      </w:r>
      <w:r>
        <w:rPr>
          <w:sz w:val="21"/>
          <w:szCs w:val="21"/>
        </w:rPr>
        <w:t>1</w:t>
      </w:r>
      <w:r>
        <w:rPr>
          <w:rFonts w:hint="eastAsia"/>
          <w:sz w:val="21"/>
          <w:szCs w:val="21"/>
        </w:rPr>
        <w:t>款的约定向承包人发出开工通知。</w:t>
      </w:r>
    </w:p>
    <w:p w14:paraId="47B679F4">
      <w:pPr>
        <w:pStyle w:val="318"/>
        <w:spacing w:line="360" w:lineRule="auto"/>
        <w:rPr>
          <w:rFonts w:ascii="宋体" w:cs="宋体"/>
          <w:sz w:val="21"/>
          <w:szCs w:val="21"/>
        </w:rPr>
      </w:pPr>
      <w:bookmarkStart w:id="318" w:name="_Toc256000022"/>
      <w:bookmarkStart w:id="319" w:name="bookmark960"/>
      <w:bookmarkStart w:id="320" w:name="bookmark958"/>
      <w:bookmarkStart w:id="321" w:name="bookmark959"/>
      <w:bookmarkStart w:id="322" w:name="_Toc5643"/>
      <w:bookmarkStart w:id="323" w:name="_Toc17109"/>
      <w:bookmarkStart w:id="324" w:name="_Toc256000272"/>
      <w:bookmarkStart w:id="325" w:name="_Toc8486"/>
      <w:bookmarkStart w:id="326" w:name="_Toc25325"/>
      <w:r>
        <w:rPr>
          <w:rFonts w:ascii="宋体" w:hAnsi="宋体" w:cs="宋体"/>
          <w:sz w:val="21"/>
          <w:szCs w:val="21"/>
        </w:rPr>
        <w:t>2.3</w:t>
      </w:r>
      <w:r>
        <w:rPr>
          <w:rFonts w:hint="eastAsia" w:ascii="宋体" w:hAnsi="宋体" w:cs="宋体"/>
          <w:sz w:val="21"/>
          <w:szCs w:val="21"/>
        </w:rPr>
        <w:t>提供施工场地</w:t>
      </w:r>
      <w:bookmarkEnd w:id="318"/>
      <w:bookmarkEnd w:id="319"/>
      <w:bookmarkEnd w:id="320"/>
      <w:bookmarkEnd w:id="321"/>
      <w:bookmarkEnd w:id="322"/>
      <w:bookmarkEnd w:id="323"/>
      <w:bookmarkEnd w:id="324"/>
      <w:bookmarkEnd w:id="325"/>
      <w:bookmarkEnd w:id="326"/>
    </w:p>
    <w:p w14:paraId="271C3637">
      <w:pPr>
        <w:pStyle w:val="319"/>
        <w:ind w:firstLine="440"/>
        <w:rPr>
          <w:rFonts w:cs="Times New Roman"/>
          <w:sz w:val="21"/>
          <w:szCs w:val="21"/>
        </w:rPr>
      </w:pPr>
      <w:r>
        <w:rPr>
          <w:sz w:val="21"/>
          <w:szCs w:val="21"/>
          <w:lang w:val="en-US"/>
        </w:rPr>
        <w:t>2.3.1</w:t>
      </w:r>
      <w:r>
        <w:rPr>
          <w:rFonts w:hint="eastAsia"/>
          <w:sz w:val="21"/>
          <w:szCs w:val="21"/>
        </w:rPr>
        <w:t>发包人应在合同双方签定合同协议书后的</w:t>
      </w:r>
      <w:r>
        <w:rPr>
          <w:sz w:val="21"/>
          <w:szCs w:val="21"/>
        </w:rPr>
        <w:t>14</w:t>
      </w:r>
      <w:r>
        <w:rPr>
          <w:rFonts w:hint="eastAsia"/>
          <w:sz w:val="21"/>
          <w:szCs w:val="21"/>
        </w:rPr>
        <w:t>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3E1F5636">
      <w:pPr>
        <w:pStyle w:val="319"/>
        <w:ind w:firstLine="440"/>
        <w:rPr>
          <w:rFonts w:cs="Times New Roman"/>
          <w:sz w:val="21"/>
          <w:szCs w:val="21"/>
        </w:rPr>
      </w:pPr>
      <w:r>
        <w:rPr>
          <w:sz w:val="21"/>
          <w:szCs w:val="21"/>
          <w:lang w:val="en-US"/>
        </w:rPr>
        <w:t>2.3.2</w:t>
      </w:r>
      <w:r>
        <w:rPr>
          <w:rFonts w:hint="eastAsia"/>
          <w:sz w:val="21"/>
          <w:szCs w:val="21"/>
        </w:rPr>
        <w:t>发包人提供的施工用地范围在专用合同条款中约定。</w:t>
      </w:r>
    </w:p>
    <w:p w14:paraId="278E399E">
      <w:pPr>
        <w:pStyle w:val="319"/>
        <w:spacing w:after="240"/>
        <w:ind w:firstLine="440"/>
        <w:rPr>
          <w:rFonts w:cs="Times New Roman"/>
          <w:sz w:val="21"/>
          <w:szCs w:val="21"/>
        </w:rPr>
      </w:pPr>
      <w:r>
        <w:rPr>
          <w:sz w:val="21"/>
          <w:szCs w:val="21"/>
          <w:lang w:val="en-US"/>
        </w:rPr>
        <w:t>2.3.3</w:t>
      </w:r>
      <w:r>
        <w:rPr>
          <w:rFonts w:hint="eastAsia"/>
          <w:sz w:val="21"/>
          <w:szCs w:val="21"/>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5F550A7E">
      <w:pPr>
        <w:pStyle w:val="318"/>
        <w:spacing w:line="360" w:lineRule="auto"/>
        <w:rPr>
          <w:rFonts w:ascii="宋体" w:cs="宋体"/>
          <w:sz w:val="21"/>
          <w:szCs w:val="21"/>
        </w:rPr>
      </w:pPr>
      <w:bookmarkStart w:id="327" w:name="_Toc3862"/>
      <w:bookmarkStart w:id="328" w:name="_Toc20543"/>
      <w:bookmarkStart w:id="329" w:name="bookmark963"/>
      <w:bookmarkStart w:id="330" w:name="_Toc256000273"/>
      <w:bookmarkStart w:id="331" w:name="bookmark961"/>
      <w:bookmarkStart w:id="332" w:name="_Toc7536"/>
      <w:bookmarkStart w:id="333" w:name="_Toc256000023"/>
      <w:bookmarkStart w:id="334" w:name="_Toc14473"/>
      <w:bookmarkStart w:id="335" w:name="bookmark962"/>
      <w:r>
        <w:rPr>
          <w:rFonts w:ascii="宋体" w:hAnsi="宋体" w:cs="宋体"/>
          <w:sz w:val="21"/>
          <w:szCs w:val="21"/>
        </w:rPr>
        <w:t>2.4</w:t>
      </w:r>
      <w:r>
        <w:rPr>
          <w:rFonts w:hint="eastAsia" w:ascii="宋体" w:hAnsi="宋体" w:cs="宋体"/>
          <w:sz w:val="21"/>
          <w:szCs w:val="21"/>
        </w:rPr>
        <w:t>协助承包人办理证件和批件</w:t>
      </w:r>
      <w:bookmarkEnd w:id="327"/>
      <w:bookmarkEnd w:id="328"/>
      <w:bookmarkEnd w:id="329"/>
      <w:bookmarkEnd w:id="330"/>
      <w:bookmarkEnd w:id="331"/>
      <w:bookmarkEnd w:id="332"/>
      <w:bookmarkEnd w:id="333"/>
      <w:bookmarkEnd w:id="334"/>
      <w:bookmarkEnd w:id="335"/>
    </w:p>
    <w:p w14:paraId="16EBC7F3">
      <w:pPr>
        <w:pStyle w:val="319"/>
        <w:spacing w:after="240"/>
        <w:ind w:firstLine="420"/>
        <w:rPr>
          <w:rFonts w:cs="Times New Roman"/>
          <w:sz w:val="21"/>
          <w:szCs w:val="21"/>
        </w:rPr>
      </w:pPr>
      <w:r>
        <w:rPr>
          <w:rFonts w:hint="eastAsia"/>
          <w:sz w:val="21"/>
          <w:szCs w:val="21"/>
        </w:rPr>
        <w:t>发包人应协助承包人办理法律规定的有关施工证件和批件。</w:t>
      </w:r>
    </w:p>
    <w:p w14:paraId="12CC95D3">
      <w:pPr>
        <w:pStyle w:val="318"/>
        <w:spacing w:line="360" w:lineRule="auto"/>
        <w:rPr>
          <w:rFonts w:ascii="宋体" w:cs="宋体"/>
          <w:sz w:val="21"/>
          <w:szCs w:val="21"/>
        </w:rPr>
      </w:pPr>
      <w:bookmarkStart w:id="336" w:name="bookmark964"/>
      <w:bookmarkStart w:id="337" w:name="bookmark965"/>
      <w:bookmarkStart w:id="338" w:name="_Toc256000274"/>
      <w:bookmarkStart w:id="339" w:name="_Toc256000024"/>
      <w:bookmarkStart w:id="340" w:name="_Toc10701"/>
      <w:bookmarkStart w:id="341" w:name="_Toc2710"/>
      <w:bookmarkStart w:id="342" w:name="_Toc27327"/>
      <w:bookmarkStart w:id="343" w:name="_Toc15085"/>
      <w:bookmarkStart w:id="344" w:name="bookmark966"/>
      <w:r>
        <w:rPr>
          <w:rFonts w:ascii="宋体" w:hAnsi="宋体" w:cs="宋体"/>
          <w:sz w:val="21"/>
          <w:szCs w:val="21"/>
        </w:rPr>
        <w:t>2.5</w:t>
      </w:r>
      <w:r>
        <w:rPr>
          <w:rFonts w:hint="eastAsia" w:ascii="宋体" w:hAnsi="宋体" w:cs="宋体"/>
          <w:sz w:val="21"/>
          <w:szCs w:val="21"/>
        </w:rPr>
        <w:t>组织设计交底</w:t>
      </w:r>
      <w:bookmarkEnd w:id="336"/>
      <w:bookmarkEnd w:id="337"/>
      <w:bookmarkEnd w:id="338"/>
      <w:bookmarkEnd w:id="339"/>
      <w:bookmarkEnd w:id="340"/>
      <w:bookmarkEnd w:id="341"/>
      <w:bookmarkEnd w:id="342"/>
      <w:bookmarkEnd w:id="343"/>
      <w:bookmarkEnd w:id="344"/>
    </w:p>
    <w:p w14:paraId="680274CA">
      <w:pPr>
        <w:pStyle w:val="319"/>
        <w:spacing w:after="240"/>
        <w:ind w:firstLine="420"/>
        <w:rPr>
          <w:rFonts w:cs="Times New Roman"/>
          <w:sz w:val="21"/>
          <w:szCs w:val="21"/>
        </w:rPr>
      </w:pPr>
      <w:r>
        <w:rPr>
          <w:rFonts w:hint="eastAsia"/>
          <w:sz w:val="21"/>
          <w:szCs w:val="21"/>
        </w:rPr>
        <w:t>发包人应根据合同进度计划，组织设计单位向承包人进行设计交底。</w:t>
      </w:r>
    </w:p>
    <w:p w14:paraId="0EF2E93F">
      <w:pPr>
        <w:pStyle w:val="318"/>
        <w:spacing w:line="360" w:lineRule="auto"/>
        <w:rPr>
          <w:rFonts w:ascii="宋体" w:cs="宋体"/>
          <w:sz w:val="21"/>
          <w:szCs w:val="21"/>
        </w:rPr>
      </w:pPr>
      <w:bookmarkStart w:id="345" w:name="_Toc11916"/>
      <w:bookmarkStart w:id="346" w:name="bookmark968"/>
      <w:bookmarkStart w:id="347" w:name="bookmark967"/>
      <w:bookmarkStart w:id="348" w:name="_Toc256000025"/>
      <w:bookmarkStart w:id="349" w:name="_Toc15125"/>
      <w:bookmarkStart w:id="350" w:name="_Toc256000275"/>
      <w:bookmarkStart w:id="351" w:name="bookmark969"/>
      <w:bookmarkStart w:id="352" w:name="_Toc1021"/>
      <w:bookmarkStart w:id="353" w:name="_Toc21558"/>
      <w:r>
        <w:rPr>
          <w:rFonts w:ascii="宋体" w:hAnsi="宋体" w:cs="宋体"/>
          <w:sz w:val="21"/>
          <w:szCs w:val="21"/>
        </w:rPr>
        <w:t>2.6</w:t>
      </w:r>
      <w:r>
        <w:rPr>
          <w:rFonts w:hint="eastAsia" w:ascii="宋体" w:hAnsi="宋体" w:cs="宋体"/>
          <w:sz w:val="21"/>
          <w:szCs w:val="21"/>
        </w:rPr>
        <w:t>支付合同价款</w:t>
      </w:r>
      <w:bookmarkEnd w:id="345"/>
      <w:bookmarkEnd w:id="346"/>
      <w:bookmarkEnd w:id="347"/>
      <w:bookmarkEnd w:id="348"/>
      <w:bookmarkEnd w:id="349"/>
      <w:bookmarkEnd w:id="350"/>
      <w:bookmarkEnd w:id="351"/>
      <w:bookmarkEnd w:id="352"/>
      <w:bookmarkEnd w:id="353"/>
    </w:p>
    <w:p w14:paraId="30B19CE4">
      <w:pPr>
        <w:pStyle w:val="319"/>
        <w:spacing w:after="240"/>
        <w:ind w:firstLine="420"/>
        <w:rPr>
          <w:rFonts w:cs="Times New Roman"/>
          <w:sz w:val="21"/>
          <w:szCs w:val="21"/>
        </w:rPr>
      </w:pPr>
      <w:r>
        <w:rPr>
          <w:rFonts w:hint="eastAsia"/>
          <w:sz w:val="21"/>
          <w:szCs w:val="21"/>
        </w:rPr>
        <w:t>发包人应按合同约定向承包人及时支付合同价款。</w:t>
      </w:r>
    </w:p>
    <w:p w14:paraId="3A1E6B02">
      <w:pPr>
        <w:pStyle w:val="318"/>
        <w:spacing w:line="360" w:lineRule="auto"/>
        <w:rPr>
          <w:rFonts w:ascii="宋体" w:cs="宋体"/>
          <w:sz w:val="21"/>
          <w:szCs w:val="21"/>
        </w:rPr>
      </w:pPr>
      <w:bookmarkStart w:id="354" w:name="bookmark970"/>
      <w:bookmarkStart w:id="355" w:name="_Toc11503"/>
      <w:bookmarkStart w:id="356" w:name="bookmark972"/>
      <w:bookmarkStart w:id="357" w:name="_Toc256000276"/>
      <w:bookmarkStart w:id="358" w:name="_Toc5624"/>
      <w:bookmarkStart w:id="359" w:name="bookmark971"/>
      <w:bookmarkStart w:id="360" w:name="_Toc14608"/>
      <w:bookmarkStart w:id="361" w:name="_Toc256000026"/>
      <w:bookmarkStart w:id="362" w:name="_Toc28147"/>
      <w:r>
        <w:rPr>
          <w:rFonts w:ascii="宋体" w:hAnsi="宋体" w:cs="宋体"/>
          <w:sz w:val="21"/>
          <w:szCs w:val="21"/>
        </w:rPr>
        <w:t>2.7</w:t>
      </w:r>
      <w:r>
        <w:rPr>
          <w:rFonts w:hint="eastAsia" w:ascii="宋体" w:hAnsi="宋体" w:cs="宋体"/>
          <w:sz w:val="21"/>
          <w:szCs w:val="21"/>
        </w:rPr>
        <w:t>组织竣工验收（组织法人验收）</w:t>
      </w:r>
      <w:bookmarkEnd w:id="354"/>
      <w:bookmarkEnd w:id="355"/>
      <w:bookmarkEnd w:id="356"/>
      <w:bookmarkEnd w:id="357"/>
      <w:bookmarkEnd w:id="358"/>
      <w:bookmarkEnd w:id="359"/>
      <w:bookmarkEnd w:id="360"/>
      <w:bookmarkEnd w:id="361"/>
      <w:bookmarkEnd w:id="362"/>
    </w:p>
    <w:p w14:paraId="06788F8A">
      <w:pPr>
        <w:pStyle w:val="319"/>
        <w:spacing w:after="120"/>
        <w:ind w:firstLine="420"/>
        <w:rPr>
          <w:rFonts w:cs="Times New Roman"/>
          <w:sz w:val="21"/>
          <w:szCs w:val="21"/>
        </w:rPr>
      </w:pPr>
      <w:r>
        <w:rPr>
          <w:rFonts w:hint="eastAsia"/>
          <w:sz w:val="21"/>
          <w:szCs w:val="21"/>
        </w:rPr>
        <w:t>发包人应按合同约定及时组织法人验收。</w:t>
      </w:r>
    </w:p>
    <w:p w14:paraId="23FE0B0E">
      <w:pPr>
        <w:pStyle w:val="318"/>
        <w:spacing w:line="360" w:lineRule="auto"/>
        <w:rPr>
          <w:rFonts w:ascii="宋体" w:cs="宋体"/>
          <w:sz w:val="21"/>
          <w:szCs w:val="21"/>
        </w:rPr>
      </w:pPr>
      <w:bookmarkStart w:id="363" w:name="bookmark975"/>
      <w:bookmarkStart w:id="364" w:name="bookmark973"/>
      <w:bookmarkStart w:id="365" w:name="_Toc26461"/>
      <w:bookmarkStart w:id="366" w:name="_Toc32583"/>
      <w:bookmarkStart w:id="367" w:name="_Toc256000027"/>
      <w:bookmarkStart w:id="368" w:name="_Toc1945"/>
      <w:bookmarkStart w:id="369" w:name="_Toc256000277"/>
      <w:bookmarkStart w:id="370" w:name="bookmark974"/>
      <w:bookmarkStart w:id="371" w:name="_Toc16585"/>
      <w:r>
        <w:rPr>
          <w:rFonts w:ascii="宋体" w:hAnsi="宋体" w:cs="宋体"/>
          <w:sz w:val="21"/>
          <w:szCs w:val="21"/>
        </w:rPr>
        <w:t>2.8</w:t>
      </w:r>
      <w:r>
        <w:rPr>
          <w:rFonts w:hint="eastAsia" w:ascii="宋体" w:hAnsi="宋体" w:cs="宋体"/>
          <w:sz w:val="21"/>
          <w:szCs w:val="21"/>
        </w:rPr>
        <w:t>其它义务</w:t>
      </w:r>
      <w:bookmarkEnd w:id="363"/>
      <w:bookmarkEnd w:id="364"/>
      <w:bookmarkEnd w:id="365"/>
      <w:bookmarkEnd w:id="366"/>
      <w:bookmarkEnd w:id="367"/>
      <w:bookmarkEnd w:id="368"/>
      <w:bookmarkEnd w:id="369"/>
      <w:bookmarkEnd w:id="370"/>
      <w:bookmarkEnd w:id="371"/>
    </w:p>
    <w:p w14:paraId="3D3AC14E">
      <w:pPr>
        <w:pStyle w:val="319"/>
        <w:spacing w:after="280"/>
        <w:ind w:firstLine="420"/>
        <w:rPr>
          <w:rFonts w:cs="Times New Roman"/>
          <w:sz w:val="21"/>
          <w:szCs w:val="21"/>
        </w:rPr>
      </w:pPr>
      <w:r>
        <w:rPr>
          <w:rFonts w:hint="eastAsia"/>
          <w:sz w:val="21"/>
          <w:szCs w:val="21"/>
        </w:rPr>
        <w:t>其它义务在专用合同条款中补充约定。</w:t>
      </w:r>
    </w:p>
    <w:p w14:paraId="4ABBD1C1">
      <w:pPr>
        <w:pStyle w:val="318"/>
        <w:spacing w:line="360" w:lineRule="auto"/>
        <w:rPr>
          <w:rFonts w:ascii="宋体" w:cs="宋体"/>
          <w:sz w:val="21"/>
          <w:szCs w:val="21"/>
        </w:rPr>
      </w:pPr>
      <w:bookmarkStart w:id="372" w:name="_Toc10393"/>
      <w:bookmarkStart w:id="373" w:name="_Toc17454"/>
      <w:bookmarkStart w:id="374" w:name="bookmark978"/>
      <w:bookmarkStart w:id="375" w:name="bookmark977"/>
      <w:bookmarkStart w:id="376" w:name="_Toc17163"/>
      <w:bookmarkStart w:id="377" w:name="_Toc256000028"/>
      <w:bookmarkStart w:id="378" w:name="_Toc256000278"/>
      <w:bookmarkStart w:id="379" w:name="bookmark976"/>
      <w:bookmarkStart w:id="380" w:name="_Toc25929"/>
      <w:r>
        <w:rPr>
          <w:rFonts w:ascii="宋体" w:hAnsi="宋体" w:cs="宋体"/>
          <w:sz w:val="21"/>
          <w:szCs w:val="21"/>
        </w:rPr>
        <w:t>3.</w:t>
      </w:r>
      <w:r>
        <w:rPr>
          <w:rFonts w:hint="eastAsia" w:ascii="宋体" w:hAnsi="宋体" w:cs="宋体"/>
          <w:sz w:val="21"/>
          <w:szCs w:val="21"/>
        </w:rPr>
        <w:t>监理人</w:t>
      </w:r>
      <w:bookmarkEnd w:id="372"/>
      <w:bookmarkEnd w:id="373"/>
      <w:bookmarkEnd w:id="374"/>
      <w:bookmarkEnd w:id="375"/>
      <w:bookmarkEnd w:id="376"/>
      <w:bookmarkEnd w:id="377"/>
      <w:bookmarkEnd w:id="378"/>
      <w:bookmarkEnd w:id="379"/>
      <w:bookmarkEnd w:id="380"/>
    </w:p>
    <w:p w14:paraId="5B4197F4">
      <w:pPr>
        <w:pStyle w:val="318"/>
        <w:spacing w:line="360" w:lineRule="auto"/>
        <w:rPr>
          <w:rFonts w:ascii="宋体" w:cs="宋体"/>
          <w:sz w:val="21"/>
          <w:szCs w:val="21"/>
        </w:rPr>
      </w:pPr>
      <w:bookmarkStart w:id="381" w:name="_Toc256000279"/>
      <w:bookmarkStart w:id="382" w:name="bookmark979"/>
      <w:bookmarkStart w:id="383" w:name="_Toc29672"/>
      <w:bookmarkStart w:id="384" w:name="_Toc256000029"/>
      <w:bookmarkStart w:id="385" w:name="_Toc28768"/>
      <w:bookmarkStart w:id="386" w:name="bookmark980"/>
      <w:bookmarkStart w:id="387" w:name="bookmark981"/>
      <w:bookmarkStart w:id="388" w:name="_Toc5442"/>
      <w:bookmarkStart w:id="389" w:name="_Toc152"/>
      <w:r>
        <w:rPr>
          <w:rFonts w:ascii="宋体" w:hAnsi="宋体" w:cs="宋体"/>
          <w:sz w:val="21"/>
          <w:szCs w:val="21"/>
        </w:rPr>
        <w:t>3.1</w:t>
      </w:r>
      <w:r>
        <w:rPr>
          <w:rFonts w:hint="eastAsia" w:ascii="宋体" w:hAnsi="宋体" w:cs="宋体"/>
          <w:sz w:val="21"/>
          <w:szCs w:val="21"/>
        </w:rPr>
        <w:t>监理人的职责和权利</w:t>
      </w:r>
      <w:bookmarkEnd w:id="381"/>
      <w:bookmarkEnd w:id="382"/>
      <w:bookmarkEnd w:id="383"/>
      <w:bookmarkEnd w:id="384"/>
      <w:bookmarkEnd w:id="385"/>
      <w:bookmarkEnd w:id="386"/>
      <w:bookmarkEnd w:id="387"/>
      <w:bookmarkEnd w:id="388"/>
      <w:bookmarkEnd w:id="389"/>
    </w:p>
    <w:p w14:paraId="14451AD2">
      <w:pPr>
        <w:pStyle w:val="319"/>
        <w:ind w:firstLine="420"/>
        <w:rPr>
          <w:rFonts w:cs="Times New Roman"/>
          <w:sz w:val="21"/>
          <w:szCs w:val="21"/>
        </w:rPr>
      </w:pPr>
      <w:r>
        <w:rPr>
          <w:sz w:val="21"/>
          <w:szCs w:val="21"/>
          <w:lang w:val="en-US"/>
        </w:rPr>
        <w:t>3.1.1</w:t>
      </w:r>
      <w:r>
        <w:rPr>
          <w:rFonts w:hint="eastAsia"/>
          <w:sz w:val="21"/>
          <w:szCs w:val="21"/>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w:t>
      </w:r>
      <w:r>
        <w:rPr>
          <w:sz w:val="21"/>
          <w:szCs w:val="21"/>
        </w:rPr>
        <w:t xml:space="preserve"> </w:t>
      </w:r>
      <w:r>
        <w:rPr>
          <w:rFonts w:hint="eastAsia"/>
          <w:sz w:val="21"/>
          <w:szCs w:val="21"/>
        </w:rPr>
        <w:t>所必须进行的工作，即使没有发包人的事先批准，承包人也应立即遵照执行。监理人应按</w:t>
      </w:r>
      <w:r>
        <w:rPr>
          <w:sz w:val="21"/>
          <w:szCs w:val="21"/>
        </w:rPr>
        <w:t xml:space="preserve"> </w:t>
      </w:r>
      <w:r>
        <w:rPr>
          <w:rFonts w:hint="eastAsia"/>
          <w:sz w:val="21"/>
          <w:szCs w:val="21"/>
        </w:rPr>
        <w:t>第</w:t>
      </w:r>
      <w:r>
        <w:rPr>
          <w:sz w:val="21"/>
          <w:szCs w:val="21"/>
        </w:rPr>
        <w:t>15</w:t>
      </w:r>
      <w:r>
        <w:rPr>
          <w:rFonts w:hint="eastAsia"/>
          <w:sz w:val="21"/>
          <w:szCs w:val="21"/>
        </w:rPr>
        <w:t>条的约定增加相应的费用，并通知承包人。</w:t>
      </w:r>
    </w:p>
    <w:p w14:paraId="429C8995">
      <w:pPr>
        <w:pStyle w:val="319"/>
        <w:ind w:firstLine="420"/>
        <w:rPr>
          <w:rFonts w:cs="Times New Roman"/>
          <w:sz w:val="21"/>
          <w:szCs w:val="21"/>
        </w:rPr>
      </w:pPr>
      <w:r>
        <w:rPr>
          <w:sz w:val="21"/>
          <w:szCs w:val="21"/>
          <w:lang w:val="en-US"/>
        </w:rPr>
        <w:t>3.1.2</w:t>
      </w:r>
      <w:r>
        <w:rPr>
          <w:rFonts w:hint="eastAsia"/>
          <w:sz w:val="21"/>
          <w:szCs w:val="21"/>
        </w:rPr>
        <w:t>监理人发出的任何指示应视为已得到发包人的批准，但监理人无权免除或变更合同约定的发包人和承包人的权利、义务和责任。</w:t>
      </w:r>
    </w:p>
    <w:p w14:paraId="666C994A">
      <w:pPr>
        <w:pStyle w:val="319"/>
        <w:spacing w:after="120"/>
        <w:ind w:firstLine="420"/>
        <w:rPr>
          <w:rFonts w:cs="Times New Roman"/>
          <w:sz w:val="21"/>
          <w:szCs w:val="21"/>
        </w:rPr>
      </w:pPr>
      <w:r>
        <w:rPr>
          <w:sz w:val="21"/>
          <w:szCs w:val="21"/>
          <w:lang w:val="en-US"/>
        </w:rPr>
        <w:t>3.1.3</w:t>
      </w:r>
      <w:r>
        <w:rPr>
          <w:rFonts w:hint="eastAsia"/>
          <w:sz w:val="21"/>
          <w:szCs w:val="21"/>
        </w:rPr>
        <w:t>合同约定应由承包人承担的义务和责任，不因监理人对承包人提交文件的审查或批准，对工程、材料和设备的检查和检验，以及为实施监理作出的指示等职务行为而减轻或解除。</w:t>
      </w:r>
    </w:p>
    <w:p w14:paraId="5B39A614">
      <w:pPr>
        <w:pStyle w:val="318"/>
        <w:spacing w:line="360" w:lineRule="auto"/>
        <w:rPr>
          <w:rFonts w:ascii="宋体" w:cs="宋体"/>
          <w:sz w:val="21"/>
          <w:szCs w:val="21"/>
        </w:rPr>
      </w:pPr>
      <w:bookmarkStart w:id="390" w:name="bookmark982"/>
      <w:bookmarkStart w:id="391" w:name="_Toc16821"/>
      <w:bookmarkStart w:id="392" w:name="bookmark983"/>
      <w:bookmarkStart w:id="393" w:name="_Toc256000280"/>
      <w:bookmarkStart w:id="394" w:name="_Toc28424"/>
      <w:bookmarkStart w:id="395" w:name="_Toc20317"/>
      <w:bookmarkStart w:id="396" w:name="_Toc256000030"/>
      <w:bookmarkStart w:id="397" w:name="_Toc24215"/>
      <w:bookmarkStart w:id="398" w:name="bookmark984"/>
      <w:r>
        <w:rPr>
          <w:rFonts w:ascii="宋体" w:hAnsi="宋体" w:cs="宋体"/>
          <w:sz w:val="21"/>
          <w:szCs w:val="21"/>
        </w:rPr>
        <w:t>3.2</w:t>
      </w:r>
      <w:r>
        <w:rPr>
          <w:rFonts w:hint="eastAsia" w:ascii="宋体" w:hAnsi="宋体" w:cs="宋体"/>
          <w:sz w:val="21"/>
          <w:szCs w:val="21"/>
        </w:rPr>
        <w:t>总监理工程师</w:t>
      </w:r>
      <w:bookmarkEnd w:id="390"/>
      <w:bookmarkEnd w:id="391"/>
      <w:bookmarkEnd w:id="392"/>
      <w:bookmarkEnd w:id="393"/>
      <w:bookmarkEnd w:id="394"/>
      <w:bookmarkEnd w:id="395"/>
      <w:bookmarkEnd w:id="396"/>
      <w:bookmarkEnd w:id="397"/>
      <w:bookmarkEnd w:id="398"/>
    </w:p>
    <w:p w14:paraId="2E4A8D5E">
      <w:pPr>
        <w:pStyle w:val="319"/>
        <w:spacing w:after="120"/>
        <w:ind w:firstLine="420"/>
        <w:rPr>
          <w:rFonts w:cs="Times New Roman"/>
          <w:sz w:val="21"/>
          <w:szCs w:val="21"/>
        </w:rPr>
      </w:pPr>
      <w:r>
        <w:rPr>
          <w:rFonts w:hint="eastAsia"/>
          <w:sz w:val="21"/>
          <w:szCs w:val="21"/>
        </w:rPr>
        <w:t>发包人应在发出开工通知前将总监理工程师的任命通知承包人。总监理工程师更换时</w:t>
      </w:r>
      <w:r>
        <w:rPr>
          <w:sz w:val="21"/>
          <w:szCs w:val="21"/>
        </w:rPr>
        <w:t xml:space="preserve">, </w:t>
      </w:r>
      <w:r>
        <w:rPr>
          <w:rFonts w:hint="eastAsia"/>
          <w:sz w:val="21"/>
          <w:szCs w:val="21"/>
        </w:rPr>
        <w:t>应在调离</w:t>
      </w:r>
      <w:r>
        <w:rPr>
          <w:sz w:val="21"/>
          <w:szCs w:val="21"/>
        </w:rPr>
        <w:t>14</w:t>
      </w:r>
      <w:r>
        <w:rPr>
          <w:rFonts w:hint="eastAsia"/>
          <w:sz w:val="21"/>
          <w:szCs w:val="21"/>
        </w:rPr>
        <w:t>天前通知承包人。总监理工程师短期离开施工场地的，应委派代表代行其职</w:t>
      </w:r>
      <w:r>
        <w:rPr>
          <w:sz w:val="21"/>
          <w:szCs w:val="21"/>
        </w:rPr>
        <w:t xml:space="preserve"> </w:t>
      </w:r>
      <w:r>
        <w:rPr>
          <w:rFonts w:hint="eastAsia"/>
          <w:sz w:val="21"/>
          <w:szCs w:val="21"/>
        </w:rPr>
        <w:t>责，并通知承包人。</w:t>
      </w:r>
    </w:p>
    <w:p w14:paraId="3C250BE2">
      <w:pPr>
        <w:pStyle w:val="318"/>
        <w:spacing w:line="360" w:lineRule="auto"/>
        <w:rPr>
          <w:rFonts w:ascii="宋体" w:cs="宋体"/>
          <w:sz w:val="21"/>
          <w:szCs w:val="21"/>
        </w:rPr>
      </w:pPr>
      <w:bookmarkStart w:id="399" w:name="_Toc11573"/>
      <w:bookmarkStart w:id="400" w:name="_Toc256000281"/>
      <w:bookmarkStart w:id="401" w:name="bookmark986"/>
      <w:bookmarkStart w:id="402" w:name="_Toc29887"/>
      <w:bookmarkStart w:id="403" w:name="bookmark987"/>
      <w:bookmarkStart w:id="404" w:name="bookmark985"/>
      <w:bookmarkStart w:id="405" w:name="_Toc13884"/>
      <w:bookmarkStart w:id="406" w:name="_Toc4448"/>
      <w:bookmarkStart w:id="407" w:name="_Toc256000031"/>
      <w:r>
        <w:rPr>
          <w:rFonts w:ascii="宋体" w:hAnsi="宋体" w:cs="宋体"/>
          <w:sz w:val="21"/>
          <w:szCs w:val="21"/>
        </w:rPr>
        <w:t>3.3</w:t>
      </w:r>
      <w:r>
        <w:rPr>
          <w:rFonts w:hint="eastAsia" w:ascii="宋体" w:hAnsi="宋体" w:cs="宋体"/>
          <w:sz w:val="21"/>
          <w:szCs w:val="21"/>
        </w:rPr>
        <w:t>监理人员</w:t>
      </w:r>
      <w:bookmarkEnd w:id="399"/>
      <w:bookmarkEnd w:id="400"/>
      <w:bookmarkEnd w:id="401"/>
      <w:bookmarkEnd w:id="402"/>
      <w:bookmarkEnd w:id="403"/>
      <w:bookmarkEnd w:id="404"/>
      <w:bookmarkEnd w:id="405"/>
      <w:bookmarkEnd w:id="406"/>
      <w:bookmarkEnd w:id="407"/>
    </w:p>
    <w:p w14:paraId="0FB728E6">
      <w:pPr>
        <w:pStyle w:val="319"/>
        <w:ind w:firstLine="420"/>
        <w:rPr>
          <w:rFonts w:cs="Times New Roman"/>
          <w:sz w:val="21"/>
          <w:szCs w:val="21"/>
        </w:rPr>
      </w:pPr>
      <w:bookmarkStart w:id="408" w:name="bookmark988"/>
      <w:bookmarkEnd w:id="408"/>
      <w:r>
        <w:rPr>
          <w:sz w:val="21"/>
          <w:szCs w:val="21"/>
        </w:rPr>
        <w:t>3.3.1</w:t>
      </w:r>
      <w:r>
        <w:rPr>
          <w:rFonts w:hint="eastAsia"/>
          <w:sz w:val="21"/>
          <w:szCs w:val="21"/>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66A5246C">
      <w:pPr>
        <w:pStyle w:val="319"/>
        <w:ind w:firstLine="420"/>
        <w:rPr>
          <w:rFonts w:cs="Times New Roman"/>
          <w:sz w:val="21"/>
          <w:szCs w:val="21"/>
        </w:rPr>
      </w:pPr>
      <w:r>
        <w:rPr>
          <w:sz w:val="21"/>
          <w:szCs w:val="21"/>
          <w:lang w:val="en-US"/>
        </w:rPr>
        <w:t>3.3.2</w:t>
      </w:r>
      <w:r>
        <w:rPr>
          <w:rFonts w:hint="eastAsia"/>
          <w:sz w:val="21"/>
          <w:szCs w:val="21"/>
        </w:rPr>
        <w:t>监理人员对承包人的任何工作、工程或其采用的材料和工程设备未在约定的或合理的期限内提出否定意见的，视为已获批准，但不影响监理人在以后拒绝该项工作、工程、材料或工程设备的权利。</w:t>
      </w:r>
    </w:p>
    <w:p w14:paraId="4155B8D2">
      <w:pPr>
        <w:pStyle w:val="319"/>
        <w:ind w:firstLine="420"/>
        <w:rPr>
          <w:rFonts w:cs="Times New Roman"/>
          <w:sz w:val="21"/>
          <w:szCs w:val="21"/>
        </w:rPr>
      </w:pPr>
      <w:r>
        <w:rPr>
          <w:sz w:val="21"/>
          <w:szCs w:val="21"/>
          <w:lang w:val="en-US"/>
        </w:rPr>
        <w:t>3.3.3</w:t>
      </w:r>
      <w:r>
        <w:rPr>
          <w:rFonts w:hint="eastAsia"/>
          <w:sz w:val="21"/>
          <w:szCs w:val="21"/>
        </w:rPr>
        <w:t>承包人对总监理工程师授权的监理人员发出的指示有疑问的，可向总监理工程师提出书面异议，总监理工程师应在</w:t>
      </w:r>
      <w:r>
        <w:rPr>
          <w:sz w:val="21"/>
          <w:szCs w:val="21"/>
        </w:rPr>
        <w:t>48</w:t>
      </w:r>
      <w:r>
        <w:rPr>
          <w:rFonts w:hint="eastAsia"/>
          <w:sz w:val="21"/>
          <w:szCs w:val="21"/>
        </w:rPr>
        <w:t>小时内对该指示予以确认、更改或撤销。</w:t>
      </w:r>
    </w:p>
    <w:p w14:paraId="1E4FEF35">
      <w:pPr>
        <w:pStyle w:val="319"/>
        <w:spacing w:after="240"/>
        <w:ind w:firstLine="420"/>
        <w:rPr>
          <w:rFonts w:cs="Times New Roman"/>
          <w:sz w:val="21"/>
          <w:szCs w:val="21"/>
        </w:rPr>
      </w:pPr>
      <w:bookmarkStart w:id="409" w:name="bookmark989"/>
      <w:bookmarkEnd w:id="409"/>
      <w:r>
        <w:rPr>
          <w:sz w:val="21"/>
          <w:szCs w:val="21"/>
        </w:rPr>
        <w:t>3.3.4</w:t>
      </w:r>
      <w:r>
        <w:rPr>
          <w:rFonts w:hint="eastAsia"/>
          <w:sz w:val="21"/>
          <w:szCs w:val="21"/>
        </w:rPr>
        <w:t>除专用合同条款另有约定外，总监理工程师不应将第</w:t>
      </w:r>
      <w:r>
        <w:rPr>
          <w:sz w:val="21"/>
          <w:szCs w:val="21"/>
        </w:rPr>
        <w:t>3. 5</w:t>
      </w:r>
      <w:r>
        <w:rPr>
          <w:rFonts w:hint="eastAsia"/>
          <w:sz w:val="21"/>
          <w:szCs w:val="21"/>
        </w:rPr>
        <w:t>款约定应由总监理工程师作出确定的权力授权或委托给其他监理人员。</w:t>
      </w:r>
    </w:p>
    <w:p w14:paraId="47BBCEB9">
      <w:pPr>
        <w:pStyle w:val="318"/>
        <w:spacing w:line="360" w:lineRule="auto"/>
        <w:rPr>
          <w:rFonts w:ascii="宋体" w:cs="宋体"/>
          <w:sz w:val="21"/>
          <w:szCs w:val="21"/>
        </w:rPr>
      </w:pPr>
      <w:bookmarkStart w:id="410" w:name="_Toc29343"/>
      <w:bookmarkStart w:id="411" w:name="_Toc256000032"/>
      <w:bookmarkStart w:id="412" w:name="_Toc3439"/>
      <w:bookmarkStart w:id="413" w:name="_Toc256000282"/>
      <w:bookmarkStart w:id="414" w:name="_Toc22137"/>
      <w:bookmarkStart w:id="415" w:name="bookmark992"/>
      <w:bookmarkStart w:id="416" w:name="_Toc28235"/>
      <w:bookmarkStart w:id="417" w:name="bookmark990"/>
      <w:bookmarkStart w:id="418" w:name="bookmark991"/>
      <w:r>
        <w:rPr>
          <w:rFonts w:ascii="宋体" w:hAnsi="宋体" w:cs="宋体"/>
          <w:sz w:val="21"/>
          <w:szCs w:val="21"/>
        </w:rPr>
        <w:t>3.4</w:t>
      </w:r>
      <w:r>
        <w:rPr>
          <w:rFonts w:hint="eastAsia" w:ascii="宋体" w:hAnsi="宋体" w:cs="宋体"/>
          <w:sz w:val="21"/>
          <w:szCs w:val="21"/>
        </w:rPr>
        <w:t>监理人的指示</w:t>
      </w:r>
      <w:bookmarkEnd w:id="410"/>
      <w:bookmarkEnd w:id="411"/>
      <w:bookmarkEnd w:id="412"/>
      <w:bookmarkEnd w:id="413"/>
      <w:bookmarkEnd w:id="414"/>
      <w:bookmarkEnd w:id="415"/>
      <w:bookmarkEnd w:id="416"/>
      <w:bookmarkEnd w:id="417"/>
      <w:bookmarkEnd w:id="418"/>
    </w:p>
    <w:p w14:paraId="522438E8">
      <w:pPr>
        <w:pStyle w:val="319"/>
        <w:ind w:firstLine="420"/>
        <w:rPr>
          <w:rFonts w:cs="Times New Roman"/>
          <w:sz w:val="21"/>
          <w:szCs w:val="21"/>
        </w:rPr>
      </w:pPr>
      <w:r>
        <w:rPr>
          <w:sz w:val="21"/>
          <w:szCs w:val="21"/>
          <w:lang w:val="en-US"/>
        </w:rPr>
        <w:t>3.4.</w:t>
      </w:r>
      <w:r>
        <w:rPr>
          <w:sz w:val="21"/>
          <w:szCs w:val="21"/>
        </w:rPr>
        <w:t>1</w:t>
      </w:r>
      <w:r>
        <w:rPr>
          <w:rFonts w:hint="eastAsia"/>
          <w:sz w:val="21"/>
          <w:szCs w:val="21"/>
        </w:rPr>
        <w:t>监理人应按第</w:t>
      </w:r>
      <w:r>
        <w:rPr>
          <w:sz w:val="21"/>
          <w:szCs w:val="21"/>
          <w:lang w:val="en-US"/>
        </w:rPr>
        <w:t xml:space="preserve">3. </w:t>
      </w:r>
      <w:r>
        <w:rPr>
          <w:sz w:val="21"/>
          <w:szCs w:val="21"/>
        </w:rPr>
        <w:t>1</w:t>
      </w:r>
      <w:r>
        <w:rPr>
          <w:rFonts w:hint="eastAsia"/>
          <w:sz w:val="21"/>
          <w:szCs w:val="21"/>
        </w:rPr>
        <w:t>款的约定向承包人发出指示，监理人的指示应盖有监理人授权的施工场地机构章，并由总监理工程师或总监理工程师按第</w:t>
      </w:r>
      <w:r>
        <w:rPr>
          <w:sz w:val="21"/>
          <w:szCs w:val="21"/>
          <w:lang w:val="en-US"/>
        </w:rPr>
        <w:t xml:space="preserve">3. 3. </w:t>
      </w:r>
      <w:r>
        <w:rPr>
          <w:sz w:val="21"/>
          <w:szCs w:val="21"/>
        </w:rPr>
        <w:t>1</w:t>
      </w:r>
      <w:r>
        <w:rPr>
          <w:rFonts w:hint="eastAsia"/>
          <w:sz w:val="21"/>
          <w:szCs w:val="21"/>
        </w:rPr>
        <w:t>项约定授权的监理人员签字</w:t>
      </w:r>
      <w:r>
        <w:rPr>
          <w:rFonts w:hint="eastAsia"/>
          <w:sz w:val="21"/>
          <w:szCs w:val="21"/>
          <w:lang w:val="en-US"/>
        </w:rPr>
        <w:t>。</w:t>
      </w:r>
    </w:p>
    <w:p w14:paraId="3D5BE4B8">
      <w:pPr>
        <w:pStyle w:val="319"/>
        <w:ind w:firstLine="420"/>
        <w:rPr>
          <w:rFonts w:cs="Times New Roman"/>
          <w:sz w:val="21"/>
          <w:szCs w:val="21"/>
        </w:rPr>
      </w:pPr>
      <w:r>
        <w:rPr>
          <w:sz w:val="21"/>
          <w:szCs w:val="21"/>
          <w:lang w:val="en-US"/>
        </w:rPr>
        <w:t>3.4.2</w:t>
      </w:r>
      <w:r>
        <w:rPr>
          <w:rFonts w:hint="eastAsia"/>
          <w:sz w:val="21"/>
          <w:szCs w:val="21"/>
        </w:rPr>
        <w:t>承包人收到监理人按第</w:t>
      </w:r>
      <w:r>
        <w:rPr>
          <w:sz w:val="21"/>
          <w:szCs w:val="21"/>
          <w:lang w:val="en-US"/>
        </w:rPr>
        <w:t>3. 4.1</w:t>
      </w:r>
      <w:r>
        <w:rPr>
          <w:rFonts w:hint="eastAsia"/>
          <w:sz w:val="21"/>
          <w:szCs w:val="21"/>
        </w:rPr>
        <w:t>项作出的指示后应遵照执行。指示构成变更的，应按第</w:t>
      </w:r>
      <w:r>
        <w:rPr>
          <w:sz w:val="21"/>
          <w:szCs w:val="21"/>
        </w:rPr>
        <w:t>15</w:t>
      </w:r>
      <w:r>
        <w:rPr>
          <w:rFonts w:hint="eastAsia"/>
          <w:sz w:val="21"/>
          <w:szCs w:val="21"/>
        </w:rPr>
        <w:t>条处理。</w:t>
      </w:r>
    </w:p>
    <w:p w14:paraId="58FE383E">
      <w:pPr>
        <w:pStyle w:val="319"/>
        <w:ind w:firstLine="420"/>
        <w:rPr>
          <w:rFonts w:cs="Times New Roman"/>
          <w:sz w:val="21"/>
          <w:szCs w:val="21"/>
        </w:rPr>
      </w:pPr>
      <w:r>
        <w:rPr>
          <w:sz w:val="21"/>
          <w:szCs w:val="21"/>
          <w:lang w:val="en-US"/>
        </w:rPr>
        <w:t>3.4.3</w:t>
      </w:r>
      <w:r>
        <w:rPr>
          <w:rFonts w:hint="eastAsia"/>
          <w:sz w:val="21"/>
          <w:szCs w:val="21"/>
        </w:rPr>
        <w:t>在紧急情况下，总监理工程师或被授权的监理人员可以当场签发临时书面指示，承包人应遵照执行。承包人应在收到上述临时书面指示后</w:t>
      </w:r>
      <w:r>
        <w:rPr>
          <w:sz w:val="21"/>
          <w:szCs w:val="21"/>
        </w:rPr>
        <w:t>24</w:t>
      </w:r>
      <w:r>
        <w:rPr>
          <w:rFonts w:hint="eastAsia"/>
          <w:sz w:val="21"/>
          <w:szCs w:val="21"/>
        </w:rPr>
        <w:t>小时内，向监理人发出书</w:t>
      </w:r>
      <w:r>
        <w:rPr>
          <w:sz w:val="21"/>
          <w:szCs w:val="21"/>
        </w:rPr>
        <w:t xml:space="preserve"> </w:t>
      </w:r>
      <w:r>
        <w:rPr>
          <w:rFonts w:hint="eastAsia"/>
          <w:sz w:val="21"/>
          <w:szCs w:val="21"/>
        </w:rPr>
        <w:t>面确认函。监理人在收到书面确认函后</w:t>
      </w:r>
      <w:r>
        <w:rPr>
          <w:sz w:val="21"/>
          <w:szCs w:val="21"/>
        </w:rPr>
        <w:t>24</w:t>
      </w:r>
      <w:r>
        <w:rPr>
          <w:rFonts w:hint="eastAsia"/>
          <w:sz w:val="21"/>
          <w:szCs w:val="21"/>
        </w:rPr>
        <w:t>小时内未予答复的，该书面确认函应被视为监理人的正式指示。</w:t>
      </w:r>
    </w:p>
    <w:p w14:paraId="65AA10E8">
      <w:pPr>
        <w:pStyle w:val="319"/>
        <w:ind w:firstLine="420"/>
        <w:rPr>
          <w:rFonts w:cs="Times New Roman"/>
          <w:sz w:val="21"/>
          <w:szCs w:val="21"/>
        </w:rPr>
      </w:pPr>
      <w:r>
        <w:rPr>
          <w:sz w:val="21"/>
          <w:szCs w:val="21"/>
          <w:lang w:val="en-US"/>
        </w:rPr>
        <w:t>3.4.4</w:t>
      </w:r>
      <w:r>
        <w:rPr>
          <w:rFonts w:hint="eastAsia"/>
          <w:sz w:val="21"/>
          <w:szCs w:val="21"/>
        </w:rPr>
        <w:t>除合同另有约定外，承包人只从总监理工程师或按第</w:t>
      </w:r>
      <w:r>
        <w:rPr>
          <w:sz w:val="21"/>
          <w:szCs w:val="21"/>
          <w:lang w:val="en-US"/>
        </w:rPr>
        <w:t xml:space="preserve">3. 3. </w:t>
      </w:r>
      <w:r>
        <w:rPr>
          <w:sz w:val="21"/>
          <w:szCs w:val="21"/>
        </w:rPr>
        <w:t>1</w:t>
      </w:r>
      <w:r>
        <w:rPr>
          <w:rFonts w:hint="eastAsia"/>
          <w:sz w:val="21"/>
          <w:szCs w:val="21"/>
        </w:rPr>
        <w:t>项被授权的监理人员处取得指示。</w:t>
      </w:r>
    </w:p>
    <w:p w14:paraId="5E6D0FD6">
      <w:pPr>
        <w:pStyle w:val="319"/>
        <w:spacing w:after="120"/>
        <w:ind w:firstLine="420"/>
        <w:rPr>
          <w:rFonts w:cs="Times New Roman"/>
          <w:sz w:val="21"/>
          <w:szCs w:val="21"/>
        </w:rPr>
      </w:pPr>
      <w:r>
        <w:rPr>
          <w:sz w:val="21"/>
          <w:szCs w:val="21"/>
          <w:lang w:val="en-US"/>
        </w:rPr>
        <w:t>3.4.5</w:t>
      </w:r>
      <w:r>
        <w:rPr>
          <w:rFonts w:hint="eastAsia"/>
          <w:sz w:val="21"/>
          <w:szCs w:val="21"/>
        </w:rPr>
        <w:t>由于监理人未能按合同约定发出指示、指示延误或指示错误而导致承包人费用增加和（或）工期延误的，由发包人承担赔偿责任。</w:t>
      </w:r>
    </w:p>
    <w:p w14:paraId="3D4AAC6C">
      <w:pPr>
        <w:pStyle w:val="318"/>
        <w:spacing w:line="360" w:lineRule="auto"/>
        <w:rPr>
          <w:rFonts w:ascii="宋体" w:cs="宋体"/>
          <w:sz w:val="21"/>
          <w:szCs w:val="21"/>
        </w:rPr>
      </w:pPr>
      <w:bookmarkStart w:id="419" w:name="_Toc15164"/>
      <w:bookmarkStart w:id="420" w:name="bookmark994"/>
      <w:bookmarkStart w:id="421" w:name="_Toc256000033"/>
      <w:bookmarkStart w:id="422" w:name="bookmark995"/>
      <w:bookmarkStart w:id="423" w:name="_Toc3336"/>
      <w:bookmarkStart w:id="424" w:name="bookmark993"/>
      <w:bookmarkStart w:id="425" w:name="_Toc12067"/>
      <w:bookmarkStart w:id="426" w:name="_Toc22411"/>
      <w:bookmarkStart w:id="427" w:name="_Toc256000283"/>
      <w:r>
        <w:rPr>
          <w:rFonts w:ascii="宋体" w:hAnsi="宋体" w:cs="宋体"/>
          <w:sz w:val="21"/>
          <w:szCs w:val="21"/>
        </w:rPr>
        <w:t>3.5</w:t>
      </w:r>
      <w:r>
        <w:rPr>
          <w:rFonts w:hint="eastAsia" w:ascii="宋体" w:hAnsi="宋体" w:cs="宋体"/>
          <w:sz w:val="21"/>
          <w:szCs w:val="21"/>
        </w:rPr>
        <w:t>商定或确定</w:t>
      </w:r>
      <w:bookmarkEnd w:id="419"/>
      <w:bookmarkEnd w:id="420"/>
      <w:bookmarkEnd w:id="421"/>
      <w:bookmarkEnd w:id="422"/>
      <w:bookmarkEnd w:id="423"/>
      <w:bookmarkEnd w:id="424"/>
      <w:bookmarkEnd w:id="425"/>
      <w:bookmarkEnd w:id="426"/>
      <w:bookmarkEnd w:id="427"/>
    </w:p>
    <w:p w14:paraId="5FBA463D">
      <w:pPr>
        <w:pStyle w:val="319"/>
        <w:ind w:firstLine="420"/>
        <w:rPr>
          <w:rFonts w:cs="Times New Roman"/>
          <w:sz w:val="21"/>
          <w:szCs w:val="21"/>
        </w:rPr>
      </w:pPr>
      <w:r>
        <w:rPr>
          <w:sz w:val="21"/>
          <w:szCs w:val="21"/>
          <w:lang w:val="en-US"/>
        </w:rPr>
        <w:t>3.5.1</w:t>
      </w:r>
      <w:r>
        <w:rPr>
          <w:rFonts w:hint="eastAsia"/>
          <w:sz w:val="21"/>
          <w:szCs w:val="21"/>
        </w:rPr>
        <w:t>合同约定总监理工程师应按照本款对任何事项进行商定或确定时，总监理工程师应与合同当事人协商，尽量达成一致。不能达成一致的，总监理工程师应认真研究后审慎确定。</w:t>
      </w:r>
    </w:p>
    <w:p w14:paraId="58C83EF0">
      <w:pPr>
        <w:pStyle w:val="319"/>
        <w:spacing w:after="280"/>
        <w:ind w:firstLine="420"/>
        <w:rPr>
          <w:rFonts w:cs="Times New Roman"/>
          <w:sz w:val="21"/>
          <w:szCs w:val="21"/>
        </w:rPr>
      </w:pPr>
      <w:r>
        <w:rPr>
          <w:sz w:val="21"/>
          <w:szCs w:val="21"/>
          <w:lang w:val="en-US"/>
        </w:rPr>
        <w:t>3.5.2</w:t>
      </w:r>
      <w:r>
        <w:rPr>
          <w:rFonts w:hint="eastAsia"/>
          <w:sz w:val="21"/>
          <w:szCs w:val="21"/>
        </w:rPr>
        <w:t>总监理工程师应将商定或确定的事项通知合同当事人，并附详细依据。对总监理工程师的确定有异议的，构成争议，按照第</w:t>
      </w:r>
      <w:r>
        <w:rPr>
          <w:sz w:val="21"/>
          <w:szCs w:val="21"/>
        </w:rPr>
        <w:t>24</w:t>
      </w:r>
      <w:r>
        <w:rPr>
          <w:rFonts w:hint="eastAsia"/>
          <w:sz w:val="21"/>
          <w:szCs w:val="21"/>
        </w:rPr>
        <w:t>条的约定处理。在争议解决前，双方应暂按总监理工程师的确定执行，按照第</w:t>
      </w:r>
      <w:r>
        <w:rPr>
          <w:sz w:val="21"/>
          <w:szCs w:val="21"/>
        </w:rPr>
        <w:t>24</w:t>
      </w:r>
      <w:r>
        <w:rPr>
          <w:rFonts w:hint="eastAsia"/>
          <w:sz w:val="21"/>
          <w:szCs w:val="21"/>
        </w:rPr>
        <w:t>条的约定对总监理工程师的确定作出修改的，按修</w:t>
      </w:r>
      <w:r>
        <w:rPr>
          <w:sz w:val="21"/>
          <w:szCs w:val="21"/>
        </w:rPr>
        <w:t xml:space="preserve"> </w:t>
      </w:r>
      <w:r>
        <w:rPr>
          <w:rFonts w:hint="eastAsia"/>
          <w:sz w:val="21"/>
          <w:szCs w:val="21"/>
        </w:rPr>
        <w:t>改后的结果执行</w:t>
      </w:r>
      <w:r>
        <w:rPr>
          <w:rFonts w:hint="eastAsia"/>
          <w:sz w:val="21"/>
          <w:szCs w:val="21"/>
          <w:lang w:val="en-US"/>
        </w:rPr>
        <w:t>。</w:t>
      </w:r>
    </w:p>
    <w:p w14:paraId="1FB561CC">
      <w:pPr>
        <w:pStyle w:val="318"/>
        <w:spacing w:line="360" w:lineRule="auto"/>
        <w:rPr>
          <w:rFonts w:ascii="宋体" w:cs="宋体"/>
          <w:sz w:val="21"/>
          <w:szCs w:val="21"/>
        </w:rPr>
      </w:pPr>
      <w:bookmarkStart w:id="428" w:name="bookmark998"/>
      <w:bookmarkStart w:id="429" w:name="bookmark997"/>
      <w:bookmarkStart w:id="430" w:name="_Toc17194"/>
      <w:bookmarkStart w:id="431" w:name="_Toc30773"/>
      <w:bookmarkStart w:id="432" w:name="_Toc256000284"/>
      <w:bookmarkStart w:id="433" w:name="bookmark996"/>
      <w:bookmarkStart w:id="434" w:name="_Toc15674"/>
      <w:bookmarkStart w:id="435" w:name="_Toc13765"/>
      <w:bookmarkStart w:id="436" w:name="_Toc256000034"/>
      <w:r>
        <w:rPr>
          <w:rFonts w:ascii="宋体" w:hAnsi="宋体" w:cs="宋体"/>
          <w:sz w:val="21"/>
          <w:szCs w:val="21"/>
        </w:rPr>
        <w:t>4.</w:t>
      </w:r>
      <w:r>
        <w:rPr>
          <w:rFonts w:hint="eastAsia" w:ascii="宋体" w:hAnsi="宋体" w:cs="宋体"/>
          <w:sz w:val="21"/>
          <w:szCs w:val="21"/>
        </w:rPr>
        <w:t>承包人</w:t>
      </w:r>
      <w:bookmarkEnd w:id="428"/>
      <w:bookmarkEnd w:id="429"/>
      <w:bookmarkEnd w:id="430"/>
      <w:bookmarkEnd w:id="431"/>
      <w:bookmarkEnd w:id="432"/>
      <w:bookmarkEnd w:id="433"/>
      <w:bookmarkEnd w:id="434"/>
      <w:bookmarkEnd w:id="435"/>
      <w:bookmarkEnd w:id="436"/>
    </w:p>
    <w:p w14:paraId="4769092D">
      <w:pPr>
        <w:pStyle w:val="318"/>
        <w:spacing w:line="360" w:lineRule="auto"/>
        <w:rPr>
          <w:rFonts w:ascii="宋体" w:cs="宋体"/>
          <w:sz w:val="21"/>
          <w:szCs w:val="21"/>
        </w:rPr>
      </w:pPr>
      <w:bookmarkStart w:id="437" w:name="_Toc9822"/>
      <w:bookmarkStart w:id="438" w:name="_Toc3815"/>
      <w:bookmarkStart w:id="439" w:name="bookmark999"/>
      <w:bookmarkStart w:id="440" w:name="_Toc256000035"/>
      <w:bookmarkStart w:id="441" w:name="bookmark1001"/>
      <w:bookmarkStart w:id="442" w:name="_Toc11324"/>
      <w:bookmarkStart w:id="443" w:name="_Toc256000285"/>
      <w:bookmarkStart w:id="444" w:name="bookmark1000"/>
      <w:bookmarkStart w:id="445" w:name="_Toc16563"/>
      <w:r>
        <w:rPr>
          <w:rFonts w:ascii="宋体" w:hAnsi="宋体" w:cs="宋体"/>
          <w:sz w:val="21"/>
          <w:szCs w:val="21"/>
        </w:rPr>
        <w:t>4.1</w:t>
      </w:r>
      <w:r>
        <w:rPr>
          <w:rFonts w:hint="eastAsia" w:ascii="宋体" w:hAnsi="宋体" w:cs="宋体"/>
          <w:sz w:val="21"/>
          <w:szCs w:val="21"/>
        </w:rPr>
        <w:t>承包人的一般义务</w:t>
      </w:r>
      <w:bookmarkEnd w:id="437"/>
      <w:bookmarkEnd w:id="438"/>
      <w:bookmarkEnd w:id="439"/>
      <w:bookmarkEnd w:id="440"/>
      <w:bookmarkEnd w:id="441"/>
      <w:bookmarkEnd w:id="442"/>
      <w:bookmarkEnd w:id="443"/>
      <w:bookmarkEnd w:id="444"/>
      <w:bookmarkEnd w:id="445"/>
    </w:p>
    <w:p w14:paraId="1A4C8190">
      <w:pPr>
        <w:pStyle w:val="319"/>
        <w:ind w:firstLine="420"/>
        <w:rPr>
          <w:rFonts w:cs="Times New Roman"/>
          <w:sz w:val="21"/>
          <w:szCs w:val="21"/>
        </w:rPr>
      </w:pPr>
      <w:r>
        <w:rPr>
          <w:sz w:val="21"/>
          <w:szCs w:val="21"/>
          <w:lang w:val="en-US"/>
        </w:rPr>
        <w:t>4.1.1</w:t>
      </w:r>
      <w:r>
        <w:rPr>
          <w:rFonts w:hint="eastAsia"/>
          <w:sz w:val="21"/>
          <w:szCs w:val="21"/>
        </w:rPr>
        <w:t>遵守法律</w:t>
      </w:r>
    </w:p>
    <w:p w14:paraId="0117A31A">
      <w:pPr>
        <w:pStyle w:val="319"/>
        <w:spacing w:after="120"/>
        <w:ind w:firstLine="420"/>
        <w:rPr>
          <w:rFonts w:cs="Times New Roman"/>
          <w:sz w:val="21"/>
          <w:szCs w:val="21"/>
        </w:rPr>
      </w:pPr>
      <w:r>
        <w:rPr>
          <w:rFonts w:hint="eastAsia"/>
          <w:sz w:val="21"/>
          <w:szCs w:val="21"/>
        </w:rPr>
        <w:t>承包人在履行合同过程中应遵守法律，并保证发包人免于承担因承包人违反法律而引起的任何责任。</w:t>
      </w:r>
    </w:p>
    <w:p w14:paraId="354F80DA">
      <w:pPr>
        <w:pStyle w:val="319"/>
        <w:ind w:firstLine="420"/>
        <w:rPr>
          <w:rFonts w:cs="Times New Roman"/>
          <w:sz w:val="21"/>
          <w:szCs w:val="21"/>
        </w:rPr>
      </w:pPr>
      <w:bookmarkStart w:id="446" w:name="bookmark1002"/>
      <w:bookmarkEnd w:id="446"/>
      <w:r>
        <w:rPr>
          <w:sz w:val="21"/>
          <w:szCs w:val="21"/>
          <w:lang w:val="en-US"/>
        </w:rPr>
        <w:t>4.1.2</w:t>
      </w:r>
      <w:r>
        <w:rPr>
          <w:rFonts w:hint="eastAsia"/>
          <w:sz w:val="21"/>
          <w:szCs w:val="21"/>
        </w:rPr>
        <w:t>依法纳税</w:t>
      </w:r>
    </w:p>
    <w:p w14:paraId="500C46D8">
      <w:pPr>
        <w:pStyle w:val="319"/>
        <w:ind w:firstLine="420"/>
        <w:rPr>
          <w:rFonts w:cs="Times New Roman"/>
          <w:sz w:val="21"/>
          <w:szCs w:val="21"/>
        </w:rPr>
      </w:pPr>
      <w:r>
        <w:rPr>
          <w:rFonts w:hint="eastAsia"/>
          <w:sz w:val="21"/>
          <w:szCs w:val="21"/>
        </w:rPr>
        <w:t>承包人应按有关法律规定纳税，应缴纳的税金包括在合同价格内。</w:t>
      </w:r>
    </w:p>
    <w:p w14:paraId="65A32336">
      <w:pPr>
        <w:pStyle w:val="319"/>
        <w:ind w:firstLine="420"/>
        <w:rPr>
          <w:rFonts w:cs="Times New Roman"/>
          <w:sz w:val="21"/>
          <w:szCs w:val="21"/>
        </w:rPr>
      </w:pPr>
      <w:r>
        <w:rPr>
          <w:sz w:val="21"/>
          <w:szCs w:val="21"/>
          <w:lang w:val="en-US"/>
        </w:rPr>
        <w:t>4.1.3</w:t>
      </w:r>
      <w:r>
        <w:rPr>
          <w:rFonts w:hint="eastAsia"/>
          <w:sz w:val="21"/>
          <w:szCs w:val="21"/>
        </w:rPr>
        <w:t>完成各项承包工作</w:t>
      </w:r>
    </w:p>
    <w:p w14:paraId="3204DD5E">
      <w:pPr>
        <w:pStyle w:val="319"/>
        <w:ind w:firstLine="420"/>
        <w:rPr>
          <w:rFonts w:cs="Times New Roman"/>
          <w:sz w:val="21"/>
          <w:szCs w:val="21"/>
        </w:rPr>
      </w:pPr>
      <w:r>
        <w:rPr>
          <w:rFonts w:hint="eastAsia"/>
          <w:sz w:val="21"/>
          <w:szCs w:val="21"/>
        </w:rPr>
        <w:t>承包人应按合同约定以及监理人根据第</w:t>
      </w:r>
      <w:r>
        <w:rPr>
          <w:sz w:val="21"/>
          <w:szCs w:val="21"/>
          <w:lang w:val="en-US"/>
        </w:rPr>
        <w:t>3.4</w:t>
      </w:r>
      <w:r>
        <w:rPr>
          <w:rFonts w:hint="eastAsia"/>
          <w:sz w:val="21"/>
          <w:szCs w:val="21"/>
        </w:rPr>
        <w:t>款作出的指示，实施、完成全部工程，并修补工程中的任何缺陷。除第</w:t>
      </w:r>
      <w:r>
        <w:rPr>
          <w:sz w:val="21"/>
          <w:szCs w:val="21"/>
          <w:lang w:val="en-US"/>
        </w:rPr>
        <w:t>5.2</w:t>
      </w:r>
      <w:r>
        <w:rPr>
          <w:rFonts w:hint="eastAsia"/>
          <w:sz w:val="21"/>
          <w:szCs w:val="21"/>
        </w:rPr>
        <w:t>款、第</w:t>
      </w:r>
      <w:r>
        <w:rPr>
          <w:sz w:val="21"/>
          <w:szCs w:val="21"/>
          <w:lang w:val="en-US"/>
        </w:rPr>
        <w:t>6.2</w:t>
      </w:r>
      <w:r>
        <w:rPr>
          <w:rFonts w:hint="eastAsia"/>
          <w:sz w:val="21"/>
          <w:szCs w:val="21"/>
        </w:rPr>
        <w:t>款另有约定外，承包人应提供为完成合同工作所需的劳务、材料、施工设备、工程设备和其它物品，并按合同约定负责临时设施的设计、建造、运行、维护、管理和拆除。</w:t>
      </w:r>
    </w:p>
    <w:p w14:paraId="67D55465">
      <w:pPr>
        <w:pStyle w:val="319"/>
        <w:ind w:firstLine="420"/>
        <w:rPr>
          <w:rFonts w:cs="Times New Roman"/>
          <w:sz w:val="21"/>
          <w:szCs w:val="21"/>
        </w:rPr>
      </w:pPr>
      <w:r>
        <w:rPr>
          <w:sz w:val="21"/>
          <w:szCs w:val="21"/>
          <w:lang w:val="en-US"/>
        </w:rPr>
        <w:t>4.1.4</w:t>
      </w:r>
      <w:r>
        <w:rPr>
          <w:rFonts w:hint="eastAsia"/>
          <w:sz w:val="21"/>
          <w:szCs w:val="21"/>
        </w:rPr>
        <w:t>对施工作业和施工方法的完备性负责</w:t>
      </w:r>
    </w:p>
    <w:p w14:paraId="561441EE">
      <w:pPr>
        <w:pStyle w:val="319"/>
        <w:ind w:firstLine="420"/>
        <w:rPr>
          <w:rFonts w:cs="Times New Roman"/>
          <w:sz w:val="21"/>
          <w:szCs w:val="21"/>
        </w:rPr>
      </w:pPr>
      <w:r>
        <w:rPr>
          <w:rFonts w:hint="eastAsia"/>
          <w:sz w:val="21"/>
          <w:szCs w:val="21"/>
        </w:rPr>
        <w:t>承包人应按合同约定的工作内容和施工进度要求，编制施工组织设计和施工措施计划，并对所有施工作业和施工方法的完备性和安全可靠性负责。</w:t>
      </w:r>
    </w:p>
    <w:p w14:paraId="3BEDF37F">
      <w:pPr>
        <w:pStyle w:val="319"/>
        <w:ind w:firstLine="420"/>
        <w:rPr>
          <w:rFonts w:cs="Times New Roman"/>
          <w:sz w:val="21"/>
          <w:szCs w:val="21"/>
        </w:rPr>
      </w:pPr>
      <w:r>
        <w:rPr>
          <w:sz w:val="21"/>
          <w:szCs w:val="21"/>
          <w:lang w:val="en-US"/>
        </w:rPr>
        <w:t>4.1.5</w:t>
      </w:r>
      <w:r>
        <w:rPr>
          <w:rFonts w:hint="eastAsia"/>
          <w:sz w:val="21"/>
          <w:szCs w:val="21"/>
        </w:rPr>
        <w:t>保证工程施工和人员的安全</w:t>
      </w:r>
    </w:p>
    <w:p w14:paraId="029C9DDE">
      <w:pPr>
        <w:pStyle w:val="319"/>
        <w:ind w:firstLine="420"/>
        <w:rPr>
          <w:rFonts w:cs="Times New Roman"/>
          <w:sz w:val="21"/>
          <w:szCs w:val="21"/>
        </w:rPr>
      </w:pPr>
      <w:r>
        <w:rPr>
          <w:rFonts w:hint="eastAsia"/>
          <w:sz w:val="21"/>
          <w:szCs w:val="21"/>
        </w:rPr>
        <w:t>承包人应按第</w:t>
      </w:r>
      <w:r>
        <w:rPr>
          <w:sz w:val="21"/>
          <w:szCs w:val="21"/>
          <w:lang w:val="en-US"/>
        </w:rPr>
        <w:t>9.2</w:t>
      </w:r>
      <w:r>
        <w:rPr>
          <w:rFonts w:hint="eastAsia"/>
          <w:sz w:val="21"/>
          <w:szCs w:val="21"/>
        </w:rPr>
        <w:t>款约定采取施工安全措施，确保工程及其人员、材料、设备和设施的安全，防止因工程施工造成的人身伤害和财产损失。</w:t>
      </w:r>
    </w:p>
    <w:p w14:paraId="04892F48">
      <w:pPr>
        <w:pStyle w:val="319"/>
        <w:ind w:firstLine="420"/>
        <w:rPr>
          <w:rFonts w:cs="Times New Roman"/>
          <w:sz w:val="21"/>
          <w:szCs w:val="21"/>
        </w:rPr>
      </w:pPr>
      <w:bookmarkStart w:id="447" w:name="bookmark1003"/>
      <w:bookmarkEnd w:id="447"/>
      <w:r>
        <w:rPr>
          <w:sz w:val="21"/>
          <w:szCs w:val="21"/>
          <w:lang w:val="en-US"/>
        </w:rPr>
        <w:t>4.1.6</w:t>
      </w:r>
      <w:r>
        <w:rPr>
          <w:rFonts w:hint="eastAsia"/>
          <w:sz w:val="21"/>
          <w:szCs w:val="21"/>
        </w:rPr>
        <w:t>负责施工场地及其周边环境与生态的保护工作</w:t>
      </w:r>
    </w:p>
    <w:p w14:paraId="12BF3C79">
      <w:pPr>
        <w:pStyle w:val="319"/>
        <w:ind w:firstLine="420"/>
        <w:rPr>
          <w:rFonts w:cs="Times New Roman"/>
          <w:sz w:val="21"/>
          <w:szCs w:val="21"/>
        </w:rPr>
      </w:pPr>
      <w:r>
        <w:rPr>
          <w:rFonts w:hint="eastAsia"/>
          <w:sz w:val="21"/>
          <w:szCs w:val="21"/>
        </w:rPr>
        <w:t>承包人应按照第</w:t>
      </w:r>
      <w:r>
        <w:rPr>
          <w:sz w:val="21"/>
          <w:szCs w:val="21"/>
          <w:lang w:val="en-US"/>
        </w:rPr>
        <w:t>9.4</w:t>
      </w:r>
      <w:r>
        <w:rPr>
          <w:rFonts w:hint="eastAsia"/>
          <w:sz w:val="21"/>
          <w:szCs w:val="21"/>
        </w:rPr>
        <w:t>款约定负责施工场地及其周边环境与生态的保护工作。</w:t>
      </w:r>
    </w:p>
    <w:p w14:paraId="27C8CF92">
      <w:pPr>
        <w:pStyle w:val="319"/>
        <w:ind w:firstLine="420"/>
        <w:rPr>
          <w:rFonts w:cs="Times New Roman"/>
          <w:sz w:val="21"/>
          <w:szCs w:val="21"/>
        </w:rPr>
      </w:pPr>
      <w:r>
        <w:rPr>
          <w:sz w:val="21"/>
          <w:szCs w:val="21"/>
          <w:lang w:val="en-US"/>
        </w:rPr>
        <w:t xml:space="preserve">4. 1. </w:t>
      </w:r>
      <w:r>
        <w:rPr>
          <w:sz w:val="21"/>
          <w:szCs w:val="21"/>
        </w:rPr>
        <w:t>7</w:t>
      </w:r>
      <w:r>
        <w:rPr>
          <w:rFonts w:hint="eastAsia"/>
          <w:sz w:val="21"/>
          <w:szCs w:val="21"/>
        </w:rPr>
        <w:t>避免施工对公众与他人的利益造成损害</w:t>
      </w:r>
    </w:p>
    <w:p w14:paraId="45B3A629">
      <w:pPr>
        <w:pStyle w:val="319"/>
        <w:ind w:firstLine="420"/>
        <w:rPr>
          <w:rFonts w:cs="Times New Roman"/>
          <w:sz w:val="21"/>
          <w:szCs w:val="21"/>
        </w:rPr>
      </w:pPr>
      <w:r>
        <w:rPr>
          <w:rFonts w:hint="eastAsia"/>
          <w:sz w:val="21"/>
          <w:szCs w:val="21"/>
        </w:rPr>
        <w:t>承包人在进行合同约定的各项工作时，不得侵害发包人与他人使用公用道路、水源、</w:t>
      </w:r>
      <w:r>
        <w:rPr>
          <w:sz w:val="21"/>
          <w:szCs w:val="21"/>
        </w:rPr>
        <w:t xml:space="preserve"> </w:t>
      </w:r>
      <w:r>
        <w:rPr>
          <w:rFonts w:hint="eastAsia"/>
          <w:sz w:val="21"/>
          <w:szCs w:val="21"/>
        </w:rPr>
        <w:t>市政管网等公共设施的权利，避免对邻近的公共设施产生干扰。承包人占用或使用他人的施工场地，影响他人作业或生活的，应承担相应责任。</w:t>
      </w:r>
    </w:p>
    <w:p w14:paraId="66488204">
      <w:pPr>
        <w:pStyle w:val="319"/>
        <w:ind w:firstLine="420"/>
        <w:rPr>
          <w:rFonts w:cs="Times New Roman"/>
          <w:sz w:val="21"/>
          <w:szCs w:val="21"/>
        </w:rPr>
      </w:pPr>
      <w:r>
        <w:rPr>
          <w:sz w:val="21"/>
          <w:szCs w:val="21"/>
          <w:lang w:val="en-US"/>
        </w:rPr>
        <w:t>4. 1.8</w:t>
      </w:r>
      <w:r>
        <w:rPr>
          <w:rFonts w:hint="eastAsia"/>
          <w:sz w:val="21"/>
          <w:szCs w:val="21"/>
        </w:rPr>
        <w:t>为他人提供方便</w:t>
      </w:r>
    </w:p>
    <w:p w14:paraId="1A105D75">
      <w:pPr>
        <w:pStyle w:val="319"/>
        <w:ind w:firstLine="420"/>
        <w:rPr>
          <w:rFonts w:cs="Times New Roman"/>
          <w:sz w:val="21"/>
          <w:szCs w:val="21"/>
        </w:rPr>
      </w:pPr>
      <w:r>
        <w:rPr>
          <w:rFonts w:hint="eastAsia"/>
          <w:sz w:val="21"/>
          <w:szCs w:val="21"/>
        </w:rPr>
        <w:t>承包人应按监理人的指示为他人在施工场地或附近实施与工程有关的其他各项工作提供可能的条件。除合同另有约定外，提供有关条件的内容和可能发生的费用，由监理人按</w:t>
      </w:r>
      <w:r>
        <w:rPr>
          <w:sz w:val="21"/>
          <w:szCs w:val="21"/>
        </w:rPr>
        <w:t xml:space="preserve"> </w:t>
      </w:r>
      <w:r>
        <w:rPr>
          <w:rFonts w:hint="eastAsia"/>
          <w:sz w:val="21"/>
          <w:szCs w:val="21"/>
        </w:rPr>
        <w:t>第</w:t>
      </w:r>
      <w:r>
        <w:rPr>
          <w:sz w:val="21"/>
          <w:szCs w:val="21"/>
          <w:lang w:val="en-US"/>
        </w:rPr>
        <w:t xml:space="preserve">3. </w:t>
      </w:r>
      <w:r>
        <w:rPr>
          <w:sz w:val="21"/>
          <w:szCs w:val="21"/>
        </w:rPr>
        <w:t>5</w:t>
      </w:r>
      <w:r>
        <w:rPr>
          <w:rFonts w:hint="eastAsia"/>
          <w:sz w:val="21"/>
          <w:szCs w:val="21"/>
        </w:rPr>
        <w:t>款商定或确定。</w:t>
      </w:r>
    </w:p>
    <w:p w14:paraId="36CEE8C9">
      <w:pPr>
        <w:pStyle w:val="319"/>
        <w:ind w:firstLine="420"/>
        <w:rPr>
          <w:rFonts w:cs="Times New Roman"/>
          <w:sz w:val="21"/>
          <w:szCs w:val="21"/>
        </w:rPr>
      </w:pPr>
      <w:r>
        <w:rPr>
          <w:sz w:val="21"/>
          <w:szCs w:val="21"/>
          <w:lang w:val="en-US"/>
        </w:rPr>
        <w:t>4.1.9</w:t>
      </w:r>
      <w:r>
        <w:rPr>
          <w:rFonts w:hint="eastAsia"/>
          <w:sz w:val="21"/>
          <w:szCs w:val="21"/>
        </w:rPr>
        <w:t>工程的维护和照管</w:t>
      </w:r>
    </w:p>
    <w:p w14:paraId="0E2629B0">
      <w:pPr>
        <w:pStyle w:val="319"/>
        <w:ind w:firstLine="420"/>
        <w:rPr>
          <w:rFonts w:cs="Times New Roman"/>
          <w:sz w:val="21"/>
          <w:szCs w:val="21"/>
        </w:rPr>
      </w:pPr>
      <w:r>
        <w:rPr>
          <w:rFonts w:hint="eastAsia"/>
          <w:sz w:val="21"/>
          <w:szCs w:val="21"/>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368BDD99">
      <w:pPr>
        <w:pStyle w:val="319"/>
        <w:ind w:firstLine="420"/>
        <w:rPr>
          <w:rFonts w:cs="Times New Roman"/>
          <w:sz w:val="21"/>
          <w:szCs w:val="21"/>
        </w:rPr>
      </w:pPr>
      <w:r>
        <w:rPr>
          <w:sz w:val="21"/>
          <w:szCs w:val="21"/>
        </w:rPr>
        <w:t>4.1.10</w:t>
      </w:r>
      <w:r>
        <w:rPr>
          <w:rFonts w:hint="eastAsia"/>
          <w:sz w:val="21"/>
          <w:szCs w:val="21"/>
        </w:rPr>
        <w:t>其它义务</w:t>
      </w:r>
    </w:p>
    <w:p w14:paraId="22489AB7">
      <w:pPr>
        <w:pStyle w:val="319"/>
        <w:spacing w:after="120"/>
        <w:ind w:firstLine="420"/>
        <w:rPr>
          <w:rFonts w:cs="Times New Roman"/>
          <w:sz w:val="21"/>
          <w:szCs w:val="21"/>
        </w:rPr>
      </w:pPr>
      <w:r>
        <w:rPr>
          <w:rFonts w:hint="eastAsia"/>
          <w:sz w:val="21"/>
          <w:szCs w:val="21"/>
        </w:rPr>
        <w:t>其它义务在专用合同条款中补充约定。</w:t>
      </w:r>
    </w:p>
    <w:p w14:paraId="3B4392C9">
      <w:pPr>
        <w:pStyle w:val="318"/>
        <w:spacing w:line="360" w:lineRule="auto"/>
        <w:rPr>
          <w:rFonts w:ascii="宋体" w:cs="宋体"/>
          <w:sz w:val="21"/>
          <w:szCs w:val="21"/>
        </w:rPr>
      </w:pPr>
      <w:bookmarkStart w:id="448" w:name="_Toc16091"/>
      <w:bookmarkStart w:id="449" w:name="bookmark1005"/>
      <w:bookmarkStart w:id="450" w:name="_Toc256000286"/>
      <w:bookmarkStart w:id="451" w:name="_Toc256000036"/>
      <w:bookmarkStart w:id="452" w:name="_Toc11535"/>
      <w:bookmarkStart w:id="453" w:name="bookmark1004"/>
      <w:bookmarkStart w:id="454" w:name="bookmark1006"/>
      <w:bookmarkStart w:id="455" w:name="_Toc2827"/>
      <w:bookmarkStart w:id="456" w:name="_Toc30450"/>
      <w:r>
        <w:rPr>
          <w:rFonts w:ascii="宋体" w:hAnsi="宋体" w:cs="宋体"/>
          <w:sz w:val="21"/>
          <w:szCs w:val="21"/>
        </w:rPr>
        <w:t>4.2</w:t>
      </w:r>
      <w:r>
        <w:rPr>
          <w:rFonts w:hint="eastAsia" w:ascii="宋体" w:hAnsi="宋体" w:cs="宋体"/>
          <w:sz w:val="21"/>
          <w:szCs w:val="21"/>
        </w:rPr>
        <w:t>履约担保</w:t>
      </w:r>
      <w:bookmarkEnd w:id="448"/>
      <w:bookmarkEnd w:id="449"/>
      <w:bookmarkEnd w:id="450"/>
      <w:bookmarkEnd w:id="451"/>
      <w:bookmarkEnd w:id="452"/>
      <w:bookmarkEnd w:id="453"/>
      <w:bookmarkEnd w:id="454"/>
      <w:bookmarkEnd w:id="455"/>
      <w:bookmarkEnd w:id="456"/>
    </w:p>
    <w:p w14:paraId="0C9BBDC5">
      <w:pPr>
        <w:pStyle w:val="319"/>
        <w:spacing w:after="160"/>
        <w:ind w:firstLine="420"/>
        <w:rPr>
          <w:rFonts w:cs="Times New Roman"/>
          <w:sz w:val="21"/>
          <w:szCs w:val="21"/>
        </w:rPr>
      </w:pPr>
      <w:r>
        <w:rPr>
          <w:rFonts w:hint="eastAsia"/>
          <w:sz w:val="21"/>
          <w:szCs w:val="21"/>
        </w:rPr>
        <w:t>承包人应保证其履约担保在发包人颁发合同工程完工证书前一直有效。发包人应在合同工程完工证书颁发后</w:t>
      </w:r>
      <w:r>
        <w:rPr>
          <w:sz w:val="21"/>
          <w:szCs w:val="21"/>
        </w:rPr>
        <w:t>28</w:t>
      </w:r>
      <w:r>
        <w:rPr>
          <w:rFonts w:hint="eastAsia"/>
          <w:sz w:val="21"/>
          <w:szCs w:val="21"/>
        </w:rPr>
        <w:t>天内将履约担保退还给承包人。</w:t>
      </w:r>
    </w:p>
    <w:p w14:paraId="49875487">
      <w:pPr>
        <w:pStyle w:val="318"/>
        <w:spacing w:line="360" w:lineRule="auto"/>
        <w:rPr>
          <w:rFonts w:ascii="宋体" w:cs="宋体"/>
          <w:sz w:val="21"/>
          <w:szCs w:val="21"/>
        </w:rPr>
      </w:pPr>
      <w:bookmarkStart w:id="457" w:name="bookmark1009"/>
      <w:bookmarkStart w:id="458" w:name="_Toc256000037"/>
      <w:bookmarkStart w:id="459" w:name="_Toc14304"/>
      <w:bookmarkStart w:id="460" w:name="_Toc256000287"/>
      <w:bookmarkStart w:id="461" w:name="bookmark1008"/>
      <w:bookmarkStart w:id="462" w:name="_Toc5878"/>
      <w:bookmarkStart w:id="463" w:name="bookmark1007"/>
      <w:bookmarkStart w:id="464" w:name="_Toc31393"/>
      <w:bookmarkStart w:id="465" w:name="_Toc3908"/>
      <w:r>
        <w:rPr>
          <w:rFonts w:ascii="宋体" w:hAnsi="宋体" w:cs="宋体"/>
          <w:sz w:val="21"/>
          <w:szCs w:val="21"/>
        </w:rPr>
        <w:t>4.3</w:t>
      </w:r>
      <w:r>
        <w:rPr>
          <w:rFonts w:hint="eastAsia" w:ascii="宋体" w:hAnsi="宋体" w:cs="宋体"/>
          <w:sz w:val="21"/>
          <w:szCs w:val="21"/>
        </w:rPr>
        <w:t>分包</w:t>
      </w:r>
      <w:bookmarkEnd w:id="457"/>
      <w:bookmarkEnd w:id="458"/>
      <w:bookmarkEnd w:id="459"/>
      <w:bookmarkEnd w:id="460"/>
      <w:bookmarkEnd w:id="461"/>
      <w:bookmarkEnd w:id="462"/>
      <w:bookmarkEnd w:id="463"/>
      <w:bookmarkEnd w:id="464"/>
      <w:bookmarkEnd w:id="465"/>
    </w:p>
    <w:p w14:paraId="195F8C05">
      <w:pPr>
        <w:pStyle w:val="319"/>
        <w:ind w:firstLine="420"/>
        <w:rPr>
          <w:rFonts w:cs="Times New Roman"/>
          <w:sz w:val="21"/>
          <w:szCs w:val="21"/>
        </w:rPr>
      </w:pPr>
      <w:r>
        <w:rPr>
          <w:sz w:val="21"/>
          <w:szCs w:val="21"/>
          <w:lang w:val="en-US"/>
        </w:rPr>
        <w:t>4.3.1</w:t>
      </w:r>
      <w:r>
        <w:rPr>
          <w:rFonts w:hint="eastAsia"/>
          <w:sz w:val="21"/>
          <w:szCs w:val="21"/>
        </w:rPr>
        <w:t>承包人不得将其承包的全部工程转包给第三人，或将其承包的全部工程肢解后以分包的名义转包给第三人。</w:t>
      </w:r>
    </w:p>
    <w:p w14:paraId="0758B5A0">
      <w:pPr>
        <w:pStyle w:val="319"/>
        <w:ind w:firstLine="420"/>
        <w:rPr>
          <w:rFonts w:cs="Times New Roman"/>
          <w:sz w:val="21"/>
          <w:szCs w:val="21"/>
        </w:rPr>
      </w:pPr>
      <w:r>
        <w:rPr>
          <w:sz w:val="21"/>
          <w:szCs w:val="21"/>
          <w:lang w:val="en-US"/>
        </w:rPr>
        <w:t>4.3.2</w:t>
      </w:r>
      <w:r>
        <w:rPr>
          <w:rFonts w:hint="eastAsia"/>
          <w:sz w:val="21"/>
          <w:szCs w:val="21"/>
        </w:rPr>
        <w:t>承包人不得将工程主体、关键性工作分包给第三人。除专用合同条款另有约定外，未经发包人同意，承包人不得将工程的其他部分或工作分包给第三人。</w:t>
      </w:r>
    </w:p>
    <w:p w14:paraId="39B26D26">
      <w:pPr>
        <w:pStyle w:val="319"/>
        <w:ind w:firstLine="420"/>
        <w:rPr>
          <w:rFonts w:cs="Times New Roman"/>
          <w:sz w:val="21"/>
          <w:szCs w:val="21"/>
        </w:rPr>
      </w:pPr>
      <w:r>
        <w:rPr>
          <w:sz w:val="21"/>
          <w:szCs w:val="21"/>
          <w:lang w:val="en-US"/>
        </w:rPr>
        <w:t>4.3.</w:t>
      </w:r>
      <w:r>
        <w:rPr>
          <w:sz w:val="21"/>
          <w:szCs w:val="21"/>
        </w:rPr>
        <w:t>3</w:t>
      </w:r>
      <w:r>
        <w:rPr>
          <w:rFonts w:hint="eastAsia"/>
          <w:sz w:val="21"/>
          <w:szCs w:val="21"/>
        </w:rPr>
        <w:t>分包人的资格能力应与其分包工程的标准和规模相适应。</w:t>
      </w:r>
    </w:p>
    <w:p w14:paraId="1FAE0835">
      <w:pPr>
        <w:pStyle w:val="319"/>
        <w:ind w:firstLine="420"/>
        <w:rPr>
          <w:rFonts w:cs="Times New Roman"/>
          <w:sz w:val="21"/>
          <w:szCs w:val="21"/>
        </w:rPr>
      </w:pPr>
      <w:r>
        <w:rPr>
          <w:sz w:val="21"/>
          <w:szCs w:val="21"/>
          <w:lang w:val="en-US"/>
        </w:rPr>
        <w:t>4.3.4</w:t>
      </w:r>
      <w:r>
        <w:rPr>
          <w:rFonts w:hint="eastAsia"/>
          <w:sz w:val="21"/>
          <w:szCs w:val="21"/>
        </w:rPr>
        <w:t>按磋商函附录约定分包工程的，承包人应向发包人和监理人提交分包合同</w:t>
      </w:r>
      <w:r>
        <w:rPr>
          <w:sz w:val="21"/>
          <w:szCs w:val="21"/>
        </w:rPr>
        <w:t xml:space="preserve"> </w:t>
      </w:r>
      <w:r>
        <w:rPr>
          <w:rFonts w:hint="eastAsia"/>
          <w:sz w:val="21"/>
          <w:szCs w:val="21"/>
        </w:rPr>
        <w:t>副本。</w:t>
      </w:r>
    </w:p>
    <w:p w14:paraId="3F874C7B">
      <w:pPr>
        <w:pStyle w:val="319"/>
        <w:ind w:firstLine="420"/>
        <w:rPr>
          <w:rFonts w:cs="Times New Roman"/>
          <w:sz w:val="21"/>
          <w:szCs w:val="21"/>
        </w:rPr>
      </w:pPr>
      <w:r>
        <w:rPr>
          <w:sz w:val="21"/>
          <w:szCs w:val="21"/>
          <w:lang w:val="en-US"/>
        </w:rPr>
        <w:t>4.3.5</w:t>
      </w:r>
      <w:r>
        <w:rPr>
          <w:rFonts w:hint="eastAsia"/>
          <w:sz w:val="21"/>
          <w:szCs w:val="21"/>
        </w:rPr>
        <w:t>承包人应与分包人就分包工程向发包人承担连带责任。</w:t>
      </w:r>
    </w:p>
    <w:p w14:paraId="1A8F3FC3">
      <w:pPr>
        <w:pStyle w:val="319"/>
        <w:ind w:firstLine="420"/>
        <w:rPr>
          <w:rFonts w:cs="Times New Roman"/>
          <w:sz w:val="21"/>
          <w:szCs w:val="21"/>
        </w:rPr>
      </w:pPr>
      <w:r>
        <w:rPr>
          <w:sz w:val="21"/>
          <w:szCs w:val="21"/>
          <w:lang w:val="en-US"/>
        </w:rPr>
        <w:t>4.3.6</w:t>
      </w:r>
      <w:r>
        <w:rPr>
          <w:rFonts w:hint="eastAsia"/>
          <w:sz w:val="21"/>
          <w:szCs w:val="21"/>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312D1EB9">
      <w:pPr>
        <w:pStyle w:val="319"/>
        <w:ind w:firstLine="420"/>
        <w:rPr>
          <w:rFonts w:cs="Times New Roman"/>
          <w:sz w:val="21"/>
          <w:szCs w:val="21"/>
        </w:rPr>
      </w:pPr>
      <w:r>
        <w:rPr>
          <w:sz w:val="21"/>
          <w:szCs w:val="21"/>
          <w:lang w:val="en-US"/>
        </w:rPr>
        <w:t>4.3.7</w:t>
      </w:r>
      <w:r>
        <w:rPr>
          <w:rFonts w:hint="eastAsia"/>
          <w:sz w:val="21"/>
          <w:szCs w:val="21"/>
        </w:rPr>
        <w:t>在合同实施过程中，如承包人无力在合同规定的期限内完成合同中的应急防</w:t>
      </w:r>
      <w:r>
        <w:rPr>
          <w:sz w:val="21"/>
          <w:szCs w:val="21"/>
        </w:rPr>
        <w:t xml:space="preserve"> </w:t>
      </w:r>
      <w:r>
        <w:rPr>
          <w:rFonts w:hint="eastAsia"/>
          <w:sz w:val="21"/>
          <w:szCs w:val="21"/>
        </w:rPr>
        <w:t>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4F53DA0D">
      <w:pPr>
        <w:pStyle w:val="319"/>
        <w:ind w:firstLine="420"/>
        <w:rPr>
          <w:rFonts w:cs="Times New Roman"/>
          <w:sz w:val="21"/>
          <w:szCs w:val="21"/>
        </w:rPr>
      </w:pPr>
      <w:r>
        <w:rPr>
          <w:sz w:val="21"/>
          <w:szCs w:val="21"/>
          <w:lang w:val="en-US"/>
        </w:rPr>
        <w:t>4.3.8</w:t>
      </w:r>
      <w:r>
        <w:rPr>
          <w:rFonts w:hint="eastAsia"/>
          <w:sz w:val="21"/>
          <w:szCs w:val="21"/>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08BE02A8">
      <w:pPr>
        <w:pStyle w:val="319"/>
        <w:ind w:firstLine="420"/>
        <w:rPr>
          <w:rFonts w:cs="Times New Roman"/>
          <w:sz w:val="21"/>
          <w:szCs w:val="21"/>
        </w:rPr>
      </w:pPr>
      <w:r>
        <w:rPr>
          <w:sz w:val="21"/>
          <w:szCs w:val="21"/>
          <w:lang w:val="en-US"/>
        </w:rPr>
        <w:t>4.3.9</w:t>
      </w:r>
      <w:r>
        <w:rPr>
          <w:rFonts w:hint="eastAsia"/>
          <w:sz w:val="21"/>
          <w:szCs w:val="21"/>
        </w:rPr>
        <w:t>除第</w:t>
      </w:r>
      <w:r>
        <w:rPr>
          <w:sz w:val="21"/>
          <w:szCs w:val="21"/>
          <w:lang w:val="en-US"/>
        </w:rPr>
        <w:t xml:space="preserve">4. 3. </w:t>
      </w:r>
      <w:r>
        <w:rPr>
          <w:sz w:val="21"/>
          <w:szCs w:val="21"/>
        </w:rPr>
        <w:t>7</w:t>
      </w:r>
      <w:r>
        <w:rPr>
          <w:rFonts w:hint="eastAsia"/>
          <w:sz w:val="21"/>
          <w:szCs w:val="21"/>
        </w:rPr>
        <w:t>项规定的指定分包外，承包人对其分包项目的实施以及分包人的行为向发包人负全部责任。承包人应对分包项目的工程进度、质量、安全、计量和验收等实施监督和管理。</w:t>
      </w:r>
    </w:p>
    <w:p w14:paraId="2A32B246">
      <w:pPr>
        <w:pStyle w:val="319"/>
        <w:tabs>
          <w:tab w:val="left" w:pos="736"/>
        </w:tabs>
        <w:spacing w:after="140"/>
        <w:ind w:left="420" w:firstLine="0"/>
        <w:rPr>
          <w:rFonts w:cs="Times New Roman"/>
          <w:sz w:val="21"/>
          <w:szCs w:val="21"/>
        </w:rPr>
      </w:pPr>
      <w:bookmarkStart w:id="466" w:name="bookmark1010"/>
      <w:bookmarkEnd w:id="466"/>
      <w:r>
        <w:rPr>
          <w:sz w:val="21"/>
          <w:szCs w:val="21"/>
          <w:lang w:val="en-US"/>
        </w:rPr>
        <w:t>4.3.</w:t>
      </w:r>
      <w:r>
        <w:rPr>
          <w:sz w:val="21"/>
          <w:szCs w:val="21"/>
        </w:rPr>
        <w:t>10</w:t>
      </w:r>
      <w:r>
        <w:rPr>
          <w:rFonts w:hint="eastAsia"/>
          <w:sz w:val="21"/>
          <w:szCs w:val="21"/>
        </w:rPr>
        <w:t>分包人应按专用合同条款的约定设立项目管理机构组织管理分包工程的施工</w:t>
      </w:r>
      <w:r>
        <w:rPr>
          <w:sz w:val="21"/>
          <w:szCs w:val="21"/>
        </w:rPr>
        <w:t xml:space="preserve"> </w:t>
      </w:r>
      <w:r>
        <w:rPr>
          <w:rFonts w:hint="eastAsia"/>
          <w:sz w:val="21"/>
          <w:szCs w:val="21"/>
        </w:rPr>
        <w:t>活动。</w:t>
      </w:r>
    </w:p>
    <w:p w14:paraId="46C04ECA">
      <w:pPr>
        <w:pStyle w:val="318"/>
        <w:spacing w:line="360" w:lineRule="auto"/>
        <w:rPr>
          <w:rFonts w:ascii="宋体" w:cs="宋体"/>
          <w:sz w:val="21"/>
          <w:szCs w:val="21"/>
        </w:rPr>
      </w:pPr>
      <w:bookmarkStart w:id="467" w:name="_Toc20891"/>
      <w:bookmarkStart w:id="468" w:name="bookmark1011"/>
      <w:bookmarkStart w:id="469" w:name="_Toc13951"/>
      <w:bookmarkStart w:id="470" w:name="bookmark1013"/>
      <w:bookmarkStart w:id="471" w:name="bookmark1012"/>
      <w:bookmarkStart w:id="472" w:name="_Toc28630"/>
      <w:bookmarkStart w:id="473" w:name="_Toc27582"/>
      <w:bookmarkStart w:id="474" w:name="_Toc256000038"/>
      <w:bookmarkStart w:id="475" w:name="_Toc256000288"/>
      <w:r>
        <w:rPr>
          <w:rFonts w:ascii="宋体" w:hAnsi="宋体" w:cs="宋体"/>
          <w:sz w:val="21"/>
          <w:szCs w:val="21"/>
        </w:rPr>
        <w:t>4.4</w:t>
      </w:r>
      <w:r>
        <w:rPr>
          <w:rFonts w:hint="eastAsia" w:ascii="宋体" w:hAnsi="宋体" w:cs="宋体"/>
          <w:sz w:val="21"/>
          <w:szCs w:val="21"/>
        </w:rPr>
        <w:t>联合体</w:t>
      </w:r>
      <w:bookmarkEnd w:id="467"/>
      <w:bookmarkEnd w:id="468"/>
      <w:bookmarkEnd w:id="469"/>
      <w:bookmarkEnd w:id="470"/>
      <w:bookmarkEnd w:id="471"/>
      <w:bookmarkEnd w:id="472"/>
      <w:bookmarkEnd w:id="473"/>
      <w:bookmarkEnd w:id="474"/>
      <w:bookmarkEnd w:id="475"/>
    </w:p>
    <w:p w14:paraId="4EA575DC">
      <w:pPr>
        <w:pStyle w:val="319"/>
        <w:tabs>
          <w:tab w:val="left" w:pos="738"/>
        </w:tabs>
        <w:ind w:firstLine="420" w:firstLineChars="200"/>
        <w:rPr>
          <w:rFonts w:cs="Times New Roman"/>
          <w:sz w:val="21"/>
          <w:szCs w:val="21"/>
        </w:rPr>
      </w:pPr>
      <w:bookmarkStart w:id="476" w:name="bookmark1014"/>
      <w:bookmarkEnd w:id="476"/>
      <w:r>
        <w:rPr>
          <w:sz w:val="21"/>
          <w:szCs w:val="21"/>
          <w:lang w:val="en-US"/>
        </w:rPr>
        <w:t>4.4.1</w:t>
      </w:r>
      <w:r>
        <w:rPr>
          <w:rFonts w:hint="eastAsia"/>
          <w:sz w:val="21"/>
          <w:szCs w:val="21"/>
        </w:rPr>
        <w:t>联合体各方应共同与发包人签订合同协议书。联合体各方应为履行合同承担连带责任。</w:t>
      </w:r>
    </w:p>
    <w:p w14:paraId="0253BD6E">
      <w:pPr>
        <w:pStyle w:val="319"/>
        <w:ind w:firstLine="420"/>
        <w:rPr>
          <w:rFonts w:cs="Times New Roman"/>
          <w:sz w:val="21"/>
          <w:szCs w:val="21"/>
        </w:rPr>
      </w:pPr>
      <w:r>
        <w:rPr>
          <w:sz w:val="21"/>
          <w:szCs w:val="21"/>
          <w:lang w:val="en-US"/>
        </w:rPr>
        <w:t>4.4.2</w:t>
      </w:r>
      <w:r>
        <w:rPr>
          <w:rFonts w:hint="eastAsia"/>
          <w:sz w:val="21"/>
          <w:szCs w:val="21"/>
        </w:rPr>
        <w:t>联合体协议经发包人确认后作为合同附件。在履行合同过程中，未经发包人同意，不得修改联合体协议。</w:t>
      </w:r>
    </w:p>
    <w:p w14:paraId="29DFA679">
      <w:pPr>
        <w:pStyle w:val="319"/>
        <w:spacing w:after="140"/>
        <w:ind w:firstLine="420"/>
        <w:rPr>
          <w:rFonts w:cs="Times New Roman"/>
          <w:sz w:val="21"/>
          <w:szCs w:val="21"/>
        </w:rPr>
      </w:pPr>
      <w:r>
        <w:rPr>
          <w:sz w:val="21"/>
          <w:szCs w:val="21"/>
          <w:lang w:val="en-US"/>
        </w:rPr>
        <w:t>4.4.3</w:t>
      </w:r>
      <w:r>
        <w:rPr>
          <w:rFonts w:hint="eastAsia"/>
          <w:sz w:val="21"/>
          <w:szCs w:val="21"/>
        </w:rPr>
        <w:t>联合体牵头人负责与发包人和监理人联系，并接受指示，负责组织联合体各成员全面履行合同。</w:t>
      </w:r>
    </w:p>
    <w:p w14:paraId="37E1F2A3">
      <w:pPr>
        <w:pStyle w:val="318"/>
        <w:spacing w:line="360" w:lineRule="auto"/>
        <w:rPr>
          <w:rFonts w:ascii="宋体" w:cs="宋体"/>
          <w:sz w:val="21"/>
          <w:szCs w:val="21"/>
        </w:rPr>
      </w:pPr>
      <w:bookmarkStart w:id="477" w:name="_Toc27934"/>
      <w:bookmarkStart w:id="478" w:name="bookmark1017"/>
      <w:bookmarkStart w:id="479" w:name="_Toc6370"/>
      <w:bookmarkStart w:id="480" w:name="_Toc256000039"/>
      <w:bookmarkStart w:id="481" w:name="_Toc14954"/>
      <w:bookmarkStart w:id="482" w:name="bookmark1016"/>
      <w:bookmarkStart w:id="483" w:name="_Toc22472"/>
      <w:bookmarkStart w:id="484" w:name="bookmark1015"/>
      <w:bookmarkStart w:id="485" w:name="_Toc256000289"/>
      <w:r>
        <w:rPr>
          <w:rFonts w:ascii="宋体" w:hAnsi="宋体" w:cs="宋体"/>
          <w:sz w:val="21"/>
          <w:szCs w:val="21"/>
        </w:rPr>
        <w:t>4.5</w:t>
      </w:r>
      <w:r>
        <w:rPr>
          <w:rFonts w:hint="eastAsia" w:ascii="宋体" w:hAnsi="宋体" w:cs="宋体"/>
          <w:sz w:val="21"/>
          <w:szCs w:val="21"/>
        </w:rPr>
        <w:t>承包人项目经理</w:t>
      </w:r>
      <w:bookmarkEnd w:id="477"/>
      <w:bookmarkEnd w:id="478"/>
      <w:bookmarkEnd w:id="479"/>
      <w:bookmarkEnd w:id="480"/>
      <w:bookmarkEnd w:id="481"/>
      <w:bookmarkEnd w:id="482"/>
      <w:bookmarkEnd w:id="483"/>
      <w:bookmarkEnd w:id="484"/>
      <w:bookmarkEnd w:id="485"/>
    </w:p>
    <w:p w14:paraId="0157FF4B">
      <w:pPr>
        <w:pStyle w:val="319"/>
        <w:ind w:firstLine="420"/>
        <w:rPr>
          <w:rFonts w:cs="Times New Roman"/>
          <w:sz w:val="21"/>
          <w:szCs w:val="21"/>
        </w:rPr>
      </w:pPr>
      <w:r>
        <w:rPr>
          <w:sz w:val="21"/>
          <w:szCs w:val="21"/>
          <w:lang w:val="en-US"/>
        </w:rPr>
        <w:t>4.5.1</w:t>
      </w:r>
      <w:r>
        <w:rPr>
          <w:rFonts w:hint="eastAsia"/>
          <w:sz w:val="21"/>
          <w:szCs w:val="21"/>
        </w:rPr>
        <w:t>承包人应按合同约定指派项目经理，并在约定的期限内到职。承包人更换项目经理应事先征得发包人同意，并应在更换</w:t>
      </w:r>
      <w:r>
        <w:rPr>
          <w:sz w:val="21"/>
          <w:szCs w:val="21"/>
        </w:rPr>
        <w:t>14</w:t>
      </w:r>
      <w:r>
        <w:rPr>
          <w:rFonts w:hint="eastAsia"/>
          <w:sz w:val="21"/>
          <w:szCs w:val="21"/>
        </w:rPr>
        <w:t>天前通知发包人和监理人。承包人项目经理短</w:t>
      </w:r>
      <w:r>
        <w:rPr>
          <w:sz w:val="21"/>
          <w:szCs w:val="21"/>
        </w:rPr>
        <w:t xml:space="preserve"> </w:t>
      </w:r>
      <w:r>
        <w:rPr>
          <w:rFonts w:hint="eastAsia"/>
          <w:sz w:val="21"/>
          <w:szCs w:val="21"/>
        </w:rPr>
        <w:t>期离开施工场地，应事先征得监理人同意，并委派代表代行其职责。</w:t>
      </w:r>
    </w:p>
    <w:p w14:paraId="35775029">
      <w:pPr>
        <w:pStyle w:val="319"/>
        <w:ind w:firstLine="420"/>
        <w:rPr>
          <w:rFonts w:cs="Times New Roman"/>
          <w:sz w:val="21"/>
          <w:szCs w:val="21"/>
        </w:rPr>
      </w:pPr>
      <w:r>
        <w:rPr>
          <w:sz w:val="21"/>
          <w:szCs w:val="21"/>
          <w:lang w:val="en-US"/>
        </w:rPr>
        <w:t>4.5.2</w:t>
      </w:r>
      <w:r>
        <w:rPr>
          <w:rFonts w:hint="eastAsia"/>
          <w:sz w:val="21"/>
          <w:szCs w:val="21"/>
        </w:rPr>
        <w:t>承包人项目经理应按合同约定以及监理人按第</w:t>
      </w:r>
      <w:r>
        <w:rPr>
          <w:sz w:val="21"/>
          <w:szCs w:val="21"/>
          <w:lang w:val="en-US"/>
        </w:rPr>
        <w:t xml:space="preserve">3. </w:t>
      </w:r>
      <w:r>
        <w:rPr>
          <w:sz w:val="21"/>
          <w:szCs w:val="21"/>
        </w:rPr>
        <w:t>4</w:t>
      </w:r>
      <w:r>
        <w:rPr>
          <w:rFonts w:hint="eastAsia"/>
          <w:sz w:val="21"/>
          <w:szCs w:val="21"/>
        </w:rPr>
        <w:t>款作出的指示，负责组织合同工程的实施。在情况紧急且无法与监理人取得联系时，可采取保证工程和人员生命财产</w:t>
      </w:r>
      <w:r>
        <w:rPr>
          <w:sz w:val="21"/>
          <w:szCs w:val="21"/>
        </w:rPr>
        <w:t xml:space="preserve"> </w:t>
      </w:r>
      <w:r>
        <w:rPr>
          <w:rFonts w:hint="eastAsia"/>
          <w:sz w:val="21"/>
          <w:szCs w:val="21"/>
        </w:rPr>
        <w:t>安全的紧急措施，并在采取措施后</w:t>
      </w:r>
      <w:r>
        <w:rPr>
          <w:sz w:val="21"/>
          <w:szCs w:val="21"/>
        </w:rPr>
        <w:t>24</w:t>
      </w:r>
      <w:r>
        <w:rPr>
          <w:rFonts w:hint="eastAsia"/>
          <w:sz w:val="21"/>
          <w:szCs w:val="21"/>
        </w:rPr>
        <w:t>小时内向监理人提交书面报告。</w:t>
      </w:r>
    </w:p>
    <w:p w14:paraId="18ADB3D3">
      <w:pPr>
        <w:pStyle w:val="319"/>
        <w:ind w:firstLine="420"/>
        <w:rPr>
          <w:rFonts w:cs="Times New Roman"/>
          <w:sz w:val="21"/>
          <w:szCs w:val="21"/>
        </w:rPr>
      </w:pPr>
      <w:r>
        <w:rPr>
          <w:sz w:val="21"/>
          <w:szCs w:val="21"/>
          <w:lang w:val="en-US"/>
        </w:rPr>
        <w:t>4.5.</w:t>
      </w:r>
      <w:r>
        <w:rPr>
          <w:sz w:val="21"/>
          <w:szCs w:val="21"/>
        </w:rPr>
        <w:t>3</w:t>
      </w:r>
      <w:r>
        <w:rPr>
          <w:rFonts w:hint="eastAsia"/>
          <w:sz w:val="21"/>
          <w:szCs w:val="21"/>
        </w:rPr>
        <w:t>承包人为履行合同发出的一切函件均应盖有承包人授权的施工场地管理机构章，并由承包人项目经理或其授权代表签字。</w:t>
      </w:r>
    </w:p>
    <w:p w14:paraId="3E8DFE85">
      <w:pPr>
        <w:pStyle w:val="319"/>
        <w:spacing w:after="140"/>
        <w:ind w:firstLine="420"/>
        <w:rPr>
          <w:rFonts w:cs="Times New Roman"/>
          <w:sz w:val="21"/>
          <w:szCs w:val="21"/>
        </w:rPr>
      </w:pPr>
      <w:r>
        <w:rPr>
          <w:sz w:val="21"/>
          <w:szCs w:val="21"/>
          <w:lang w:val="en-US"/>
        </w:rPr>
        <w:t>4.5.4</w:t>
      </w:r>
      <w:r>
        <w:rPr>
          <w:rFonts w:hint="eastAsia"/>
          <w:sz w:val="21"/>
          <w:szCs w:val="21"/>
        </w:rPr>
        <w:t>承包人项目经理可以授权其下属人员履行其某项职责，但事先应将这些人员的姓名和授权范围通知监理人。</w:t>
      </w:r>
    </w:p>
    <w:p w14:paraId="3EB841A7">
      <w:pPr>
        <w:pStyle w:val="318"/>
        <w:spacing w:line="360" w:lineRule="auto"/>
        <w:rPr>
          <w:rFonts w:ascii="宋体" w:cs="宋体"/>
          <w:sz w:val="21"/>
          <w:szCs w:val="21"/>
        </w:rPr>
      </w:pPr>
      <w:bookmarkStart w:id="486" w:name="_Toc12482"/>
      <w:bookmarkStart w:id="487" w:name="bookmark1018"/>
      <w:bookmarkStart w:id="488" w:name="_Toc23281"/>
      <w:bookmarkStart w:id="489" w:name="bookmark1020"/>
      <w:bookmarkStart w:id="490" w:name="_Toc20561"/>
      <w:bookmarkStart w:id="491" w:name="_Toc1095"/>
      <w:bookmarkStart w:id="492" w:name="_Toc256000290"/>
      <w:bookmarkStart w:id="493" w:name="_Toc256000040"/>
      <w:bookmarkStart w:id="494" w:name="bookmark1019"/>
      <w:r>
        <w:rPr>
          <w:rFonts w:ascii="宋体" w:hAnsi="宋体" w:cs="宋体"/>
          <w:sz w:val="21"/>
          <w:szCs w:val="21"/>
        </w:rPr>
        <w:t>4.6</w:t>
      </w:r>
      <w:r>
        <w:rPr>
          <w:rFonts w:hint="eastAsia" w:ascii="宋体" w:hAnsi="宋体" w:cs="宋体"/>
          <w:sz w:val="21"/>
          <w:szCs w:val="21"/>
        </w:rPr>
        <w:t>承包人人员的管理</w:t>
      </w:r>
      <w:bookmarkEnd w:id="486"/>
      <w:bookmarkEnd w:id="487"/>
      <w:bookmarkEnd w:id="488"/>
      <w:bookmarkEnd w:id="489"/>
      <w:bookmarkEnd w:id="490"/>
      <w:bookmarkEnd w:id="491"/>
      <w:bookmarkEnd w:id="492"/>
      <w:bookmarkEnd w:id="493"/>
      <w:bookmarkEnd w:id="494"/>
    </w:p>
    <w:p w14:paraId="71CF3CAA">
      <w:pPr>
        <w:pStyle w:val="319"/>
        <w:ind w:firstLine="420"/>
        <w:rPr>
          <w:rFonts w:cs="Times New Roman"/>
          <w:sz w:val="21"/>
          <w:szCs w:val="21"/>
        </w:rPr>
      </w:pPr>
      <w:r>
        <w:rPr>
          <w:sz w:val="21"/>
          <w:szCs w:val="21"/>
          <w:lang w:val="en-US"/>
        </w:rPr>
        <w:t>4.6.1</w:t>
      </w:r>
      <w:r>
        <w:rPr>
          <w:rFonts w:hint="eastAsia"/>
          <w:sz w:val="21"/>
          <w:szCs w:val="21"/>
        </w:rPr>
        <w:t>承包人应在接到开工通知后</w:t>
      </w:r>
      <w:r>
        <w:rPr>
          <w:sz w:val="21"/>
          <w:szCs w:val="21"/>
        </w:rPr>
        <w:t>28</w:t>
      </w:r>
      <w:r>
        <w:rPr>
          <w:rFonts w:hint="eastAsia"/>
          <w:sz w:val="21"/>
          <w:szCs w:val="21"/>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158C5EC">
      <w:pPr>
        <w:pStyle w:val="319"/>
        <w:spacing w:after="140"/>
        <w:ind w:firstLine="420"/>
        <w:rPr>
          <w:rFonts w:cs="Times New Roman"/>
          <w:sz w:val="21"/>
          <w:szCs w:val="21"/>
        </w:rPr>
      </w:pPr>
      <w:r>
        <w:rPr>
          <w:sz w:val="21"/>
          <w:szCs w:val="21"/>
          <w:lang w:val="en-US"/>
        </w:rPr>
        <w:t>4.6.2</w:t>
      </w:r>
      <w:r>
        <w:rPr>
          <w:rFonts w:hint="eastAsia"/>
          <w:sz w:val="21"/>
          <w:szCs w:val="21"/>
        </w:rPr>
        <w:t>为完成合同约定的各项工作，承包人应向施工场地派遣或雇佣足够数量的下列</w:t>
      </w:r>
      <w:r>
        <w:rPr>
          <w:sz w:val="21"/>
          <w:szCs w:val="21"/>
        </w:rPr>
        <w:t xml:space="preserve"> </w:t>
      </w:r>
      <w:r>
        <w:rPr>
          <w:rFonts w:hint="eastAsia"/>
          <w:sz w:val="21"/>
          <w:szCs w:val="21"/>
        </w:rPr>
        <w:t>人员：</w:t>
      </w:r>
    </w:p>
    <w:p w14:paraId="6D470E0E">
      <w:pPr>
        <w:pStyle w:val="319"/>
        <w:numPr>
          <w:ilvl w:val="0"/>
          <w:numId w:val="2"/>
        </w:numPr>
        <w:tabs>
          <w:tab w:val="left" w:pos="899"/>
        </w:tabs>
        <w:ind w:firstLine="420"/>
        <w:rPr>
          <w:rFonts w:cs="Times New Roman"/>
          <w:sz w:val="21"/>
          <w:szCs w:val="21"/>
        </w:rPr>
      </w:pPr>
      <w:bookmarkStart w:id="495" w:name="bookmark1021"/>
      <w:bookmarkEnd w:id="495"/>
      <w:r>
        <w:rPr>
          <w:rFonts w:hint="eastAsia"/>
          <w:sz w:val="21"/>
          <w:szCs w:val="21"/>
        </w:rPr>
        <w:t>具有相应资格的专业技工和合格的普工；</w:t>
      </w:r>
    </w:p>
    <w:p w14:paraId="5215DCEC">
      <w:pPr>
        <w:pStyle w:val="319"/>
        <w:numPr>
          <w:ilvl w:val="0"/>
          <w:numId w:val="2"/>
        </w:numPr>
        <w:tabs>
          <w:tab w:val="left" w:pos="899"/>
        </w:tabs>
        <w:ind w:firstLine="420"/>
        <w:rPr>
          <w:rFonts w:cs="Times New Roman"/>
          <w:sz w:val="21"/>
          <w:szCs w:val="21"/>
        </w:rPr>
      </w:pPr>
      <w:bookmarkStart w:id="496" w:name="bookmark1022"/>
      <w:bookmarkEnd w:id="496"/>
      <w:r>
        <w:rPr>
          <w:rFonts w:hint="eastAsia"/>
          <w:sz w:val="21"/>
          <w:szCs w:val="21"/>
        </w:rPr>
        <w:t>具有相应施工经验的技术人员；</w:t>
      </w:r>
    </w:p>
    <w:p w14:paraId="3E8BE8D6">
      <w:pPr>
        <w:pStyle w:val="319"/>
        <w:numPr>
          <w:ilvl w:val="0"/>
          <w:numId w:val="2"/>
        </w:numPr>
        <w:tabs>
          <w:tab w:val="left" w:pos="899"/>
        </w:tabs>
        <w:ind w:firstLine="420"/>
        <w:rPr>
          <w:rFonts w:cs="Times New Roman"/>
          <w:sz w:val="21"/>
          <w:szCs w:val="21"/>
        </w:rPr>
      </w:pPr>
      <w:bookmarkStart w:id="497" w:name="bookmark1023"/>
      <w:bookmarkEnd w:id="497"/>
      <w:r>
        <w:rPr>
          <w:rFonts w:hint="eastAsia"/>
          <w:sz w:val="21"/>
          <w:szCs w:val="21"/>
        </w:rPr>
        <w:t>具有相应岗位资格的各级管理人员。</w:t>
      </w:r>
    </w:p>
    <w:p w14:paraId="60F0BACD">
      <w:pPr>
        <w:pStyle w:val="319"/>
        <w:spacing w:after="140"/>
        <w:ind w:firstLine="420"/>
        <w:rPr>
          <w:rFonts w:cs="Times New Roman"/>
          <w:sz w:val="21"/>
          <w:szCs w:val="21"/>
        </w:rPr>
      </w:pPr>
      <w:r>
        <w:rPr>
          <w:sz w:val="21"/>
          <w:szCs w:val="21"/>
          <w:lang w:val="en-US"/>
        </w:rPr>
        <w:t>4.6.3</w:t>
      </w:r>
      <w:r>
        <w:rPr>
          <w:rFonts w:hint="eastAsia"/>
          <w:sz w:val="21"/>
          <w:szCs w:val="21"/>
        </w:rPr>
        <w:t>承包人安排在施工场地的主要管理人员和技术骨干应相对稳定。承包人更换主要管理人员和技术骨干时，应取得监理人的同意。</w:t>
      </w:r>
    </w:p>
    <w:p w14:paraId="313CB3C1">
      <w:pPr>
        <w:pStyle w:val="319"/>
        <w:spacing w:after="40"/>
        <w:ind w:firstLine="420"/>
        <w:rPr>
          <w:rFonts w:cs="Times New Roman"/>
          <w:sz w:val="21"/>
          <w:szCs w:val="21"/>
        </w:rPr>
      </w:pPr>
      <w:r>
        <w:rPr>
          <w:sz w:val="21"/>
          <w:szCs w:val="21"/>
          <w:lang w:val="en-US"/>
        </w:rPr>
        <w:t>4. 6.4</w:t>
      </w:r>
      <w:r>
        <w:rPr>
          <w:rFonts w:hint="eastAsia"/>
          <w:sz w:val="21"/>
          <w:szCs w:val="21"/>
        </w:rPr>
        <w:t>特殊岗位的工作人员均应持有相应的资格证明，监理人有权随时检查。监理人认为有必要时，可进行现场考核。</w:t>
      </w:r>
    </w:p>
    <w:p w14:paraId="04E9350F">
      <w:pPr>
        <w:pStyle w:val="318"/>
        <w:spacing w:line="360" w:lineRule="auto"/>
        <w:rPr>
          <w:rFonts w:ascii="宋体" w:cs="宋体"/>
          <w:sz w:val="21"/>
          <w:szCs w:val="21"/>
        </w:rPr>
      </w:pPr>
      <w:bookmarkStart w:id="498" w:name="_Toc15028"/>
      <w:bookmarkStart w:id="499" w:name="_Toc5262"/>
      <w:bookmarkStart w:id="500" w:name="bookmark1025"/>
      <w:bookmarkStart w:id="501" w:name="bookmark1024"/>
      <w:bookmarkStart w:id="502" w:name="_Toc30195"/>
      <w:bookmarkStart w:id="503" w:name="_Toc256000041"/>
      <w:bookmarkStart w:id="504" w:name="_Toc24736"/>
      <w:bookmarkStart w:id="505" w:name="_Toc256000291"/>
      <w:bookmarkStart w:id="506" w:name="bookmark1026"/>
      <w:r>
        <w:rPr>
          <w:rFonts w:ascii="宋体" w:hAnsi="宋体" w:cs="宋体"/>
          <w:sz w:val="21"/>
          <w:szCs w:val="21"/>
        </w:rPr>
        <w:t>4.7</w:t>
      </w:r>
      <w:r>
        <w:rPr>
          <w:rFonts w:hint="eastAsia" w:ascii="宋体" w:hAnsi="宋体" w:cs="宋体"/>
          <w:sz w:val="21"/>
          <w:szCs w:val="21"/>
        </w:rPr>
        <w:t>撤换承包人项目经理和其他人员</w:t>
      </w:r>
      <w:bookmarkEnd w:id="498"/>
      <w:bookmarkEnd w:id="499"/>
      <w:bookmarkEnd w:id="500"/>
      <w:bookmarkEnd w:id="501"/>
      <w:bookmarkEnd w:id="502"/>
      <w:bookmarkEnd w:id="503"/>
      <w:bookmarkEnd w:id="504"/>
      <w:bookmarkEnd w:id="505"/>
      <w:bookmarkEnd w:id="506"/>
    </w:p>
    <w:p w14:paraId="03E99803">
      <w:pPr>
        <w:pStyle w:val="319"/>
        <w:spacing w:after="160"/>
        <w:ind w:firstLine="420"/>
        <w:rPr>
          <w:rFonts w:cs="Times New Roman"/>
          <w:sz w:val="21"/>
          <w:szCs w:val="21"/>
        </w:rPr>
      </w:pPr>
      <w:r>
        <w:rPr>
          <w:rFonts w:hint="eastAsia"/>
          <w:sz w:val="21"/>
          <w:szCs w:val="21"/>
        </w:rPr>
        <w:t>承包人应对其项目经理和其他人员进行有效管理。监理人要求撤换不能胜任本职工作、</w:t>
      </w:r>
      <w:r>
        <w:rPr>
          <w:sz w:val="21"/>
          <w:szCs w:val="21"/>
        </w:rPr>
        <w:t xml:space="preserve"> </w:t>
      </w:r>
      <w:r>
        <w:rPr>
          <w:rFonts w:hint="eastAsia"/>
          <w:sz w:val="21"/>
          <w:szCs w:val="21"/>
        </w:rPr>
        <w:t>行为不端或玩忽职守的承包人项目经理和其他人员的，承包人应予以撤换。</w:t>
      </w:r>
    </w:p>
    <w:p w14:paraId="0103ECC6">
      <w:pPr>
        <w:pStyle w:val="318"/>
        <w:spacing w:line="360" w:lineRule="auto"/>
        <w:rPr>
          <w:rFonts w:ascii="宋体" w:cs="宋体"/>
          <w:sz w:val="21"/>
          <w:szCs w:val="21"/>
        </w:rPr>
      </w:pPr>
      <w:bookmarkStart w:id="507" w:name="bookmark1028"/>
      <w:bookmarkStart w:id="508" w:name="_Toc30223"/>
      <w:bookmarkStart w:id="509" w:name="_Toc256000042"/>
      <w:bookmarkStart w:id="510" w:name="_Toc1547"/>
      <w:bookmarkStart w:id="511" w:name="_Toc256000292"/>
      <w:bookmarkStart w:id="512" w:name="_Toc18528"/>
      <w:bookmarkStart w:id="513" w:name="_Toc19207"/>
      <w:bookmarkStart w:id="514" w:name="bookmark1027"/>
      <w:bookmarkStart w:id="515" w:name="bookmark1029"/>
      <w:r>
        <w:rPr>
          <w:rFonts w:ascii="宋体" w:hAnsi="宋体" w:cs="宋体"/>
          <w:sz w:val="21"/>
          <w:szCs w:val="21"/>
        </w:rPr>
        <w:t>4.8</w:t>
      </w:r>
      <w:r>
        <w:rPr>
          <w:rFonts w:hint="eastAsia" w:ascii="宋体" w:hAnsi="宋体" w:cs="宋体"/>
          <w:sz w:val="21"/>
          <w:szCs w:val="21"/>
        </w:rPr>
        <w:t>保障承包人人员的合法权益</w:t>
      </w:r>
      <w:bookmarkEnd w:id="507"/>
      <w:bookmarkEnd w:id="508"/>
      <w:bookmarkEnd w:id="509"/>
      <w:bookmarkEnd w:id="510"/>
      <w:bookmarkEnd w:id="511"/>
      <w:bookmarkEnd w:id="512"/>
      <w:bookmarkEnd w:id="513"/>
      <w:bookmarkEnd w:id="514"/>
      <w:bookmarkEnd w:id="515"/>
    </w:p>
    <w:p w14:paraId="3BDE3209">
      <w:pPr>
        <w:pStyle w:val="319"/>
        <w:ind w:firstLine="420"/>
        <w:rPr>
          <w:rFonts w:cs="Times New Roman"/>
          <w:sz w:val="21"/>
          <w:szCs w:val="21"/>
        </w:rPr>
      </w:pPr>
      <w:r>
        <w:rPr>
          <w:sz w:val="21"/>
          <w:szCs w:val="21"/>
          <w:lang w:val="en-US"/>
        </w:rPr>
        <w:t>4.8.</w:t>
      </w:r>
      <w:r>
        <w:rPr>
          <w:sz w:val="21"/>
          <w:szCs w:val="21"/>
        </w:rPr>
        <w:t>1</w:t>
      </w:r>
      <w:r>
        <w:rPr>
          <w:rFonts w:hint="eastAsia"/>
          <w:sz w:val="21"/>
          <w:szCs w:val="21"/>
        </w:rPr>
        <w:t>承包人应与其雇佣的人员签订劳动合同，并按时发放工资。</w:t>
      </w:r>
    </w:p>
    <w:p w14:paraId="5374C971">
      <w:pPr>
        <w:pStyle w:val="319"/>
        <w:ind w:firstLine="420"/>
        <w:rPr>
          <w:rFonts w:cs="Times New Roman"/>
          <w:sz w:val="21"/>
          <w:szCs w:val="21"/>
        </w:rPr>
      </w:pPr>
      <w:r>
        <w:rPr>
          <w:sz w:val="21"/>
          <w:szCs w:val="21"/>
          <w:lang w:val="en-US"/>
        </w:rPr>
        <w:t>4.8.</w:t>
      </w:r>
      <w:r>
        <w:rPr>
          <w:sz w:val="21"/>
          <w:szCs w:val="21"/>
        </w:rPr>
        <w:t>2</w:t>
      </w:r>
      <w:r>
        <w:rPr>
          <w:rFonts w:hint="eastAsia"/>
          <w:sz w:val="21"/>
          <w:szCs w:val="21"/>
        </w:rPr>
        <w:t>承包人应按劳动法的规定安排工作时间，保证其雇佣人员享有休息和休假的权利。因工程施工的特殊需要占用休假日或延长工作时间的，应不超过法律规定的限度，并按法律规定给予补休或付酬。</w:t>
      </w:r>
    </w:p>
    <w:p w14:paraId="040149BC">
      <w:pPr>
        <w:pStyle w:val="319"/>
        <w:ind w:firstLine="420"/>
        <w:rPr>
          <w:rFonts w:cs="Times New Roman"/>
          <w:sz w:val="21"/>
          <w:szCs w:val="21"/>
        </w:rPr>
      </w:pPr>
      <w:r>
        <w:rPr>
          <w:sz w:val="21"/>
          <w:szCs w:val="21"/>
          <w:lang w:val="en-US"/>
        </w:rPr>
        <w:t>4.8.3</w:t>
      </w:r>
      <w:r>
        <w:rPr>
          <w:rFonts w:hint="eastAsia"/>
          <w:sz w:val="21"/>
          <w:szCs w:val="21"/>
        </w:rPr>
        <w:t>承包人应为其雇佣人员提供必要的食宿条件，以及符合环境保护和卫生要求的生活环境，在远离城镇的施工场地，还应配备必要的伤病防治和急救的医务人员与医疗设施。</w:t>
      </w:r>
    </w:p>
    <w:p w14:paraId="0A3504C3">
      <w:pPr>
        <w:pStyle w:val="319"/>
        <w:ind w:firstLine="420"/>
        <w:rPr>
          <w:rFonts w:cs="Times New Roman"/>
          <w:sz w:val="21"/>
          <w:szCs w:val="21"/>
        </w:rPr>
      </w:pPr>
      <w:r>
        <w:rPr>
          <w:sz w:val="21"/>
          <w:szCs w:val="21"/>
          <w:lang w:val="en-US"/>
        </w:rPr>
        <w:t>4. 8.4</w:t>
      </w:r>
      <w:r>
        <w:rPr>
          <w:rFonts w:hint="eastAsia"/>
          <w:sz w:val="21"/>
          <w:szCs w:val="21"/>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5E25A02">
      <w:pPr>
        <w:pStyle w:val="319"/>
        <w:ind w:firstLine="420"/>
        <w:rPr>
          <w:rFonts w:cs="Times New Roman"/>
          <w:sz w:val="21"/>
          <w:szCs w:val="21"/>
        </w:rPr>
      </w:pPr>
      <w:r>
        <w:rPr>
          <w:sz w:val="21"/>
          <w:szCs w:val="21"/>
          <w:lang w:val="en-US"/>
        </w:rPr>
        <w:t>4.8.5</w:t>
      </w:r>
      <w:r>
        <w:rPr>
          <w:rFonts w:hint="eastAsia"/>
          <w:sz w:val="21"/>
          <w:szCs w:val="21"/>
        </w:rPr>
        <w:t>承包人应按有关法律规定和合同约定，为其雇佣人员办理保险。</w:t>
      </w:r>
    </w:p>
    <w:p w14:paraId="1C4CB4E0">
      <w:pPr>
        <w:pStyle w:val="319"/>
        <w:spacing w:after="160"/>
        <w:ind w:firstLine="420"/>
        <w:rPr>
          <w:rFonts w:cs="Times New Roman"/>
          <w:sz w:val="21"/>
          <w:szCs w:val="21"/>
        </w:rPr>
      </w:pPr>
      <w:r>
        <w:rPr>
          <w:sz w:val="21"/>
          <w:szCs w:val="21"/>
          <w:lang w:val="en-US"/>
        </w:rPr>
        <w:t>4.8.6</w:t>
      </w:r>
      <w:r>
        <w:rPr>
          <w:rFonts w:hint="eastAsia"/>
          <w:sz w:val="21"/>
          <w:szCs w:val="21"/>
        </w:rPr>
        <w:t>承包人应负责处理其雇佣人员因工伤亡事故的善后事宜。</w:t>
      </w:r>
    </w:p>
    <w:p w14:paraId="311819D5">
      <w:pPr>
        <w:pStyle w:val="318"/>
        <w:spacing w:line="360" w:lineRule="auto"/>
        <w:rPr>
          <w:rFonts w:ascii="宋体" w:cs="宋体"/>
          <w:sz w:val="21"/>
          <w:szCs w:val="21"/>
        </w:rPr>
      </w:pPr>
      <w:bookmarkStart w:id="516" w:name="_Toc1414"/>
      <w:bookmarkStart w:id="517" w:name="_Toc256000043"/>
      <w:bookmarkStart w:id="518" w:name="_Toc1725"/>
      <w:bookmarkStart w:id="519" w:name="bookmark1031"/>
      <w:bookmarkStart w:id="520" w:name="bookmark1032"/>
      <w:bookmarkStart w:id="521" w:name="_Toc256000293"/>
      <w:bookmarkStart w:id="522" w:name="_Toc15730"/>
      <w:bookmarkStart w:id="523" w:name="bookmark1030"/>
      <w:bookmarkStart w:id="524" w:name="_Toc7851"/>
      <w:r>
        <w:rPr>
          <w:rFonts w:ascii="宋体" w:hAnsi="宋体" w:cs="宋体"/>
          <w:sz w:val="21"/>
          <w:szCs w:val="21"/>
        </w:rPr>
        <w:t>4.9</w:t>
      </w:r>
      <w:r>
        <w:rPr>
          <w:rFonts w:hint="eastAsia" w:ascii="宋体" w:hAnsi="宋体" w:cs="宋体"/>
          <w:sz w:val="21"/>
          <w:szCs w:val="21"/>
        </w:rPr>
        <w:t>工程价款应专款专用</w:t>
      </w:r>
      <w:bookmarkEnd w:id="516"/>
      <w:bookmarkEnd w:id="517"/>
      <w:bookmarkEnd w:id="518"/>
      <w:bookmarkEnd w:id="519"/>
      <w:bookmarkEnd w:id="520"/>
      <w:bookmarkEnd w:id="521"/>
      <w:bookmarkEnd w:id="522"/>
      <w:bookmarkEnd w:id="523"/>
      <w:bookmarkEnd w:id="524"/>
    </w:p>
    <w:p w14:paraId="36DF0E00">
      <w:pPr>
        <w:pStyle w:val="319"/>
        <w:spacing w:after="160"/>
        <w:ind w:firstLine="420"/>
        <w:rPr>
          <w:rFonts w:cs="Times New Roman"/>
          <w:sz w:val="21"/>
          <w:szCs w:val="21"/>
        </w:rPr>
      </w:pPr>
      <w:r>
        <w:rPr>
          <w:rFonts w:hint="eastAsia"/>
          <w:sz w:val="21"/>
          <w:szCs w:val="21"/>
        </w:rPr>
        <w:t>发包人按合同约定支付给承包人的各项价款应专用于合同工程。</w:t>
      </w:r>
    </w:p>
    <w:p w14:paraId="45287EC3">
      <w:pPr>
        <w:pStyle w:val="318"/>
        <w:spacing w:line="360" w:lineRule="auto"/>
        <w:rPr>
          <w:rFonts w:ascii="宋体" w:cs="宋体"/>
          <w:sz w:val="21"/>
          <w:szCs w:val="21"/>
        </w:rPr>
      </w:pPr>
      <w:bookmarkStart w:id="525" w:name="_Toc5606"/>
      <w:bookmarkStart w:id="526" w:name="bookmark1035"/>
      <w:bookmarkStart w:id="527" w:name="_Toc256000294"/>
      <w:bookmarkStart w:id="528" w:name="_Toc256000044"/>
      <w:bookmarkStart w:id="529" w:name="_Toc8586"/>
      <w:bookmarkStart w:id="530" w:name="_Toc7882"/>
      <w:bookmarkStart w:id="531" w:name="_Toc30630"/>
      <w:bookmarkStart w:id="532" w:name="bookmark1033"/>
      <w:bookmarkStart w:id="533" w:name="bookmark1034"/>
      <w:r>
        <w:rPr>
          <w:rFonts w:ascii="宋体" w:hAnsi="宋体" w:cs="宋体"/>
          <w:sz w:val="21"/>
          <w:szCs w:val="21"/>
        </w:rPr>
        <w:t>4.10</w:t>
      </w:r>
      <w:r>
        <w:rPr>
          <w:rFonts w:hint="eastAsia" w:ascii="宋体" w:hAnsi="宋体" w:cs="宋体"/>
          <w:sz w:val="21"/>
          <w:szCs w:val="21"/>
        </w:rPr>
        <w:t>承包人现场查勘</w:t>
      </w:r>
      <w:bookmarkEnd w:id="525"/>
      <w:bookmarkEnd w:id="526"/>
      <w:bookmarkEnd w:id="527"/>
      <w:bookmarkEnd w:id="528"/>
      <w:bookmarkEnd w:id="529"/>
      <w:bookmarkEnd w:id="530"/>
      <w:bookmarkEnd w:id="531"/>
      <w:bookmarkEnd w:id="532"/>
      <w:bookmarkEnd w:id="533"/>
    </w:p>
    <w:p w14:paraId="30596BDD">
      <w:pPr>
        <w:pStyle w:val="319"/>
        <w:ind w:firstLine="420"/>
        <w:rPr>
          <w:rFonts w:cs="Times New Roman"/>
          <w:sz w:val="21"/>
          <w:szCs w:val="21"/>
        </w:rPr>
      </w:pPr>
      <w:r>
        <w:rPr>
          <w:sz w:val="21"/>
          <w:szCs w:val="21"/>
          <w:lang w:val="en-US"/>
        </w:rPr>
        <w:t>4.10.</w:t>
      </w:r>
      <w:r>
        <w:rPr>
          <w:sz w:val="21"/>
          <w:szCs w:val="21"/>
        </w:rPr>
        <w:t>1</w:t>
      </w:r>
      <w:r>
        <w:rPr>
          <w:rFonts w:hint="eastAsia"/>
          <w:sz w:val="21"/>
          <w:szCs w:val="21"/>
        </w:rPr>
        <w:t>发包人应将其持有的现场地质勘探资料、水文气象资料提供给承包人，并对其准确性负责。但承包人应对其阅读上述有关资料后所作出的解释和推断负责。</w:t>
      </w:r>
    </w:p>
    <w:p w14:paraId="5291C58D">
      <w:pPr>
        <w:pStyle w:val="319"/>
        <w:spacing w:after="240"/>
        <w:ind w:firstLine="420"/>
        <w:rPr>
          <w:rFonts w:cs="Times New Roman"/>
          <w:sz w:val="21"/>
          <w:szCs w:val="21"/>
        </w:rPr>
      </w:pPr>
      <w:bookmarkStart w:id="534" w:name="bookmark1036"/>
      <w:bookmarkEnd w:id="534"/>
      <w:r>
        <w:rPr>
          <w:sz w:val="21"/>
          <w:szCs w:val="21"/>
        </w:rPr>
        <w:t>4.10.2</w:t>
      </w:r>
      <w:r>
        <w:rPr>
          <w:rFonts w:hint="eastAsia"/>
          <w:sz w:val="21"/>
          <w:szCs w:val="21"/>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2902E885">
      <w:pPr>
        <w:pStyle w:val="318"/>
        <w:spacing w:line="360" w:lineRule="auto"/>
        <w:rPr>
          <w:rFonts w:ascii="宋体" w:cs="宋体"/>
          <w:sz w:val="21"/>
          <w:szCs w:val="21"/>
        </w:rPr>
      </w:pPr>
      <w:bookmarkStart w:id="535" w:name="bookmark1037"/>
      <w:bookmarkStart w:id="536" w:name="bookmark1038"/>
      <w:bookmarkStart w:id="537" w:name="_Toc256000045"/>
      <w:bookmarkStart w:id="538" w:name="_Toc332"/>
      <w:bookmarkStart w:id="539" w:name="_Toc8878"/>
      <w:bookmarkStart w:id="540" w:name="_Toc256000295"/>
      <w:bookmarkStart w:id="541" w:name="_Toc2080"/>
      <w:bookmarkStart w:id="542" w:name="_Toc2993"/>
      <w:bookmarkStart w:id="543" w:name="bookmark1039"/>
      <w:r>
        <w:rPr>
          <w:rFonts w:ascii="宋体" w:hAnsi="宋体" w:cs="宋体"/>
          <w:sz w:val="21"/>
          <w:szCs w:val="21"/>
        </w:rPr>
        <w:t>4.11</w:t>
      </w:r>
      <w:r>
        <w:rPr>
          <w:rFonts w:hint="eastAsia" w:ascii="宋体" w:hAnsi="宋体" w:cs="宋体"/>
          <w:sz w:val="21"/>
          <w:szCs w:val="21"/>
        </w:rPr>
        <w:t>不利物质条件</w:t>
      </w:r>
      <w:bookmarkEnd w:id="535"/>
      <w:bookmarkEnd w:id="536"/>
      <w:bookmarkEnd w:id="537"/>
      <w:bookmarkEnd w:id="538"/>
      <w:bookmarkEnd w:id="539"/>
      <w:bookmarkEnd w:id="540"/>
      <w:bookmarkEnd w:id="541"/>
      <w:bookmarkEnd w:id="542"/>
      <w:bookmarkEnd w:id="543"/>
    </w:p>
    <w:p w14:paraId="7114D724">
      <w:pPr>
        <w:pStyle w:val="319"/>
        <w:ind w:firstLine="420"/>
        <w:rPr>
          <w:rFonts w:cs="Times New Roman"/>
          <w:sz w:val="21"/>
          <w:szCs w:val="21"/>
        </w:rPr>
      </w:pPr>
      <w:r>
        <w:rPr>
          <w:sz w:val="21"/>
          <w:szCs w:val="21"/>
          <w:lang w:val="en-US"/>
        </w:rPr>
        <w:t>4.11.1</w:t>
      </w:r>
      <w:r>
        <w:rPr>
          <w:rFonts w:hint="eastAsia"/>
          <w:sz w:val="21"/>
          <w:szCs w:val="21"/>
        </w:rPr>
        <w:t>除专用合同条款另有约定外，不利的物质条件是指在施工中遭遇不可预见的外界障碍或自然条件造成施工受阻。</w:t>
      </w:r>
    </w:p>
    <w:p w14:paraId="35621328">
      <w:pPr>
        <w:pStyle w:val="319"/>
        <w:rPr>
          <w:rFonts w:cs="Times New Roman"/>
          <w:sz w:val="21"/>
          <w:szCs w:val="21"/>
        </w:rPr>
      </w:pPr>
      <w:r>
        <w:rPr>
          <w:sz w:val="21"/>
          <w:szCs w:val="21"/>
          <w:lang w:val="en-US"/>
        </w:rPr>
        <w:t>4.11.2</w:t>
      </w:r>
      <w:r>
        <w:rPr>
          <w:rFonts w:hint="eastAsia"/>
          <w:sz w:val="21"/>
          <w:szCs w:val="21"/>
        </w:rPr>
        <w:t>承包人遇到不利物质条件时，应采取适应不利物质条件的合理措施继续施工</w:t>
      </w:r>
      <w:r>
        <w:rPr>
          <w:sz w:val="21"/>
          <w:szCs w:val="21"/>
        </w:rPr>
        <w:t xml:space="preserve">, </w:t>
      </w:r>
      <w:r>
        <w:rPr>
          <w:rFonts w:hint="eastAsia"/>
          <w:sz w:val="21"/>
          <w:szCs w:val="21"/>
        </w:rPr>
        <w:t>并及时通知监理人。承包人应有权根据第</w:t>
      </w:r>
      <w:r>
        <w:rPr>
          <w:sz w:val="21"/>
          <w:szCs w:val="21"/>
          <w:lang w:val="en-US"/>
        </w:rPr>
        <w:t>23.1</w:t>
      </w:r>
      <w:r>
        <w:rPr>
          <w:rFonts w:hint="eastAsia"/>
          <w:sz w:val="21"/>
          <w:szCs w:val="21"/>
        </w:rPr>
        <w:t>款的约定，要求延长工期及增加费用。监理人收到此类要求后，应在分析上述外界障碍或自然条件是否不可预见及不可预见程度的基础上，按照通用合同条款第</w:t>
      </w:r>
      <w:r>
        <w:rPr>
          <w:sz w:val="21"/>
          <w:szCs w:val="21"/>
        </w:rPr>
        <w:t>15</w:t>
      </w:r>
      <w:r>
        <w:rPr>
          <w:rFonts w:hint="eastAsia"/>
          <w:sz w:val="21"/>
          <w:szCs w:val="21"/>
        </w:rPr>
        <w:t>条的约定办理。</w:t>
      </w:r>
    </w:p>
    <w:p w14:paraId="7C036EF0">
      <w:pPr>
        <w:pStyle w:val="318"/>
        <w:spacing w:line="360" w:lineRule="auto"/>
        <w:rPr>
          <w:rFonts w:ascii="宋体" w:cs="宋体"/>
          <w:sz w:val="21"/>
          <w:szCs w:val="21"/>
        </w:rPr>
      </w:pPr>
      <w:bookmarkStart w:id="544" w:name="bookmark1042"/>
      <w:bookmarkEnd w:id="544"/>
      <w:bookmarkStart w:id="545" w:name="bookmark1043"/>
      <w:bookmarkStart w:id="546" w:name="_Toc6145"/>
      <w:bookmarkStart w:id="547" w:name="_Toc256000296"/>
      <w:bookmarkStart w:id="548" w:name="_Toc256000046"/>
      <w:bookmarkStart w:id="549" w:name="_Toc29673"/>
      <w:bookmarkStart w:id="550" w:name="_Toc31753"/>
      <w:bookmarkStart w:id="551" w:name="bookmark1040"/>
      <w:bookmarkStart w:id="552" w:name="bookmark1041"/>
      <w:bookmarkStart w:id="553" w:name="_Toc25230"/>
      <w:r>
        <w:rPr>
          <w:rFonts w:ascii="宋体" w:hAnsi="宋体" w:cs="宋体"/>
          <w:sz w:val="21"/>
          <w:szCs w:val="21"/>
        </w:rPr>
        <w:t>5.</w:t>
      </w:r>
      <w:r>
        <w:rPr>
          <w:rFonts w:hint="eastAsia" w:ascii="宋体" w:hAnsi="宋体" w:cs="宋体"/>
          <w:sz w:val="21"/>
          <w:szCs w:val="21"/>
        </w:rPr>
        <w:t>材料和工程设备</w:t>
      </w:r>
      <w:bookmarkEnd w:id="545"/>
      <w:bookmarkEnd w:id="546"/>
      <w:bookmarkEnd w:id="547"/>
      <w:bookmarkEnd w:id="548"/>
      <w:bookmarkEnd w:id="549"/>
      <w:bookmarkEnd w:id="550"/>
      <w:bookmarkEnd w:id="551"/>
      <w:bookmarkEnd w:id="552"/>
      <w:bookmarkEnd w:id="553"/>
    </w:p>
    <w:p w14:paraId="300D8B97">
      <w:pPr>
        <w:pStyle w:val="318"/>
        <w:spacing w:line="360" w:lineRule="auto"/>
        <w:rPr>
          <w:rFonts w:ascii="宋体" w:cs="宋体"/>
          <w:sz w:val="21"/>
          <w:szCs w:val="21"/>
        </w:rPr>
      </w:pPr>
      <w:bookmarkStart w:id="554" w:name="bookmark1045"/>
      <w:bookmarkStart w:id="555" w:name="_Toc23926"/>
      <w:bookmarkStart w:id="556" w:name="_Toc5421"/>
      <w:bookmarkStart w:id="557" w:name="_Toc11121"/>
      <w:bookmarkStart w:id="558" w:name="_Toc256000047"/>
      <w:bookmarkStart w:id="559" w:name="bookmark1046"/>
      <w:bookmarkStart w:id="560" w:name="_Toc9121"/>
      <w:bookmarkStart w:id="561" w:name="_Toc256000297"/>
      <w:bookmarkStart w:id="562" w:name="bookmark1044"/>
      <w:r>
        <w:rPr>
          <w:rFonts w:ascii="宋体" w:hAnsi="宋体" w:cs="宋体"/>
          <w:sz w:val="21"/>
          <w:szCs w:val="21"/>
        </w:rPr>
        <w:t>5.1</w:t>
      </w:r>
      <w:r>
        <w:rPr>
          <w:rFonts w:hint="eastAsia" w:ascii="宋体" w:hAnsi="宋体" w:cs="宋体"/>
          <w:sz w:val="21"/>
          <w:szCs w:val="21"/>
        </w:rPr>
        <w:t>承包人提供的材料和工程设备</w:t>
      </w:r>
      <w:bookmarkEnd w:id="554"/>
      <w:bookmarkEnd w:id="555"/>
      <w:bookmarkEnd w:id="556"/>
      <w:bookmarkEnd w:id="557"/>
      <w:bookmarkEnd w:id="558"/>
      <w:bookmarkEnd w:id="559"/>
      <w:bookmarkEnd w:id="560"/>
      <w:bookmarkEnd w:id="561"/>
      <w:bookmarkEnd w:id="562"/>
    </w:p>
    <w:p w14:paraId="57CDA5B3">
      <w:pPr>
        <w:pStyle w:val="319"/>
        <w:spacing w:after="280"/>
        <w:ind w:firstLine="420"/>
        <w:rPr>
          <w:rFonts w:cs="Times New Roman"/>
          <w:sz w:val="21"/>
          <w:szCs w:val="21"/>
          <w:lang w:val="en-US"/>
        </w:rPr>
      </w:pPr>
      <w:bookmarkStart w:id="563" w:name="bookmark1047"/>
      <w:bookmarkEnd w:id="563"/>
      <w:r>
        <w:rPr>
          <w:sz w:val="21"/>
          <w:szCs w:val="21"/>
          <w:lang w:val="en-US"/>
        </w:rPr>
        <w:t>5.1.1</w:t>
      </w:r>
      <w:r>
        <w:rPr>
          <w:rFonts w:hint="eastAsia"/>
          <w:sz w:val="21"/>
          <w:szCs w:val="21"/>
          <w:lang w:val="en-US"/>
        </w:rPr>
        <w:t>除第</w:t>
      </w:r>
      <w:r>
        <w:rPr>
          <w:sz w:val="21"/>
          <w:szCs w:val="21"/>
          <w:lang w:val="en-US"/>
        </w:rPr>
        <w:t>5.2</w:t>
      </w:r>
      <w:r>
        <w:rPr>
          <w:rFonts w:hint="eastAsia"/>
          <w:sz w:val="21"/>
          <w:szCs w:val="21"/>
          <w:lang w:val="en-US"/>
        </w:rPr>
        <w:t>款约定由发包人提供的材料和工程设备外，承包人负责采购、运输和保管完成本合同工作所需的材料和工程设备。承包人应对其采购的材料和工程设备负责。</w:t>
      </w:r>
    </w:p>
    <w:p w14:paraId="0ED2BDDA">
      <w:pPr>
        <w:pStyle w:val="319"/>
        <w:spacing w:after="280"/>
        <w:ind w:firstLine="420"/>
        <w:rPr>
          <w:rFonts w:cs="Times New Roman"/>
          <w:sz w:val="21"/>
          <w:szCs w:val="21"/>
          <w:lang w:val="en-US"/>
        </w:rPr>
      </w:pPr>
      <w:r>
        <w:rPr>
          <w:sz w:val="21"/>
          <w:szCs w:val="21"/>
          <w:lang w:val="en-US"/>
        </w:rPr>
        <w:t>5.1.2</w:t>
      </w:r>
      <w:r>
        <w:rPr>
          <w:rFonts w:hint="eastAsia"/>
          <w:sz w:val="21"/>
          <w:szCs w:val="21"/>
          <w:lang w:val="en-US"/>
        </w:rPr>
        <w:t>承包人应按专用合同条款的约定，将各项材料和工程设备的供货人及品种、规格、数量和供货时间等报送监理人审批。承包人应向监理人提交其负责提供的材料和工程</w:t>
      </w:r>
      <w:r>
        <w:rPr>
          <w:sz w:val="21"/>
          <w:szCs w:val="21"/>
          <w:lang w:val="en-US"/>
        </w:rPr>
        <w:t xml:space="preserve"> </w:t>
      </w:r>
      <w:r>
        <w:rPr>
          <w:rFonts w:hint="eastAsia"/>
          <w:sz w:val="21"/>
          <w:szCs w:val="21"/>
          <w:lang w:val="en-US"/>
        </w:rPr>
        <w:t>设备的质量证明文件，并满足合同约定的质量标准。</w:t>
      </w:r>
    </w:p>
    <w:p w14:paraId="198DD00A">
      <w:pPr>
        <w:pStyle w:val="319"/>
        <w:spacing w:after="280"/>
        <w:ind w:firstLine="420"/>
        <w:rPr>
          <w:rFonts w:cs="Times New Roman"/>
          <w:sz w:val="21"/>
          <w:szCs w:val="21"/>
          <w:lang w:val="en-US"/>
        </w:rPr>
      </w:pPr>
      <w:r>
        <w:rPr>
          <w:sz w:val="21"/>
          <w:szCs w:val="21"/>
          <w:lang w:val="en-US"/>
        </w:rPr>
        <w:t>5.1.3</w:t>
      </w:r>
      <w:r>
        <w:rPr>
          <w:rFonts w:hint="eastAsia"/>
          <w:sz w:val="21"/>
          <w:szCs w:val="21"/>
          <w:lang w:val="en-US"/>
        </w:rPr>
        <w:t>对承包人提供的材料和工程设备，承包人应会同监理人进行检验和交货验收</w:t>
      </w:r>
      <w:r>
        <w:rPr>
          <w:sz w:val="21"/>
          <w:szCs w:val="21"/>
          <w:lang w:val="en-US"/>
        </w:rPr>
        <w:t>,</w:t>
      </w:r>
      <w:r>
        <w:rPr>
          <w:rFonts w:hint="eastAsia"/>
          <w:sz w:val="21"/>
          <w:szCs w:val="21"/>
          <w:lang w:val="en-US"/>
        </w:rPr>
        <w:t>查验材料合格证明和产品合格证书，并按合同约定和监理人指示，进行材料的抽样检验和工程设备的检验测试，检验和测试结果应提交监理人，所需费用由承包人承担。</w:t>
      </w:r>
    </w:p>
    <w:p w14:paraId="1950DE2E">
      <w:pPr>
        <w:pStyle w:val="318"/>
        <w:spacing w:line="360" w:lineRule="auto"/>
        <w:rPr>
          <w:rFonts w:ascii="宋体" w:cs="宋体"/>
          <w:sz w:val="21"/>
          <w:szCs w:val="21"/>
        </w:rPr>
      </w:pPr>
      <w:bookmarkStart w:id="564" w:name="_Toc16936"/>
      <w:bookmarkStart w:id="565" w:name="_Toc256000298"/>
      <w:bookmarkStart w:id="566" w:name="bookmark1049"/>
      <w:bookmarkStart w:id="567" w:name="_Toc32095"/>
      <w:bookmarkStart w:id="568" w:name="bookmark1050"/>
      <w:bookmarkStart w:id="569" w:name="bookmark1048"/>
      <w:bookmarkStart w:id="570" w:name="_Toc9524"/>
      <w:bookmarkStart w:id="571" w:name="_Toc18208"/>
      <w:bookmarkStart w:id="572" w:name="_Toc256000048"/>
      <w:r>
        <w:rPr>
          <w:rFonts w:ascii="宋体" w:hAnsi="宋体" w:cs="宋体"/>
          <w:sz w:val="21"/>
          <w:szCs w:val="21"/>
        </w:rPr>
        <w:t>5.2</w:t>
      </w:r>
      <w:r>
        <w:rPr>
          <w:rFonts w:hint="eastAsia" w:ascii="宋体" w:hAnsi="宋体" w:cs="宋体"/>
          <w:sz w:val="21"/>
          <w:szCs w:val="21"/>
        </w:rPr>
        <w:t>发包人提供的材料和工程设备</w:t>
      </w:r>
      <w:bookmarkEnd w:id="564"/>
      <w:bookmarkEnd w:id="565"/>
      <w:bookmarkEnd w:id="566"/>
      <w:bookmarkEnd w:id="567"/>
      <w:bookmarkEnd w:id="568"/>
      <w:bookmarkEnd w:id="569"/>
      <w:bookmarkEnd w:id="570"/>
      <w:bookmarkEnd w:id="571"/>
      <w:bookmarkEnd w:id="572"/>
    </w:p>
    <w:p w14:paraId="621EF1C7">
      <w:pPr>
        <w:pStyle w:val="319"/>
        <w:ind w:firstLine="420"/>
        <w:rPr>
          <w:rFonts w:cs="Times New Roman"/>
          <w:sz w:val="21"/>
          <w:szCs w:val="21"/>
        </w:rPr>
      </w:pPr>
      <w:bookmarkStart w:id="573" w:name="bookmark1051"/>
      <w:bookmarkEnd w:id="573"/>
      <w:r>
        <w:rPr>
          <w:sz w:val="21"/>
          <w:szCs w:val="21"/>
        </w:rPr>
        <w:t>5.2.1</w:t>
      </w:r>
      <w:r>
        <w:rPr>
          <w:rFonts w:hint="eastAsia"/>
          <w:sz w:val="21"/>
          <w:szCs w:val="21"/>
        </w:rPr>
        <w:t>发包人提供的材料和工程设备，应在专用合同条款中写明材料和工程设备的名称、规格、数量、价格、交货方式、交货地点和计划交货日期等。</w:t>
      </w:r>
    </w:p>
    <w:p w14:paraId="1E02A4A9">
      <w:pPr>
        <w:pStyle w:val="319"/>
        <w:ind w:firstLine="420"/>
        <w:rPr>
          <w:rFonts w:cs="Times New Roman"/>
          <w:sz w:val="21"/>
          <w:szCs w:val="21"/>
        </w:rPr>
      </w:pPr>
      <w:r>
        <w:rPr>
          <w:sz w:val="21"/>
          <w:szCs w:val="21"/>
          <w:lang w:val="en-US"/>
        </w:rPr>
        <w:t>5.2.2</w:t>
      </w:r>
      <w:r>
        <w:rPr>
          <w:rFonts w:hint="eastAsia"/>
          <w:sz w:val="21"/>
          <w:szCs w:val="21"/>
        </w:rPr>
        <w:t>承包人应根据合同进度计划的安排，向监理人报送要求发包人交货的日期计划。发包人应按照监理人与合同双方当事人商定的交货日期，向承包人提交材料和工程设备。</w:t>
      </w:r>
    </w:p>
    <w:p w14:paraId="35C6AC71">
      <w:pPr>
        <w:pStyle w:val="319"/>
        <w:ind w:firstLine="420"/>
        <w:rPr>
          <w:rFonts w:cs="Times New Roman"/>
          <w:sz w:val="21"/>
          <w:szCs w:val="21"/>
        </w:rPr>
      </w:pPr>
      <w:r>
        <w:rPr>
          <w:sz w:val="21"/>
          <w:szCs w:val="21"/>
          <w:lang w:val="en-US"/>
        </w:rPr>
        <w:t>5.2.3</w:t>
      </w:r>
      <w:r>
        <w:rPr>
          <w:rFonts w:hint="eastAsia"/>
          <w:sz w:val="21"/>
          <w:szCs w:val="21"/>
        </w:rPr>
        <w:t>发包人应在材料和工程设备到货</w:t>
      </w:r>
      <w:r>
        <w:rPr>
          <w:sz w:val="21"/>
          <w:szCs w:val="21"/>
        </w:rPr>
        <w:t>7</w:t>
      </w:r>
      <w:r>
        <w:rPr>
          <w:rFonts w:hint="eastAsia"/>
          <w:sz w:val="21"/>
          <w:szCs w:val="21"/>
        </w:rPr>
        <w:t>天前通知承包人，承包人应会同监理人在约定的时间内，赴交货地点共同进行验收。发包人提供的材料和工程设备运至交货地点验收后，由承包人负责接收、卸货、运输和保管。</w:t>
      </w:r>
    </w:p>
    <w:p w14:paraId="3E923357">
      <w:pPr>
        <w:pStyle w:val="319"/>
        <w:ind w:firstLine="420"/>
        <w:rPr>
          <w:rFonts w:cs="Times New Roman"/>
          <w:sz w:val="21"/>
          <w:szCs w:val="21"/>
        </w:rPr>
      </w:pPr>
      <w:r>
        <w:rPr>
          <w:sz w:val="21"/>
          <w:szCs w:val="21"/>
          <w:lang w:val="en-US"/>
        </w:rPr>
        <w:t>5.2.4</w:t>
      </w:r>
      <w:r>
        <w:rPr>
          <w:rFonts w:hint="eastAsia"/>
          <w:sz w:val="21"/>
          <w:szCs w:val="21"/>
        </w:rPr>
        <w:t>发包人要求向承包人提前交货的，承包人不得拒绝，但发包人应承担承包人由此增加的费用。</w:t>
      </w:r>
    </w:p>
    <w:p w14:paraId="5F6957E5">
      <w:pPr>
        <w:pStyle w:val="319"/>
        <w:ind w:firstLine="420"/>
        <w:rPr>
          <w:rFonts w:cs="Times New Roman"/>
          <w:sz w:val="21"/>
          <w:szCs w:val="21"/>
        </w:rPr>
      </w:pPr>
      <w:r>
        <w:rPr>
          <w:sz w:val="21"/>
          <w:szCs w:val="21"/>
          <w:lang w:val="en-US"/>
        </w:rPr>
        <w:t>5.2.5</w:t>
      </w:r>
      <w:r>
        <w:rPr>
          <w:rFonts w:hint="eastAsia"/>
          <w:sz w:val="21"/>
          <w:szCs w:val="21"/>
        </w:rPr>
        <w:t>承包人要求更改交货日期或地点的，应事先报请监理人批准。由于承包人要求更改交货时间或地点所增加的费用和（或）工期延误由承包人承担。</w:t>
      </w:r>
    </w:p>
    <w:p w14:paraId="6A4DD8DE">
      <w:pPr>
        <w:pStyle w:val="319"/>
        <w:spacing w:after="120"/>
        <w:ind w:firstLine="420"/>
        <w:rPr>
          <w:rFonts w:cs="Times New Roman"/>
          <w:sz w:val="21"/>
          <w:szCs w:val="21"/>
        </w:rPr>
      </w:pPr>
      <w:r>
        <w:rPr>
          <w:sz w:val="21"/>
          <w:szCs w:val="21"/>
          <w:lang w:val="en-US"/>
        </w:rPr>
        <w:t>5.2.6</w:t>
      </w:r>
      <w:r>
        <w:rPr>
          <w:rFonts w:hint="eastAsia"/>
          <w:sz w:val="21"/>
          <w:szCs w:val="21"/>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2B86E91C">
      <w:pPr>
        <w:pStyle w:val="318"/>
        <w:spacing w:line="360" w:lineRule="auto"/>
        <w:rPr>
          <w:rFonts w:ascii="宋体" w:cs="宋体"/>
          <w:sz w:val="21"/>
          <w:szCs w:val="21"/>
        </w:rPr>
      </w:pPr>
      <w:bookmarkStart w:id="574" w:name="_Toc10010"/>
      <w:bookmarkStart w:id="575" w:name="_Toc17795"/>
      <w:bookmarkStart w:id="576" w:name="_Toc2255"/>
      <w:bookmarkStart w:id="577" w:name="bookmark1052"/>
      <w:bookmarkStart w:id="578" w:name="bookmark1053"/>
      <w:bookmarkStart w:id="579" w:name="_Toc256000049"/>
      <w:bookmarkStart w:id="580" w:name="bookmark1054"/>
      <w:bookmarkStart w:id="581" w:name="_Toc256000299"/>
      <w:bookmarkStart w:id="582" w:name="_Toc28532"/>
      <w:r>
        <w:rPr>
          <w:rFonts w:ascii="宋体" w:hAnsi="宋体" w:cs="宋体"/>
          <w:sz w:val="21"/>
          <w:szCs w:val="21"/>
        </w:rPr>
        <w:t>5.3</w:t>
      </w:r>
      <w:r>
        <w:rPr>
          <w:rFonts w:hint="eastAsia" w:ascii="宋体" w:hAnsi="宋体" w:cs="宋体"/>
          <w:sz w:val="21"/>
          <w:szCs w:val="21"/>
        </w:rPr>
        <w:t>材料和工程设备专用于合同工程</w:t>
      </w:r>
      <w:bookmarkEnd w:id="574"/>
      <w:bookmarkEnd w:id="575"/>
      <w:bookmarkEnd w:id="576"/>
      <w:bookmarkEnd w:id="577"/>
      <w:bookmarkEnd w:id="578"/>
      <w:bookmarkEnd w:id="579"/>
      <w:bookmarkEnd w:id="580"/>
      <w:bookmarkEnd w:id="581"/>
      <w:bookmarkEnd w:id="582"/>
    </w:p>
    <w:p w14:paraId="59204389">
      <w:pPr>
        <w:pStyle w:val="319"/>
        <w:ind w:firstLine="420"/>
        <w:rPr>
          <w:rFonts w:cs="Times New Roman"/>
          <w:sz w:val="21"/>
          <w:szCs w:val="21"/>
        </w:rPr>
      </w:pPr>
      <w:r>
        <w:rPr>
          <w:sz w:val="21"/>
          <w:szCs w:val="21"/>
          <w:lang w:val="en-US"/>
        </w:rPr>
        <w:t>5.3.1</w:t>
      </w:r>
      <w:r>
        <w:rPr>
          <w:rFonts w:hint="eastAsia"/>
          <w:sz w:val="21"/>
          <w:szCs w:val="21"/>
        </w:rPr>
        <w:t>运入施工场地的材料、工程设备，包括备品备件、安装专用工器具与随机资料，必须专用于合同工程，未经监理人同意，承包人不得运出施工场地或挪作他用。</w:t>
      </w:r>
    </w:p>
    <w:p w14:paraId="43A6671B">
      <w:pPr>
        <w:pStyle w:val="319"/>
        <w:spacing w:after="120"/>
        <w:ind w:firstLine="420"/>
        <w:rPr>
          <w:rFonts w:cs="Times New Roman"/>
          <w:sz w:val="21"/>
          <w:szCs w:val="21"/>
        </w:rPr>
      </w:pPr>
      <w:r>
        <w:rPr>
          <w:sz w:val="21"/>
          <w:szCs w:val="21"/>
          <w:lang w:val="en-US"/>
        </w:rPr>
        <w:t>5.3.2</w:t>
      </w:r>
      <w:r>
        <w:rPr>
          <w:rFonts w:hint="eastAsia"/>
          <w:sz w:val="21"/>
          <w:szCs w:val="21"/>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D620ED3">
      <w:pPr>
        <w:pStyle w:val="318"/>
        <w:spacing w:line="360" w:lineRule="auto"/>
        <w:rPr>
          <w:rFonts w:ascii="宋体" w:cs="宋体"/>
          <w:sz w:val="21"/>
          <w:szCs w:val="21"/>
        </w:rPr>
      </w:pPr>
      <w:bookmarkStart w:id="583" w:name="_Toc256000050"/>
      <w:bookmarkStart w:id="584" w:name="_Toc32377"/>
      <w:bookmarkStart w:id="585" w:name="_Toc23254"/>
      <w:bookmarkStart w:id="586" w:name="_Toc11593"/>
      <w:bookmarkStart w:id="587" w:name="bookmark1055"/>
      <w:bookmarkStart w:id="588" w:name="bookmark1056"/>
      <w:bookmarkStart w:id="589" w:name="_Toc256000300"/>
      <w:bookmarkStart w:id="590" w:name="_Toc30864"/>
      <w:bookmarkStart w:id="591" w:name="bookmark1057"/>
      <w:r>
        <w:rPr>
          <w:rFonts w:ascii="宋体" w:hAnsi="宋体" w:cs="宋体"/>
          <w:sz w:val="21"/>
          <w:szCs w:val="21"/>
        </w:rPr>
        <w:t>5.4</w:t>
      </w:r>
      <w:r>
        <w:rPr>
          <w:rFonts w:hint="eastAsia" w:ascii="宋体" w:hAnsi="宋体" w:cs="宋体"/>
          <w:sz w:val="21"/>
          <w:szCs w:val="21"/>
        </w:rPr>
        <w:t>禁止使用不合格的材料和工程设备</w:t>
      </w:r>
      <w:bookmarkEnd w:id="583"/>
      <w:bookmarkEnd w:id="584"/>
      <w:bookmarkEnd w:id="585"/>
      <w:bookmarkEnd w:id="586"/>
      <w:bookmarkEnd w:id="587"/>
      <w:bookmarkEnd w:id="588"/>
      <w:bookmarkEnd w:id="589"/>
      <w:bookmarkEnd w:id="590"/>
      <w:bookmarkEnd w:id="591"/>
    </w:p>
    <w:p w14:paraId="6EE70C92">
      <w:pPr>
        <w:pStyle w:val="319"/>
        <w:spacing w:after="80"/>
        <w:ind w:firstLine="420"/>
        <w:rPr>
          <w:rFonts w:cs="Times New Roman"/>
          <w:sz w:val="21"/>
          <w:szCs w:val="21"/>
        </w:rPr>
      </w:pPr>
      <w:bookmarkStart w:id="592" w:name="bookmark1058"/>
      <w:bookmarkEnd w:id="592"/>
      <w:r>
        <w:rPr>
          <w:sz w:val="21"/>
          <w:szCs w:val="21"/>
        </w:rPr>
        <w:t>5.4.1</w:t>
      </w:r>
      <w:r>
        <w:rPr>
          <w:rFonts w:hint="eastAsia"/>
          <w:sz w:val="21"/>
          <w:szCs w:val="21"/>
        </w:rPr>
        <w:t>监理人有权拒绝承包人提供的不合格材料或工程设备，并要求承包人立即进行更换。监理人应在更换后再次进行检查和检验，由此增加的费用和（或）工期延误由承包</w:t>
      </w:r>
      <w:r>
        <w:rPr>
          <w:sz w:val="21"/>
          <w:szCs w:val="21"/>
        </w:rPr>
        <w:t xml:space="preserve"> </w:t>
      </w:r>
      <w:r>
        <w:rPr>
          <w:rFonts w:hint="eastAsia"/>
          <w:sz w:val="21"/>
          <w:szCs w:val="21"/>
        </w:rPr>
        <w:t>人承担。</w:t>
      </w:r>
    </w:p>
    <w:p w14:paraId="372CA61C">
      <w:pPr>
        <w:pStyle w:val="319"/>
        <w:spacing w:after="80"/>
        <w:ind w:firstLine="420"/>
        <w:rPr>
          <w:rFonts w:cs="Times New Roman"/>
          <w:sz w:val="21"/>
          <w:szCs w:val="21"/>
        </w:rPr>
      </w:pPr>
      <w:bookmarkStart w:id="593" w:name="bookmark1059"/>
      <w:bookmarkEnd w:id="593"/>
      <w:r>
        <w:rPr>
          <w:sz w:val="21"/>
          <w:szCs w:val="21"/>
        </w:rPr>
        <w:t>5.4.2</w:t>
      </w:r>
      <w:r>
        <w:rPr>
          <w:rFonts w:hint="eastAsia"/>
          <w:sz w:val="21"/>
          <w:szCs w:val="21"/>
        </w:rPr>
        <w:t>监理人发现承包人使用了不合格的材料和工程设备，应即时发出指示要求承包人立即改正，并禁止在工程中继续使用不合格的材料和工程设备。</w:t>
      </w:r>
    </w:p>
    <w:p w14:paraId="31B949C0">
      <w:pPr>
        <w:pStyle w:val="319"/>
        <w:ind w:firstLine="420"/>
        <w:rPr>
          <w:rFonts w:cs="Times New Roman"/>
          <w:sz w:val="21"/>
          <w:szCs w:val="21"/>
        </w:rPr>
      </w:pPr>
      <w:r>
        <w:rPr>
          <w:sz w:val="21"/>
          <w:szCs w:val="21"/>
          <w:lang w:val="en-US"/>
        </w:rPr>
        <w:t>5.4.3</w:t>
      </w:r>
      <w:r>
        <w:rPr>
          <w:rFonts w:hint="eastAsia"/>
          <w:sz w:val="21"/>
          <w:szCs w:val="21"/>
        </w:rPr>
        <w:t>发包人提供的材料或工程设备不符合合同要求的，承包人有权拒绝，并可要求发包人更换，由此增加的费用和（或）工期延误由发包人承担。</w:t>
      </w:r>
    </w:p>
    <w:p w14:paraId="7B10BC36">
      <w:pPr>
        <w:pStyle w:val="318"/>
        <w:spacing w:line="360" w:lineRule="auto"/>
        <w:rPr>
          <w:rFonts w:ascii="宋体" w:cs="宋体"/>
          <w:sz w:val="21"/>
          <w:szCs w:val="21"/>
        </w:rPr>
      </w:pPr>
      <w:bookmarkStart w:id="594" w:name="bookmark1062"/>
      <w:bookmarkEnd w:id="594"/>
      <w:bookmarkStart w:id="595" w:name="_Toc256000051"/>
      <w:bookmarkStart w:id="596" w:name="_Toc3256"/>
      <w:bookmarkStart w:id="597" w:name="bookmark1061"/>
      <w:bookmarkStart w:id="598" w:name="bookmark1060"/>
      <w:bookmarkStart w:id="599" w:name="bookmark1063"/>
      <w:bookmarkStart w:id="600" w:name="_Toc5251"/>
      <w:bookmarkStart w:id="601" w:name="_Toc21496"/>
      <w:bookmarkStart w:id="602" w:name="_Toc26583"/>
      <w:bookmarkStart w:id="603" w:name="_Toc256000301"/>
      <w:r>
        <w:rPr>
          <w:rFonts w:ascii="宋体" w:hAnsi="宋体" w:cs="宋体"/>
          <w:sz w:val="21"/>
          <w:szCs w:val="21"/>
        </w:rPr>
        <w:t>6.</w:t>
      </w:r>
      <w:r>
        <w:rPr>
          <w:rFonts w:hint="eastAsia" w:ascii="宋体" w:hAnsi="宋体" w:cs="宋体"/>
          <w:sz w:val="21"/>
          <w:szCs w:val="21"/>
        </w:rPr>
        <w:t>施工设备和临时设施</w:t>
      </w:r>
      <w:bookmarkEnd w:id="595"/>
      <w:bookmarkEnd w:id="596"/>
      <w:bookmarkEnd w:id="597"/>
      <w:bookmarkEnd w:id="598"/>
      <w:bookmarkEnd w:id="599"/>
      <w:bookmarkEnd w:id="600"/>
      <w:bookmarkEnd w:id="601"/>
      <w:bookmarkEnd w:id="602"/>
      <w:bookmarkEnd w:id="603"/>
    </w:p>
    <w:p w14:paraId="78DBA2C4">
      <w:pPr>
        <w:pStyle w:val="318"/>
        <w:spacing w:line="360" w:lineRule="auto"/>
        <w:rPr>
          <w:rFonts w:ascii="宋体" w:cs="宋体"/>
          <w:sz w:val="21"/>
          <w:szCs w:val="21"/>
        </w:rPr>
      </w:pPr>
      <w:bookmarkStart w:id="604" w:name="_Toc29023"/>
      <w:bookmarkStart w:id="605" w:name="_Toc256000052"/>
      <w:bookmarkStart w:id="606" w:name="_Toc9863"/>
      <w:bookmarkStart w:id="607" w:name="_Toc256000302"/>
      <w:bookmarkStart w:id="608" w:name="_Toc2366"/>
      <w:bookmarkStart w:id="609" w:name="_Toc9691"/>
      <w:bookmarkStart w:id="610" w:name="bookmark1065"/>
      <w:bookmarkStart w:id="611" w:name="bookmark1066"/>
      <w:bookmarkStart w:id="612" w:name="bookmark1064"/>
      <w:r>
        <w:rPr>
          <w:rFonts w:ascii="宋体" w:hAnsi="宋体" w:cs="宋体"/>
          <w:sz w:val="21"/>
          <w:szCs w:val="21"/>
        </w:rPr>
        <w:t>6.1</w:t>
      </w:r>
      <w:r>
        <w:rPr>
          <w:rFonts w:hint="eastAsia" w:ascii="宋体" w:hAnsi="宋体" w:cs="宋体"/>
          <w:sz w:val="21"/>
          <w:szCs w:val="21"/>
        </w:rPr>
        <w:t>承包人提供的施工设备和临时设施</w:t>
      </w:r>
      <w:bookmarkEnd w:id="604"/>
      <w:bookmarkEnd w:id="605"/>
      <w:bookmarkEnd w:id="606"/>
      <w:bookmarkEnd w:id="607"/>
      <w:bookmarkEnd w:id="608"/>
      <w:bookmarkEnd w:id="609"/>
      <w:bookmarkEnd w:id="610"/>
      <w:bookmarkEnd w:id="611"/>
      <w:bookmarkEnd w:id="612"/>
    </w:p>
    <w:p w14:paraId="7A30B4F4">
      <w:pPr>
        <w:pStyle w:val="319"/>
        <w:ind w:firstLine="420"/>
        <w:rPr>
          <w:rFonts w:cs="Times New Roman"/>
          <w:sz w:val="21"/>
          <w:szCs w:val="21"/>
        </w:rPr>
      </w:pPr>
      <w:r>
        <w:rPr>
          <w:sz w:val="21"/>
          <w:szCs w:val="21"/>
          <w:lang w:val="en-US"/>
        </w:rPr>
        <w:t>6.1.1</w:t>
      </w:r>
      <w:r>
        <w:rPr>
          <w:rFonts w:hint="eastAsia"/>
          <w:sz w:val="21"/>
          <w:szCs w:val="21"/>
        </w:rPr>
        <w:t>承包人应按合同进度计划的要求，及时配置施工设备和修建临时设施。进入施工场地的承包人设备需经监理人核查后才能投入使用。承包人更换合同约定的承包人设备的，应报监理人批准。</w:t>
      </w:r>
    </w:p>
    <w:p w14:paraId="2BCF28B4">
      <w:pPr>
        <w:pStyle w:val="319"/>
        <w:spacing w:after="140"/>
        <w:ind w:firstLine="420"/>
        <w:rPr>
          <w:rFonts w:cs="Times New Roman"/>
          <w:sz w:val="21"/>
          <w:szCs w:val="21"/>
        </w:rPr>
      </w:pPr>
      <w:r>
        <w:rPr>
          <w:sz w:val="21"/>
          <w:szCs w:val="21"/>
          <w:lang w:val="en-US"/>
        </w:rPr>
        <w:t>6.1.2</w:t>
      </w:r>
      <w:r>
        <w:rPr>
          <w:rFonts w:hint="eastAsia"/>
          <w:sz w:val="21"/>
          <w:szCs w:val="21"/>
        </w:rPr>
        <w:t>除专用合同条款另有约定外，承包人应自行承担修建临时设施的费用，需要临时占地的，应由发包人办理申请手续并承担相应费用。</w:t>
      </w:r>
    </w:p>
    <w:p w14:paraId="7FEBA9EE">
      <w:pPr>
        <w:pStyle w:val="318"/>
        <w:spacing w:line="360" w:lineRule="auto"/>
        <w:rPr>
          <w:rFonts w:ascii="宋体" w:cs="宋体"/>
          <w:sz w:val="21"/>
          <w:szCs w:val="21"/>
        </w:rPr>
      </w:pPr>
      <w:bookmarkStart w:id="613" w:name="_Toc18612"/>
      <w:bookmarkStart w:id="614" w:name="_Toc256000303"/>
      <w:bookmarkStart w:id="615" w:name="bookmark1069"/>
      <w:bookmarkStart w:id="616" w:name="bookmark1067"/>
      <w:bookmarkStart w:id="617" w:name="_Toc24878"/>
      <w:bookmarkStart w:id="618" w:name="_Toc31030"/>
      <w:bookmarkStart w:id="619" w:name="_Toc15863"/>
      <w:bookmarkStart w:id="620" w:name="bookmark1068"/>
      <w:bookmarkStart w:id="621" w:name="_Toc256000053"/>
      <w:r>
        <w:rPr>
          <w:rFonts w:ascii="宋体" w:hAnsi="宋体" w:cs="宋体"/>
          <w:sz w:val="21"/>
          <w:szCs w:val="21"/>
        </w:rPr>
        <w:t>6.2</w:t>
      </w:r>
      <w:r>
        <w:rPr>
          <w:rFonts w:hint="eastAsia" w:ascii="宋体" w:hAnsi="宋体" w:cs="宋体"/>
          <w:sz w:val="21"/>
          <w:szCs w:val="21"/>
        </w:rPr>
        <w:t>发包人提供的施工设备和临时设施</w:t>
      </w:r>
      <w:bookmarkEnd w:id="613"/>
      <w:bookmarkEnd w:id="614"/>
      <w:bookmarkEnd w:id="615"/>
      <w:bookmarkEnd w:id="616"/>
      <w:bookmarkEnd w:id="617"/>
      <w:bookmarkEnd w:id="618"/>
      <w:bookmarkEnd w:id="619"/>
      <w:bookmarkEnd w:id="620"/>
      <w:bookmarkEnd w:id="621"/>
    </w:p>
    <w:p w14:paraId="4FFD5333">
      <w:pPr>
        <w:pStyle w:val="319"/>
        <w:spacing w:after="140"/>
        <w:ind w:firstLine="420"/>
        <w:rPr>
          <w:rFonts w:cs="Times New Roman"/>
          <w:sz w:val="21"/>
          <w:szCs w:val="21"/>
        </w:rPr>
      </w:pPr>
      <w:r>
        <w:rPr>
          <w:rFonts w:hint="eastAsia"/>
          <w:sz w:val="21"/>
          <w:szCs w:val="21"/>
        </w:rPr>
        <w:t>发包人提供的施工设备或临时设施在专用合同条款中约定。</w:t>
      </w:r>
    </w:p>
    <w:p w14:paraId="09894938">
      <w:pPr>
        <w:pStyle w:val="318"/>
        <w:spacing w:line="360" w:lineRule="auto"/>
        <w:rPr>
          <w:rFonts w:ascii="宋体" w:cs="宋体"/>
          <w:sz w:val="21"/>
          <w:szCs w:val="21"/>
        </w:rPr>
      </w:pPr>
      <w:bookmarkStart w:id="622" w:name="_Toc27703"/>
      <w:bookmarkStart w:id="623" w:name="bookmark1070"/>
      <w:bookmarkStart w:id="624" w:name="bookmark1071"/>
      <w:bookmarkStart w:id="625" w:name="bookmark1072"/>
      <w:bookmarkStart w:id="626" w:name="_Toc10942"/>
      <w:bookmarkStart w:id="627" w:name="_Toc256000054"/>
      <w:bookmarkStart w:id="628" w:name="_Toc30722"/>
      <w:bookmarkStart w:id="629" w:name="_Toc21453"/>
      <w:bookmarkStart w:id="630" w:name="_Toc256000304"/>
      <w:r>
        <w:rPr>
          <w:rFonts w:ascii="宋体" w:hAnsi="宋体" w:cs="宋体"/>
          <w:sz w:val="21"/>
          <w:szCs w:val="21"/>
        </w:rPr>
        <w:t>6.3</w:t>
      </w:r>
      <w:r>
        <w:rPr>
          <w:rFonts w:hint="eastAsia" w:ascii="宋体" w:hAnsi="宋体" w:cs="宋体"/>
          <w:sz w:val="21"/>
          <w:szCs w:val="21"/>
        </w:rPr>
        <w:t>要求承包人增加或更换施工设备</w:t>
      </w:r>
      <w:bookmarkEnd w:id="622"/>
      <w:bookmarkEnd w:id="623"/>
      <w:bookmarkEnd w:id="624"/>
      <w:bookmarkEnd w:id="625"/>
      <w:bookmarkEnd w:id="626"/>
      <w:bookmarkEnd w:id="627"/>
      <w:bookmarkEnd w:id="628"/>
      <w:bookmarkEnd w:id="629"/>
      <w:bookmarkEnd w:id="630"/>
    </w:p>
    <w:p w14:paraId="75FF2A1F">
      <w:pPr>
        <w:pStyle w:val="319"/>
        <w:spacing w:after="140"/>
        <w:ind w:firstLine="420"/>
        <w:rPr>
          <w:rFonts w:cs="Times New Roman"/>
          <w:sz w:val="21"/>
          <w:szCs w:val="21"/>
        </w:rPr>
      </w:pPr>
      <w:r>
        <w:rPr>
          <w:rFonts w:hint="eastAsia"/>
          <w:sz w:val="21"/>
          <w:szCs w:val="21"/>
        </w:rPr>
        <w:t>承包人使用的施工设备不能满足合同进度计划和（或）质量要求时，监理人有权要求承包人增加或更换施工设备，承包人应及时增加或更换，由此增加的费用和（或）工期延误由承包人承担。</w:t>
      </w:r>
    </w:p>
    <w:p w14:paraId="14ED80B4">
      <w:pPr>
        <w:pStyle w:val="318"/>
        <w:spacing w:line="360" w:lineRule="auto"/>
        <w:rPr>
          <w:rFonts w:ascii="宋体" w:cs="宋体"/>
          <w:sz w:val="21"/>
          <w:szCs w:val="21"/>
        </w:rPr>
      </w:pPr>
      <w:bookmarkStart w:id="631" w:name="_Toc23117"/>
      <w:bookmarkStart w:id="632" w:name="_Toc256000305"/>
      <w:bookmarkStart w:id="633" w:name="bookmark1074"/>
      <w:bookmarkStart w:id="634" w:name="_Toc256000055"/>
      <w:bookmarkStart w:id="635" w:name="bookmark1075"/>
      <w:bookmarkStart w:id="636" w:name="_Toc21826"/>
      <w:bookmarkStart w:id="637" w:name="_Toc30229"/>
      <w:bookmarkStart w:id="638" w:name="bookmark1073"/>
      <w:bookmarkStart w:id="639" w:name="_Toc16653"/>
      <w:r>
        <w:rPr>
          <w:rFonts w:ascii="宋体" w:hAnsi="宋体" w:cs="宋体"/>
          <w:sz w:val="21"/>
          <w:szCs w:val="21"/>
        </w:rPr>
        <w:t>6.4</w:t>
      </w:r>
      <w:r>
        <w:rPr>
          <w:rFonts w:hint="eastAsia" w:ascii="宋体" w:hAnsi="宋体" w:cs="宋体"/>
          <w:sz w:val="21"/>
          <w:szCs w:val="21"/>
        </w:rPr>
        <w:t>施工设备和临时设施专用于合同工程</w:t>
      </w:r>
      <w:bookmarkEnd w:id="631"/>
      <w:bookmarkEnd w:id="632"/>
      <w:bookmarkEnd w:id="633"/>
      <w:bookmarkEnd w:id="634"/>
      <w:bookmarkEnd w:id="635"/>
      <w:bookmarkEnd w:id="636"/>
      <w:bookmarkEnd w:id="637"/>
      <w:bookmarkEnd w:id="638"/>
      <w:bookmarkEnd w:id="639"/>
    </w:p>
    <w:p w14:paraId="3A1DC598">
      <w:pPr>
        <w:pStyle w:val="319"/>
        <w:spacing w:after="140"/>
        <w:ind w:firstLine="420"/>
        <w:rPr>
          <w:rFonts w:cs="Times New Roman"/>
          <w:sz w:val="21"/>
          <w:szCs w:val="21"/>
        </w:rPr>
      </w:pPr>
      <w:bookmarkStart w:id="640" w:name="bookmark1076"/>
      <w:bookmarkEnd w:id="640"/>
      <w:r>
        <w:rPr>
          <w:sz w:val="21"/>
          <w:szCs w:val="21"/>
        </w:rPr>
        <w:t>6.4.1</w:t>
      </w:r>
      <w:r>
        <w:rPr>
          <w:rFonts w:hint="eastAsia"/>
          <w:sz w:val="21"/>
          <w:szCs w:val="21"/>
        </w:rPr>
        <w:t>除合同另有约定外，运入施工场地的所有施工设备以及在施工场地建设的临时设施应专用于合同工程。未经监理人同意，不得将上述施工设备和临时设施中的任何部分运出施工场地或挪作他用。</w:t>
      </w:r>
    </w:p>
    <w:p w14:paraId="03F30F68">
      <w:pPr>
        <w:pStyle w:val="319"/>
        <w:tabs>
          <w:tab w:val="left" w:pos="754"/>
        </w:tabs>
        <w:spacing w:after="300"/>
        <w:ind w:left="420" w:firstLine="0"/>
        <w:rPr>
          <w:rFonts w:cs="Times New Roman"/>
          <w:sz w:val="21"/>
          <w:szCs w:val="21"/>
        </w:rPr>
      </w:pPr>
      <w:bookmarkStart w:id="641" w:name="bookmark1077"/>
      <w:bookmarkEnd w:id="641"/>
      <w:r>
        <w:rPr>
          <w:sz w:val="21"/>
          <w:szCs w:val="21"/>
          <w:lang w:val="en-US"/>
        </w:rPr>
        <w:t>6.4.2</w:t>
      </w:r>
      <w:r>
        <w:rPr>
          <w:rFonts w:hint="eastAsia"/>
          <w:sz w:val="21"/>
          <w:szCs w:val="21"/>
        </w:rPr>
        <w:t>经监理人同意，承包人可根据合同进度计划撤走闲置的施工设备。</w:t>
      </w:r>
    </w:p>
    <w:p w14:paraId="63F3954A">
      <w:pPr>
        <w:pStyle w:val="318"/>
        <w:spacing w:line="360" w:lineRule="auto"/>
        <w:rPr>
          <w:rFonts w:ascii="宋体" w:cs="宋体"/>
          <w:sz w:val="21"/>
          <w:szCs w:val="21"/>
        </w:rPr>
      </w:pPr>
      <w:bookmarkStart w:id="642" w:name="bookmark1080"/>
      <w:bookmarkEnd w:id="642"/>
      <w:bookmarkStart w:id="643" w:name="_Toc256000306"/>
      <w:bookmarkStart w:id="644" w:name="bookmark1079"/>
      <w:bookmarkStart w:id="645" w:name="_Toc18104"/>
      <w:bookmarkStart w:id="646" w:name="_Toc256000056"/>
      <w:bookmarkStart w:id="647" w:name="_Toc10496"/>
      <w:bookmarkStart w:id="648" w:name="bookmark1078"/>
      <w:bookmarkStart w:id="649" w:name="_Toc13833"/>
      <w:bookmarkStart w:id="650" w:name="bookmark1081"/>
      <w:bookmarkStart w:id="651" w:name="_Toc12232"/>
      <w:r>
        <w:rPr>
          <w:rFonts w:ascii="宋体" w:hAnsi="宋体" w:cs="宋体"/>
          <w:sz w:val="21"/>
          <w:szCs w:val="21"/>
        </w:rPr>
        <w:t>7.</w:t>
      </w:r>
      <w:r>
        <w:rPr>
          <w:rFonts w:hint="eastAsia" w:ascii="宋体" w:hAnsi="宋体" w:cs="宋体"/>
          <w:sz w:val="21"/>
          <w:szCs w:val="21"/>
        </w:rPr>
        <w:t>交通运输</w:t>
      </w:r>
      <w:bookmarkEnd w:id="643"/>
      <w:bookmarkEnd w:id="644"/>
      <w:bookmarkEnd w:id="645"/>
      <w:bookmarkEnd w:id="646"/>
      <w:bookmarkEnd w:id="647"/>
      <w:bookmarkEnd w:id="648"/>
      <w:bookmarkEnd w:id="649"/>
      <w:bookmarkEnd w:id="650"/>
      <w:bookmarkEnd w:id="651"/>
    </w:p>
    <w:p w14:paraId="6CB19FDC">
      <w:pPr>
        <w:pStyle w:val="318"/>
        <w:spacing w:line="360" w:lineRule="auto"/>
        <w:rPr>
          <w:rFonts w:ascii="宋体" w:cs="宋体"/>
          <w:sz w:val="21"/>
          <w:szCs w:val="21"/>
        </w:rPr>
      </w:pPr>
      <w:bookmarkStart w:id="652" w:name="_Toc27238"/>
      <w:bookmarkStart w:id="653" w:name="_Toc14817"/>
      <w:bookmarkStart w:id="654" w:name="bookmark1084"/>
      <w:bookmarkStart w:id="655" w:name="bookmark1083"/>
      <w:bookmarkStart w:id="656" w:name="_Toc22987"/>
      <w:bookmarkStart w:id="657" w:name="_Toc256000307"/>
      <w:bookmarkStart w:id="658" w:name="_Toc22988"/>
      <w:bookmarkStart w:id="659" w:name="_Toc256000057"/>
      <w:bookmarkStart w:id="660" w:name="bookmark1082"/>
      <w:r>
        <w:rPr>
          <w:rFonts w:ascii="宋体" w:hAnsi="宋体" w:cs="宋体"/>
          <w:sz w:val="21"/>
          <w:szCs w:val="21"/>
        </w:rPr>
        <w:t>7.1</w:t>
      </w:r>
      <w:r>
        <w:rPr>
          <w:rFonts w:hint="eastAsia" w:ascii="宋体" w:hAnsi="宋体" w:cs="宋体"/>
          <w:sz w:val="21"/>
          <w:szCs w:val="21"/>
        </w:rPr>
        <w:t>道路通行权和场外设施</w:t>
      </w:r>
      <w:bookmarkEnd w:id="652"/>
      <w:bookmarkEnd w:id="653"/>
      <w:bookmarkEnd w:id="654"/>
      <w:bookmarkEnd w:id="655"/>
      <w:bookmarkEnd w:id="656"/>
      <w:bookmarkEnd w:id="657"/>
      <w:bookmarkEnd w:id="658"/>
      <w:bookmarkEnd w:id="659"/>
      <w:bookmarkEnd w:id="660"/>
    </w:p>
    <w:p w14:paraId="428ADB40">
      <w:pPr>
        <w:pStyle w:val="319"/>
        <w:spacing w:after="140"/>
        <w:ind w:firstLine="420"/>
        <w:rPr>
          <w:rFonts w:cs="Times New Roman"/>
          <w:sz w:val="21"/>
          <w:szCs w:val="21"/>
        </w:rPr>
      </w:pPr>
      <w:r>
        <w:rPr>
          <w:rFonts w:hint="eastAsia"/>
          <w:sz w:val="21"/>
          <w:szCs w:val="21"/>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10FB3637">
      <w:pPr>
        <w:pStyle w:val="318"/>
        <w:spacing w:line="360" w:lineRule="auto"/>
        <w:rPr>
          <w:rFonts w:ascii="宋体" w:cs="宋体"/>
          <w:sz w:val="21"/>
          <w:szCs w:val="21"/>
        </w:rPr>
      </w:pPr>
      <w:bookmarkStart w:id="661" w:name="bookmark1087"/>
      <w:bookmarkStart w:id="662" w:name="bookmark1086"/>
      <w:bookmarkStart w:id="663" w:name="_Toc6034"/>
      <w:bookmarkStart w:id="664" w:name="bookmark1085"/>
      <w:bookmarkStart w:id="665" w:name="_Toc25046"/>
      <w:bookmarkStart w:id="666" w:name="_Toc256000058"/>
      <w:bookmarkStart w:id="667" w:name="_Toc24946"/>
      <w:bookmarkStart w:id="668" w:name="_Toc19760"/>
      <w:bookmarkStart w:id="669" w:name="_Toc256000308"/>
      <w:r>
        <w:rPr>
          <w:rFonts w:ascii="宋体" w:hAnsi="宋体" w:cs="宋体"/>
          <w:sz w:val="21"/>
          <w:szCs w:val="21"/>
        </w:rPr>
        <w:t>7.2</w:t>
      </w:r>
      <w:r>
        <w:rPr>
          <w:rFonts w:hint="eastAsia" w:ascii="宋体" w:hAnsi="宋体" w:cs="宋体"/>
          <w:sz w:val="21"/>
          <w:szCs w:val="21"/>
        </w:rPr>
        <w:t>场内施工道路</w:t>
      </w:r>
      <w:bookmarkEnd w:id="661"/>
      <w:bookmarkEnd w:id="662"/>
      <w:bookmarkEnd w:id="663"/>
      <w:bookmarkEnd w:id="664"/>
      <w:bookmarkEnd w:id="665"/>
      <w:bookmarkEnd w:id="666"/>
      <w:bookmarkEnd w:id="667"/>
      <w:bookmarkEnd w:id="668"/>
      <w:bookmarkEnd w:id="669"/>
    </w:p>
    <w:p w14:paraId="01EFE00C">
      <w:pPr>
        <w:pStyle w:val="319"/>
        <w:ind w:firstLine="420"/>
        <w:rPr>
          <w:rFonts w:cs="Times New Roman"/>
          <w:sz w:val="21"/>
          <w:szCs w:val="21"/>
        </w:rPr>
      </w:pPr>
      <w:r>
        <w:rPr>
          <w:sz w:val="21"/>
          <w:szCs w:val="21"/>
          <w:lang w:val="en-US"/>
        </w:rPr>
        <w:t>7.2.1</w:t>
      </w:r>
      <w:r>
        <w:rPr>
          <w:rFonts w:hint="eastAsia"/>
          <w:sz w:val="21"/>
          <w:szCs w:val="21"/>
        </w:rPr>
        <w:t>除本合同约定由发包人提供的部分道路和交通设施外，承包人应负责修建、维</w:t>
      </w:r>
      <w:r>
        <w:rPr>
          <w:sz w:val="21"/>
          <w:szCs w:val="21"/>
        </w:rPr>
        <w:t xml:space="preserve"> </w:t>
      </w:r>
      <w:r>
        <w:rPr>
          <w:rFonts w:hint="eastAsia"/>
          <w:sz w:val="21"/>
          <w:szCs w:val="21"/>
        </w:rPr>
        <w:t>修、养护和管理其施工所需的全部临时道路和交通设施（包括合同约定由发包人提供的部</w:t>
      </w:r>
      <w:r>
        <w:rPr>
          <w:sz w:val="21"/>
          <w:szCs w:val="21"/>
        </w:rPr>
        <w:t xml:space="preserve"> </w:t>
      </w:r>
      <w:r>
        <w:rPr>
          <w:rFonts w:hint="eastAsia"/>
          <w:sz w:val="21"/>
          <w:szCs w:val="21"/>
        </w:rPr>
        <w:t>分道路和交通设施维修、养护和管理），并承担相应费用。</w:t>
      </w:r>
    </w:p>
    <w:p w14:paraId="410E63F0">
      <w:pPr>
        <w:pStyle w:val="319"/>
        <w:spacing w:after="140"/>
        <w:ind w:firstLine="420"/>
        <w:rPr>
          <w:rFonts w:cs="Times New Roman"/>
          <w:sz w:val="21"/>
          <w:szCs w:val="21"/>
        </w:rPr>
      </w:pPr>
      <w:r>
        <w:rPr>
          <w:sz w:val="21"/>
          <w:szCs w:val="21"/>
          <w:lang w:val="en-US"/>
        </w:rPr>
        <w:t>7.2.2</w:t>
      </w:r>
      <w:r>
        <w:rPr>
          <w:rFonts w:hint="eastAsia"/>
          <w:sz w:val="21"/>
          <w:szCs w:val="21"/>
        </w:rPr>
        <w:t>承包人修建的临时道路和交通设施，应免费提供发包人、监理人，以及与本合</w:t>
      </w:r>
      <w:r>
        <w:rPr>
          <w:sz w:val="21"/>
          <w:szCs w:val="21"/>
        </w:rPr>
        <w:t xml:space="preserve"> </w:t>
      </w:r>
      <w:r>
        <w:rPr>
          <w:rFonts w:hint="eastAsia"/>
          <w:sz w:val="21"/>
          <w:szCs w:val="21"/>
        </w:rPr>
        <w:t>同有关的其他承包人使用。</w:t>
      </w:r>
    </w:p>
    <w:p w14:paraId="1DCB22FE">
      <w:pPr>
        <w:pStyle w:val="318"/>
        <w:spacing w:line="360" w:lineRule="auto"/>
        <w:rPr>
          <w:rFonts w:ascii="宋体" w:cs="宋体"/>
          <w:sz w:val="21"/>
          <w:szCs w:val="21"/>
        </w:rPr>
      </w:pPr>
      <w:bookmarkStart w:id="670" w:name="_Toc1077"/>
      <w:bookmarkStart w:id="671" w:name="_Toc256000059"/>
      <w:bookmarkStart w:id="672" w:name="_Toc3966"/>
      <w:bookmarkStart w:id="673" w:name="bookmark1090"/>
      <w:bookmarkStart w:id="674" w:name="bookmark1089"/>
      <w:bookmarkStart w:id="675" w:name="_Toc9625"/>
      <w:bookmarkStart w:id="676" w:name="_Toc11657"/>
      <w:bookmarkStart w:id="677" w:name="bookmark1088"/>
      <w:bookmarkStart w:id="678" w:name="_Toc256000309"/>
      <w:r>
        <w:rPr>
          <w:rFonts w:ascii="宋体" w:hAnsi="宋体" w:cs="宋体"/>
          <w:sz w:val="21"/>
          <w:szCs w:val="21"/>
        </w:rPr>
        <w:t>7.3</w:t>
      </w:r>
      <w:r>
        <w:rPr>
          <w:rFonts w:hint="eastAsia" w:ascii="宋体" w:hAnsi="宋体" w:cs="宋体"/>
          <w:sz w:val="21"/>
          <w:szCs w:val="21"/>
        </w:rPr>
        <w:t>场外交通</w:t>
      </w:r>
      <w:bookmarkEnd w:id="670"/>
      <w:bookmarkEnd w:id="671"/>
      <w:bookmarkEnd w:id="672"/>
      <w:bookmarkEnd w:id="673"/>
      <w:bookmarkEnd w:id="674"/>
      <w:bookmarkEnd w:id="675"/>
      <w:bookmarkEnd w:id="676"/>
      <w:bookmarkEnd w:id="677"/>
      <w:bookmarkEnd w:id="678"/>
    </w:p>
    <w:p w14:paraId="1E54275B">
      <w:pPr>
        <w:pStyle w:val="319"/>
        <w:ind w:firstLine="420"/>
        <w:rPr>
          <w:rFonts w:cs="Times New Roman"/>
          <w:sz w:val="21"/>
          <w:szCs w:val="21"/>
        </w:rPr>
      </w:pPr>
      <w:r>
        <w:rPr>
          <w:sz w:val="21"/>
          <w:szCs w:val="21"/>
          <w:lang w:val="en-US"/>
        </w:rPr>
        <w:t>7.3.1</w:t>
      </w:r>
      <w:r>
        <w:rPr>
          <w:rFonts w:hint="eastAsia"/>
          <w:sz w:val="21"/>
          <w:szCs w:val="21"/>
        </w:rPr>
        <w:t>承包人车辆外出行驶所需的场外公共道路的通行费、养路费和税款等由承包人承担。</w:t>
      </w:r>
    </w:p>
    <w:p w14:paraId="0F2AC444">
      <w:pPr>
        <w:pStyle w:val="319"/>
        <w:ind w:firstLine="420"/>
        <w:rPr>
          <w:rFonts w:cs="Times New Roman"/>
          <w:sz w:val="21"/>
          <w:szCs w:val="21"/>
        </w:rPr>
      </w:pPr>
      <w:r>
        <w:rPr>
          <w:sz w:val="21"/>
          <w:szCs w:val="21"/>
          <w:lang w:val="en-US"/>
        </w:rPr>
        <w:t>7.3.2</w:t>
      </w:r>
      <w:r>
        <w:rPr>
          <w:rFonts w:hint="eastAsia"/>
          <w:sz w:val="21"/>
          <w:szCs w:val="21"/>
        </w:rPr>
        <w:t>承包人应遵守有关交通法规，严格按照道路和桥梁的限制荷重安全行驶，并服从交通管理部门的检查和监督</w:t>
      </w:r>
      <w:r>
        <w:rPr>
          <w:rFonts w:hint="eastAsia"/>
          <w:sz w:val="21"/>
          <w:szCs w:val="21"/>
          <w:lang w:val="en-US"/>
        </w:rPr>
        <w:t>。</w:t>
      </w:r>
    </w:p>
    <w:p w14:paraId="3CF96AF5">
      <w:pPr>
        <w:pStyle w:val="318"/>
        <w:spacing w:line="360" w:lineRule="auto"/>
        <w:rPr>
          <w:rFonts w:ascii="宋体" w:cs="宋体"/>
          <w:sz w:val="21"/>
          <w:szCs w:val="21"/>
        </w:rPr>
      </w:pPr>
      <w:bookmarkStart w:id="679" w:name="bookmark1091"/>
      <w:bookmarkStart w:id="680" w:name="_Toc9719"/>
      <w:bookmarkStart w:id="681" w:name="_Toc256000310"/>
      <w:bookmarkStart w:id="682" w:name="_Toc25595"/>
      <w:bookmarkStart w:id="683" w:name="bookmark1093"/>
      <w:bookmarkStart w:id="684" w:name="_Toc19647"/>
      <w:bookmarkStart w:id="685" w:name="_Toc10137"/>
      <w:bookmarkStart w:id="686" w:name="_Toc256000060"/>
      <w:bookmarkStart w:id="687" w:name="bookmark1092"/>
      <w:r>
        <w:rPr>
          <w:rFonts w:ascii="宋体" w:hAnsi="宋体" w:cs="宋体"/>
          <w:sz w:val="21"/>
          <w:szCs w:val="21"/>
        </w:rPr>
        <w:t>7.4</w:t>
      </w:r>
      <w:r>
        <w:rPr>
          <w:rFonts w:hint="eastAsia" w:ascii="宋体" w:hAnsi="宋体" w:cs="宋体"/>
          <w:sz w:val="21"/>
          <w:szCs w:val="21"/>
        </w:rPr>
        <w:t>超大件和超重件的运输</w:t>
      </w:r>
      <w:bookmarkEnd w:id="679"/>
      <w:bookmarkEnd w:id="680"/>
      <w:bookmarkEnd w:id="681"/>
      <w:bookmarkEnd w:id="682"/>
      <w:bookmarkEnd w:id="683"/>
      <w:bookmarkEnd w:id="684"/>
      <w:bookmarkEnd w:id="685"/>
      <w:bookmarkEnd w:id="686"/>
      <w:bookmarkEnd w:id="687"/>
    </w:p>
    <w:p w14:paraId="4D4046E8">
      <w:pPr>
        <w:pStyle w:val="319"/>
        <w:spacing w:after="120"/>
        <w:ind w:firstLine="440"/>
        <w:rPr>
          <w:rFonts w:cs="Times New Roman"/>
          <w:sz w:val="21"/>
          <w:szCs w:val="21"/>
        </w:rPr>
      </w:pPr>
      <w:r>
        <w:rPr>
          <w:rFonts w:hint="eastAsia"/>
          <w:sz w:val="21"/>
          <w:szCs w:val="21"/>
        </w:rPr>
        <w:t>由承包人负责运输的超大件或超重件，应由承包人负责向交通管理部门办理申请手续</w:t>
      </w:r>
      <w:r>
        <w:rPr>
          <w:sz w:val="21"/>
          <w:szCs w:val="21"/>
        </w:rPr>
        <w:t xml:space="preserve">, </w:t>
      </w:r>
      <w:r>
        <w:rPr>
          <w:rFonts w:hint="eastAsia"/>
          <w:sz w:val="21"/>
          <w:szCs w:val="21"/>
        </w:rPr>
        <w:t>发包人给予协助。运输超大件或超重件所需的道路和桥梁临时加固改造费用和其他有关费用，由承包人承担，但专用合同条款另有约定除外。</w:t>
      </w:r>
    </w:p>
    <w:p w14:paraId="74A91A5D">
      <w:pPr>
        <w:pStyle w:val="318"/>
        <w:spacing w:line="360" w:lineRule="auto"/>
        <w:rPr>
          <w:rFonts w:ascii="宋体" w:cs="宋体"/>
          <w:sz w:val="21"/>
          <w:szCs w:val="21"/>
        </w:rPr>
      </w:pPr>
      <w:bookmarkStart w:id="688" w:name="_Toc29189"/>
      <w:bookmarkStart w:id="689" w:name="_Toc31023"/>
      <w:bookmarkStart w:id="690" w:name="_Toc256000061"/>
      <w:bookmarkStart w:id="691" w:name="_Toc24348"/>
      <w:bookmarkStart w:id="692" w:name="bookmark1094"/>
      <w:bookmarkStart w:id="693" w:name="_Toc256000311"/>
      <w:bookmarkStart w:id="694" w:name="bookmark1095"/>
      <w:bookmarkStart w:id="695" w:name="_Toc19673"/>
      <w:bookmarkStart w:id="696" w:name="bookmark1096"/>
      <w:r>
        <w:rPr>
          <w:rFonts w:ascii="宋体" w:hAnsi="宋体" w:cs="宋体"/>
          <w:sz w:val="21"/>
          <w:szCs w:val="21"/>
        </w:rPr>
        <w:t>7.5</w:t>
      </w:r>
      <w:r>
        <w:rPr>
          <w:rFonts w:hint="eastAsia" w:ascii="宋体" w:hAnsi="宋体" w:cs="宋体"/>
          <w:sz w:val="21"/>
          <w:szCs w:val="21"/>
        </w:rPr>
        <w:t>道路和桥梁的损坏责任</w:t>
      </w:r>
      <w:bookmarkEnd w:id="688"/>
      <w:bookmarkEnd w:id="689"/>
      <w:bookmarkEnd w:id="690"/>
      <w:bookmarkEnd w:id="691"/>
      <w:bookmarkEnd w:id="692"/>
      <w:bookmarkEnd w:id="693"/>
      <w:bookmarkEnd w:id="694"/>
      <w:bookmarkEnd w:id="695"/>
      <w:bookmarkEnd w:id="696"/>
    </w:p>
    <w:p w14:paraId="3AA1C79C">
      <w:pPr>
        <w:pStyle w:val="319"/>
        <w:spacing w:after="120"/>
        <w:ind w:firstLine="440"/>
        <w:rPr>
          <w:rFonts w:cs="Times New Roman"/>
          <w:sz w:val="21"/>
          <w:szCs w:val="21"/>
        </w:rPr>
      </w:pPr>
      <w:r>
        <w:rPr>
          <w:rFonts w:hint="eastAsia"/>
          <w:sz w:val="21"/>
          <w:szCs w:val="21"/>
        </w:rPr>
        <w:t>因承包人运输造成施工场地内外公共道路和桥梁损坏的，由承包人承担修复损坏的全部费用和可能引起的赔偿。</w:t>
      </w:r>
    </w:p>
    <w:p w14:paraId="05167281">
      <w:pPr>
        <w:pStyle w:val="318"/>
        <w:spacing w:line="360" w:lineRule="auto"/>
        <w:rPr>
          <w:rFonts w:ascii="宋体" w:cs="宋体"/>
          <w:sz w:val="21"/>
          <w:szCs w:val="21"/>
        </w:rPr>
      </w:pPr>
      <w:bookmarkStart w:id="697" w:name="bookmark1098"/>
      <w:bookmarkStart w:id="698" w:name="_Toc256000062"/>
      <w:bookmarkStart w:id="699" w:name="_Toc256000312"/>
      <w:bookmarkStart w:id="700" w:name="_Toc10431"/>
      <w:bookmarkStart w:id="701" w:name="_Toc30116"/>
      <w:bookmarkStart w:id="702" w:name="bookmark1099"/>
      <w:bookmarkStart w:id="703" w:name="_Toc32607"/>
      <w:bookmarkStart w:id="704" w:name="_Toc220"/>
      <w:bookmarkStart w:id="705" w:name="bookmark1097"/>
      <w:r>
        <w:rPr>
          <w:rFonts w:ascii="宋体" w:hAnsi="宋体" w:cs="宋体"/>
          <w:sz w:val="21"/>
          <w:szCs w:val="21"/>
        </w:rPr>
        <w:t>7.6</w:t>
      </w:r>
      <w:r>
        <w:rPr>
          <w:rFonts w:hint="eastAsia" w:ascii="宋体" w:hAnsi="宋体" w:cs="宋体"/>
          <w:sz w:val="21"/>
          <w:szCs w:val="21"/>
        </w:rPr>
        <w:t>水路和航空运输</w:t>
      </w:r>
      <w:bookmarkEnd w:id="697"/>
      <w:bookmarkEnd w:id="698"/>
      <w:bookmarkEnd w:id="699"/>
      <w:bookmarkEnd w:id="700"/>
      <w:bookmarkEnd w:id="701"/>
      <w:bookmarkEnd w:id="702"/>
      <w:bookmarkEnd w:id="703"/>
      <w:bookmarkEnd w:id="704"/>
      <w:bookmarkEnd w:id="705"/>
    </w:p>
    <w:p w14:paraId="441B9E0A">
      <w:pPr>
        <w:pStyle w:val="319"/>
        <w:spacing w:after="260"/>
        <w:ind w:firstLine="440"/>
        <w:rPr>
          <w:rFonts w:cs="Times New Roman"/>
          <w:sz w:val="21"/>
          <w:szCs w:val="21"/>
        </w:rPr>
      </w:pPr>
      <w:r>
        <w:rPr>
          <w:rFonts w:hint="eastAsia"/>
          <w:sz w:val="21"/>
          <w:szCs w:val="21"/>
        </w:rPr>
        <w:t>本条上述各款的内容适用于水路运输和航空运输，其中“道路”</w:t>
      </w:r>
      <w:r>
        <w:rPr>
          <w:sz w:val="21"/>
          <w:szCs w:val="21"/>
        </w:rPr>
        <w:t xml:space="preserve"> </w:t>
      </w:r>
      <w:r>
        <w:rPr>
          <w:rFonts w:hint="eastAsia"/>
          <w:sz w:val="21"/>
          <w:szCs w:val="21"/>
        </w:rPr>
        <w:t>一词的涵义包括河道、</w:t>
      </w:r>
      <w:r>
        <w:rPr>
          <w:sz w:val="21"/>
          <w:szCs w:val="21"/>
        </w:rPr>
        <w:t xml:space="preserve"> </w:t>
      </w:r>
      <w:r>
        <w:rPr>
          <w:rFonts w:hint="eastAsia"/>
          <w:sz w:val="21"/>
          <w:szCs w:val="21"/>
        </w:rPr>
        <w:t>航线、船闸、机场、码头、堤防以及水路或航空运输中其他相似结构物；“车辆”</w:t>
      </w:r>
      <w:r>
        <w:rPr>
          <w:sz w:val="21"/>
          <w:szCs w:val="21"/>
        </w:rPr>
        <w:t xml:space="preserve"> </w:t>
      </w:r>
      <w:r>
        <w:rPr>
          <w:rFonts w:hint="eastAsia"/>
          <w:sz w:val="21"/>
          <w:szCs w:val="21"/>
        </w:rPr>
        <w:t>一词的涵义包括船舶和飞机等。</w:t>
      </w:r>
    </w:p>
    <w:p w14:paraId="4ECFDEED">
      <w:pPr>
        <w:pStyle w:val="318"/>
        <w:spacing w:line="360" w:lineRule="auto"/>
        <w:rPr>
          <w:rFonts w:ascii="宋体" w:cs="宋体"/>
          <w:sz w:val="21"/>
          <w:szCs w:val="21"/>
        </w:rPr>
      </w:pPr>
      <w:bookmarkStart w:id="706" w:name="bookmark1102"/>
      <w:bookmarkEnd w:id="706"/>
      <w:bookmarkStart w:id="707" w:name="bookmark1103"/>
      <w:bookmarkStart w:id="708" w:name="_Toc22270"/>
      <w:bookmarkStart w:id="709" w:name="_Toc256000313"/>
      <w:bookmarkStart w:id="710" w:name="_Toc256000063"/>
      <w:bookmarkStart w:id="711" w:name="_Toc6036"/>
      <w:bookmarkStart w:id="712" w:name="_Toc14055"/>
      <w:bookmarkStart w:id="713" w:name="_Toc7491"/>
      <w:bookmarkStart w:id="714" w:name="bookmark1101"/>
      <w:bookmarkStart w:id="715" w:name="bookmark1100"/>
      <w:r>
        <w:rPr>
          <w:rFonts w:ascii="宋体" w:hAnsi="宋体" w:cs="宋体"/>
          <w:sz w:val="21"/>
          <w:szCs w:val="21"/>
        </w:rPr>
        <w:t>8.</w:t>
      </w:r>
      <w:r>
        <w:rPr>
          <w:rFonts w:hint="eastAsia" w:ascii="宋体" w:hAnsi="宋体" w:cs="宋体"/>
          <w:sz w:val="21"/>
          <w:szCs w:val="21"/>
        </w:rPr>
        <w:t>测量放线</w:t>
      </w:r>
      <w:bookmarkEnd w:id="707"/>
      <w:bookmarkEnd w:id="708"/>
      <w:bookmarkEnd w:id="709"/>
      <w:bookmarkEnd w:id="710"/>
      <w:bookmarkEnd w:id="711"/>
      <w:bookmarkEnd w:id="712"/>
      <w:bookmarkEnd w:id="713"/>
      <w:bookmarkEnd w:id="714"/>
      <w:bookmarkEnd w:id="715"/>
    </w:p>
    <w:p w14:paraId="6D17D917">
      <w:pPr>
        <w:pStyle w:val="318"/>
        <w:spacing w:line="360" w:lineRule="auto"/>
        <w:rPr>
          <w:rFonts w:ascii="宋体" w:cs="宋体"/>
          <w:sz w:val="21"/>
          <w:szCs w:val="21"/>
        </w:rPr>
      </w:pPr>
      <w:bookmarkStart w:id="716" w:name="_Toc7125"/>
      <w:bookmarkStart w:id="717" w:name="_Toc15877"/>
      <w:bookmarkStart w:id="718" w:name="_Toc16690"/>
      <w:bookmarkStart w:id="719" w:name="bookmark1104"/>
      <w:bookmarkStart w:id="720" w:name="_Toc256000064"/>
      <w:bookmarkStart w:id="721" w:name="_Toc256000314"/>
      <w:bookmarkStart w:id="722" w:name="_Toc31127"/>
      <w:bookmarkStart w:id="723" w:name="bookmark1105"/>
      <w:bookmarkStart w:id="724" w:name="bookmark1106"/>
      <w:r>
        <w:rPr>
          <w:rFonts w:ascii="宋体" w:hAnsi="宋体" w:cs="宋体"/>
          <w:sz w:val="21"/>
          <w:szCs w:val="21"/>
        </w:rPr>
        <w:t>8.1</w:t>
      </w:r>
      <w:r>
        <w:rPr>
          <w:rFonts w:hint="eastAsia" w:ascii="宋体" w:hAnsi="宋体" w:cs="宋体"/>
          <w:sz w:val="21"/>
          <w:szCs w:val="21"/>
        </w:rPr>
        <w:t>施工控制网</w:t>
      </w:r>
      <w:bookmarkEnd w:id="716"/>
      <w:bookmarkEnd w:id="717"/>
      <w:bookmarkEnd w:id="718"/>
      <w:bookmarkEnd w:id="719"/>
      <w:bookmarkEnd w:id="720"/>
      <w:bookmarkEnd w:id="721"/>
      <w:bookmarkEnd w:id="722"/>
      <w:bookmarkEnd w:id="723"/>
      <w:bookmarkEnd w:id="724"/>
    </w:p>
    <w:p w14:paraId="339A796F">
      <w:pPr>
        <w:pStyle w:val="319"/>
        <w:ind w:firstLine="440"/>
        <w:rPr>
          <w:rFonts w:cs="Times New Roman"/>
          <w:sz w:val="21"/>
          <w:szCs w:val="21"/>
        </w:rPr>
      </w:pPr>
      <w:r>
        <w:rPr>
          <w:sz w:val="21"/>
          <w:szCs w:val="21"/>
          <w:lang w:val="en-US"/>
        </w:rPr>
        <w:t>8.1.1</w:t>
      </w:r>
      <w:r>
        <w:rPr>
          <w:rFonts w:hint="eastAsia"/>
          <w:sz w:val="21"/>
          <w:szCs w:val="21"/>
        </w:rPr>
        <w:t>除专用条款另有约定外，施工控制网由承包人负责测设，发包人应在本合同协议书签订后的</w:t>
      </w:r>
      <w:r>
        <w:rPr>
          <w:sz w:val="21"/>
          <w:szCs w:val="21"/>
        </w:rPr>
        <w:t>14</w:t>
      </w:r>
      <w:r>
        <w:rPr>
          <w:rFonts w:hint="eastAsia"/>
          <w:sz w:val="21"/>
          <w:szCs w:val="21"/>
        </w:rPr>
        <w:t>天内，向承包人提供测量基准点、基准线和水准点及其相关资料。承包人应在收到上述资料后的</w:t>
      </w:r>
      <w:r>
        <w:rPr>
          <w:sz w:val="21"/>
          <w:szCs w:val="21"/>
        </w:rPr>
        <w:t>28</w:t>
      </w:r>
      <w:r>
        <w:rPr>
          <w:rFonts w:hint="eastAsia"/>
          <w:sz w:val="21"/>
          <w:szCs w:val="21"/>
        </w:rPr>
        <w:t>天内，将施测的施工控制网资料提交监理人审批。监理人应在收到报批件后的</w:t>
      </w:r>
      <w:r>
        <w:rPr>
          <w:sz w:val="21"/>
          <w:szCs w:val="21"/>
        </w:rPr>
        <w:t>14</w:t>
      </w:r>
      <w:r>
        <w:rPr>
          <w:rFonts w:hint="eastAsia"/>
          <w:sz w:val="21"/>
          <w:szCs w:val="21"/>
        </w:rPr>
        <w:t>天内批复承包人。</w:t>
      </w:r>
    </w:p>
    <w:p w14:paraId="666DA06C">
      <w:pPr>
        <w:pStyle w:val="319"/>
        <w:spacing w:after="120"/>
        <w:ind w:firstLine="440"/>
        <w:rPr>
          <w:rFonts w:cs="Times New Roman"/>
          <w:sz w:val="21"/>
          <w:szCs w:val="21"/>
        </w:rPr>
      </w:pPr>
      <w:r>
        <w:rPr>
          <w:sz w:val="21"/>
          <w:szCs w:val="21"/>
          <w:lang w:val="en-US"/>
        </w:rPr>
        <w:t>8.1.2</w:t>
      </w:r>
      <w:r>
        <w:rPr>
          <w:rFonts w:hint="eastAsia"/>
          <w:sz w:val="21"/>
          <w:szCs w:val="21"/>
        </w:rPr>
        <w:t>承包人应负责管理施工控制网点。施工控制网点丢失或损坏的，承包人应及时修复。承包人应承担施工控制网点的管理与修复费用，并在工程竣工后将施工控制网点移交发包人。</w:t>
      </w:r>
    </w:p>
    <w:p w14:paraId="1B0571AE">
      <w:pPr>
        <w:pStyle w:val="318"/>
        <w:spacing w:line="360" w:lineRule="auto"/>
        <w:rPr>
          <w:rFonts w:ascii="宋体" w:cs="宋体"/>
          <w:sz w:val="21"/>
          <w:szCs w:val="21"/>
        </w:rPr>
      </w:pPr>
      <w:bookmarkStart w:id="725" w:name="bookmark1107"/>
      <w:bookmarkStart w:id="726" w:name="_Toc8732"/>
      <w:bookmarkStart w:id="727" w:name="_Toc28033"/>
      <w:bookmarkStart w:id="728" w:name="_Toc256000065"/>
      <w:bookmarkStart w:id="729" w:name="_Toc256000315"/>
      <w:bookmarkStart w:id="730" w:name="bookmark1108"/>
      <w:bookmarkStart w:id="731" w:name="_Toc12114"/>
      <w:bookmarkStart w:id="732" w:name="_Toc23557"/>
      <w:bookmarkStart w:id="733" w:name="bookmark1109"/>
      <w:r>
        <w:rPr>
          <w:rFonts w:ascii="宋体" w:hAnsi="宋体" w:cs="宋体"/>
          <w:sz w:val="21"/>
          <w:szCs w:val="21"/>
        </w:rPr>
        <w:t>8.2</w:t>
      </w:r>
      <w:r>
        <w:rPr>
          <w:rFonts w:hint="eastAsia" w:ascii="宋体" w:hAnsi="宋体" w:cs="宋体"/>
          <w:sz w:val="21"/>
          <w:szCs w:val="21"/>
        </w:rPr>
        <w:t>施工测量</w:t>
      </w:r>
      <w:bookmarkEnd w:id="725"/>
      <w:bookmarkEnd w:id="726"/>
      <w:bookmarkEnd w:id="727"/>
      <w:bookmarkEnd w:id="728"/>
      <w:bookmarkEnd w:id="729"/>
      <w:bookmarkEnd w:id="730"/>
      <w:bookmarkEnd w:id="731"/>
      <w:bookmarkEnd w:id="732"/>
      <w:bookmarkEnd w:id="733"/>
    </w:p>
    <w:p w14:paraId="508D22C3">
      <w:pPr>
        <w:pStyle w:val="319"/>
        <w:ind w:firstLine="440"/>
        <w:rPr>
          <w:rFonts w:cs="Times New Roman"/>
          <w:sz w:val="21"/>
          <w:szCs w:val="21"/>
        </w:rPr>
      </w:pPr>
      <w:r>
        <w:rPr>
          <w:sz w:val="21"/>
          <w:szCs w:val="21"/>
          <w:lang w:val="en-US"/>
        </w:rPr>
        <w:t>8.2.1</w:t>
      </w:r>
      <w:r>
        <w:rPr>
          <w:rFonts w:hint="eastAsia"/>
          <w:sz w:val="21"/>
          <w:szCs w:val="21"/>
        </w:rPr>
        <w:t>承包人应负责施工过程中的全部施工测量放线工作，并配置合格的人员、仪</w:t>
      </w:r>
      <w:r>
        <w:rPr>
          <w:sz w:val="21"/>
          <w:szCs w:val="21"/>
        </w:rPr>
        <w:t xml:space="preserve"> </w:t>
      </w:r>
      <w:r>
        <w:rPr>
          <w:rFonts w:hint="eastAsia"/>
          <w:sz w:val="21"/>
          <w:szCs w:val="21"/>
        </w:rPr>
        <w:t>器、设备和其他物品。</w:t>
      </w:r>
    </w:p>
    <w:p w14:paraId="0171C04D">
      <w:pPr>
        <w:pStyle w:val="319"/>
        <w:spacing w:after="120"/>
        <w:ind w:firstLine="440"/>
        <w:rPr>
          <w:rFonts w:cs="Times New Roman"/>
          <w:sz w:val="21"/>
          <w:szCs w:val="21"/>
        </w:rPr>
      </w:pPr>
      <w:r>
        <w:rPr>
          <w:sz w:val="21"/>
          <w:szCs w:val="21"/>
          <w:lang w:val="en-US"/>
        </w:rPr>
        <w:t>8.2.2</w:t>
      </w:r>
      <w:r>
        <w:rPr>
          <w:rFonts w:hint="eastAsia"/>
          <w:sz w:val="21"/>
          <w:szCs w:val="21"/>
        </w:rPr>
        <w:t>监理人可以指示承包人进行抽样复测，当复测中发现错误或出现超过合同约定的误差时，承包人应按监理人指示进行修正或补测，并承担相应的复测费用。</w:t>
      </w:r>
    </w:p>
    <w:p w14:paraId="13A78798">
      <w:pPr>
        <w:pStyle w:val="318"/>
        <w:spacing w:line="360" w:lineRule="auto"/>
        <w:rPr>
          <w:rFonts w:ascii="宋体" w:cs="宋体"/>
          <w:sz w:val="21"/>
          <w:szCs w:val="21"/>
        </w:rPr>
      </w:pPr>
      <w:bookmarkStart w:id="734" w:name="_Toc256000316"/>
      <w:bookmarkStart w:id="735" w:name="bookmark1111"/>
      <w:bookmarkStart w:id="736" w:name="_Toc18249"/>
      <w:bookmarkStart w:id="737" w:name="_Toc13632"/>
      <w:bookmarkStart w:id="738" w:name="bookmark1110"/>
      <w:bookmarkStart w:id="739" w:name="bookmark1112"/>
      <w:bookmarkStart w:id="740" w:name="_Toc256000066"/>
      <w:bookmarkStart w:id="741" w:name="_Toc2222"/>
      <w:bookmarkStart w:id="742" w:name="_Toc27258"/>
      <w:r>
        <w:rPr>
          <w:rFonts w:ascii="宋体" w:hAnsi="宋体" w:cs="宋体"/>
          <w:sz w:val="21"/>
          <w:szCs w:val="21"/>
        </w:rPr>
        <w:t>8.3</w:t>
      </w:r>
      <w:r>
        <w:rPr>
          <w:rFonts w:hint="eastAsia" w:ascii="宋体" w:hAnsi="宋体" w:cs="宋体"/>
          <w:sz w:val="21"/>
          <w:szCs w:val="21"/>
        </w:rPr>
        <w:t>基准资料错误的责任</w:t>
      </w:r>
      <w:bookmarkEnd w:id="734"/>
      <w:bookmarkEnd w:id="735"/>
      <w:bookmarkEnd w:id="736"/>
      <w:bookmarkEnd w:id="737"/>
      <w:bookmarkEnd w:id="738"/>
      <w:bookmarkEnd w:id="739"/>
      <w:bookmarkEnd w:id="740"/>
      <w:bookmarkEnd w:id="741"/>
      <w:bookmarkEnd w:id="742"/>
    </w:p>
    <w:p w14:paraId="439574D3">
      <w:pPr>
        <w:pStyle w:val="319"/>
        <w:spacing w:after="120"/>
        <w:ind w:firstLine="440"/>
        <w:rPr>
          <w:rFonts w:cs="Times New Roman"/>
          <w:sz w:val="21"/>
          <w:szCs w:val="21"/>
        </w:rPr>
      </w:pPr>
      <w:r>
        <w:rPr>
          <w:rFonts w:hint="eastAsia"/>
          <w:sz w:val="21"/>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0E8B951F">
      <w:pPr>
        <w:pStyle w:val="318"/>
        <w:spacing w:line="360" w:lineRule="auto"/>
        <w:rPr>
          <w:rFonts w:ascii="宋体" w:cs="宋体"/>
          <w:sz w:val="21"/>
          <w:szCs w:val="21"/>
        </w:rPr>
      </w:pPr>
      <w:bookmarkStart w:id="743" w:name="_Toc24310"/>
      <w:bookmarkStart w:id="744" w:name="_Toc256000317"/>
      <w:bookmarkStart w:id="745" w:name="_Toc256000067"/>
      <w:bookmarkStart w:id="746" w:name="_Toc8329"/>
      <w:bookmarkStart w:id="747" w:name="bookmark1115"/>
      <w:bookmarkStart w:id="748" w:name="bookmark1113"/>
      <w:bookmarkStart w:id="749" w:name="bookmark1114"/>
      <w:bookmarkStart w:id="750" w:name="_Toc16101"/>
      <w:bookmarkStart w:id="751" w:name="_Toc26810"/>
      <w:r>
        <w:rPr>
          <w:rFonts w:ascii="宋体" w:hAnsi="宋体" w:cs="宋体"/>
          <w:sz w:val="21"/>
          <w:szCs w:val="21"/>
        </w:rPr>
        <w:t>8.4</w:t>
      </w:r>
      <w:r>
        <w:rPr>
          <w:rFonts w:hint="eastAsia" w:ascii="宋体" w:hAnsi="宋体" w:cs="宋体"/>
          <w:sz w:val="21"/>
          <w:szCs w:val="21"/>
        </w:rPr>
        <w:t>监理人使用施工控制网</w:t>
      </w:r>
      <w:bookmarkEnd w:id="743"/>
      <w:bookmarkEnd w:id="744"/>
      <w:bookmarkEnd w:id="745"/>
      <w:bookmarkEnd w:id="746"/>
      <w:bookmarkEnd w:id="747"/>
      <w:bookmarkEnd w:id="748"/>
      <w:bookmarkEnd w:id="749"/>
      <w:bookmarkEnd w:id="750"/>
      <w:bookmarkEnd w:id="751"/>
    </w:p>
    <w:p w14:paraId="66BCB9C5">
      <w:pPr>
        <w:pStyle w:val="319"/>
        <w:spacing w:after="120"/>
        <w:ind w:firstLine="440"/>
        <w:rPr>
          <w:rFonts w:cs="Times New Roman"/>
          <w:sz w:val="21"/>
          <w:szCs w:val="21"/>
        </w:rPr>
      </w:pPr>
      <w:r>
        <w:rPr>
          <w:rFonts w:hint="eastAsia"/>
          <w:sz w:val="21"/>
          <w:szCs w:val="21"/>
        </w:rPr>
        <w:t>监理人需要使用施工控制网的，承包人应提供必要的协助，发包人不再为此支付费用。</w:t>
      </w:r>
    </w:p>
    <w:p w14:paraId="05CA0EC1">
      <w:pPr>
        <w:pStyle w:val="318"/>
        <w:spacing w:line="360" w:lineRule="auto"/>
        <w:rPr>
          <w:rFonts w:ascii="宋体" w:cs="宋体"/>
          <w:sz w:val="21"/>
          <w:szCs w:val="21"/>
        </w:rPr>
      </w:pPr>
      <w:bookmarkStart w:id="752" w:name="_Toc26237"/>
      <w:bookmarkStart w:id="753" w:name="bookmark1117"/>
      <w:bookmarkStart w:id="754" w:name="bookmark1118"/>
      <w:bookmarkStart w:id="755" w:name="_Toc3157"/>
      <w:bookmarkStart w:id="756" w:name="bookmark1116"/>
      <w:bookmarkStart w:id="757" w:name="_Toc4612"/>
      <w:bookmarkStart w:id="758" w:name="_Toc256000318"/>
      <w:bookmarkStart w:id="759" w:name="_Toc5335"/>
      <w:bookmarkStart w:id="760" w:name="_Toc256000068"/>
      <w:r>
        <w:rPr>
          <w:rFonts w:ascii="宋体" w:hAnsi="宋体" w:cs="宋体"/>
          <w:sz w:val="21"/>
          <w:szCs w:val="21"/>
        </w:rPr>
        <w:t>8.5</w:t>
      </w:r>
      <w:r>
        <w:rPr>
          <w:rFonts w:hint="eastAsia" w:ascii="宋体" w:hAnsi="宋体" w:cs="宋体"/>
          <w:sz w:val="21"/>
          <w:szCs w:val="21"/>
        </w:rPr>
        <w:t>补充地质勘探</w:t>
      </w:r>
      <w:bookmarkEnd w:id="752"/>
      <w:bookmarkEnd w:id="753"/>
      <w:bookmarkEnd w:id="754"/>
      <w:bookmarkEnd w:id="755"/>
      <w:bookmarkEnd w:id="756"/>
      <w:bookmarkEnd w:id="757"/>
      <w:bookmarkEnd w:id="758"/>
      <w:bookmarkEnd w:id="759"/>
      <w:bookmarkEnd w:id="760"/>
    </w:p>
    <w:p w14:paraId="3817E5D4">
      <w:pPr>
        <w:pStyle w:val="319"/>
        <w:spacing w:after="300"/>
        <w:ind w:firstLine="440"/>
        <w:rPr>
          <w:rFonts w:cs="Times New Roman"/>
          <w:sz w:val="21"/>
          <w:szCs w:val="21"/>
        </w:rPr>
      </w:pPr>
      <w:r>
        <w:rPr>
          <w:rFonts w:hint="eastAsia"/>
          <w:sz w:val="21"/>
          <w:szCs w:val="21"/>
        </w:rPr>
        <w:t>在合同实施期间，监理人可以指示承包人进行必要的补充地质勘探和提供有关资料</w:t>
      </w:r>
      <w:r>
        <w:rPr>
          <w:sz w:val="21"/>
          <w:szCs w:val="21"/>
        </w:rPr>
        <w:t xml:space="preserve">; </w:t>
      </w:r>
      <w:r>
        <w:rPr>
          <w:rFonts w:hint="eastAsia"/>
          <w:sz w:val="21"/>
          <w:szCs w:val="21"/>
        </w:rPr>
        <w:t>承包人为本合同永久工程施工的需要进行补充地质勘探时，须经监理人批准，并应向监理人提交有关资料，上述补充勘探的费用由发包人承担。承包人为其临时工程所需进行的补</w:t>
      </w:r>
      <w:r>
        <w:rPr>
          <w:sz w:val="21"/>
          <w:szCs w:val="21"/>
        </w:rPr>
        <w:t xml:space="preserve"> </w:t>
      </w:r>
      <w:r>
        <w:rPr>
          <w:rFonts w:hint="eastAsia"/>
          <w:sz w:val="21"/>
          <w:szCs w:val="21"/>
        </w:rPr>
        <w:t>充地质勘探，其费用由承包人承担。</w:t>
      </w:r>
    </w:p>
    <w:p w14:paraId="6B70274B">
      <w:pPr>
        <w:pStyle w:val="318"/>
        <w:spacing w:line="360" w:lineRule="auto"/>
        <w:rPr>
          <w:rFonts w:ascii="宋体" w:cs="宋体"/>
          <w:sz w:val="21"/>
          <w:szCs w:val="21"/>
        </w:rPr>
      </w:pPr>
      <w:bookmarkStart w:id="761" w:name="bookmark1121"/>
      <w:bookmarkEnd w:id="761"/>
      <w:bookmarkStart w:id="762" w:name="_Toc10958"/>
      <w:bookmarkStart w:id="763" w:name="bookmark1119"/>
      <w:bookmarkStart w:id="764" w:name="_Toc256000319"/>
      <w:bookmarkStart w:id="765" w:name="bookmark1122"/>
      <w:bookmarkStart w:id="766" w:name="_Toc6860"/>
      <w:bookmarkStart w:id="767" w:name="bookmark1120"/>
      <w:bookmarkStart w:id="768" w:name="_Toc18693"/>
      <w:bookmarkStart w:id="769" w:name="_Toc15267"/>
      <w:bookmarkStart w:id="770" w:name="_Toc256000069"/>
      <w:r>
        <w:rPr>
          <w:rFonts w:ascii="宋体" w:hAnsi="宋体" w:cs="宋体"/>
          <w:sz w:val="21"/>
          <w:szCs w:val="21"/>
        </w:rPr>
        <w:t>9.</w:t>
      </w:r>
      <w:r>
        <w:rPr>
          <w:rFonts w:hint="eastAsia" w:ascii="宋体" w:hAnsi="宋体" w:cs="宋体"/>
          <w:sz w:val="21"/>
          <w:szCs w:val="21"/>
        </w:rPr>
        <w:t>施工安全、治安保卫和环境保护</w:t>
      </w:r>
      <w:bookmarkEnd w:id="762"/>
      <w:bookmarkEnd w:id="763"/>
      <w:bookmarkEnd w:id="764"/>
      <w:bookmarkEnd w:id="765"/>
      <w:bookmarkEnd w:id="766"/>
      <w:bookmarkEnd w:id="767"/>
      <w:bookmarkEnd w:id="768"/>
      <w:bookmarkEnd w:id="769"/>
      <w:bookmarkEnd w:id="770"/>
    </w:p>
    <w:p w14:paraId="684CC550">
      <w:pPr>
        <w:pStyle w:val="318"/>
        <w:spacing w:line="360" w:lineRule="auto"/>
        <w:rPr>
          <w:rFonts w:ascii="宋体" w:cs="宋体"/>
          <w:sz w:val="21"/>
          <w:szCs w:val="21"/>
        </w:rPr>
      </w:pPr>
      <w:bookmarkStart w:id="771" w:name="_Toc24638"/>
      <w:bookmarkStart w:id="772" w:name="bookmark1123"/>
      <w:bookmarkStart w:id="773" w:name="_Toc4150"/>
      <w:bookmarkStart w:id="774" w:name="_Toc1087"/>
      <w:bookmarkStart w:id="775" w:name="_Toc256000320"/>
      <w:bookmarkStart w:id="776" w:name="bookmark1124"/>
      <w:bookmarkStart w:id="777" w:name="_Toc256000070"/>
      <w:bookmarkStart w:id="778" w:name="_Toc13008"/>
      <w:bookmarkStart w:id="779" w:name="bookmark1125"/>
      <w:r>
        <w:rPr>
          <w:rFonts w:ascii="宋体" w:hAnsi="宋体" w:cs="宋体"/>
          <w:sz w:val="21"/>
          <w:szCs w:val="21"/>
        </w:rPr>
        <w:t>9.1</w:t>
      </w:r>
      <w:r>
        <w:rPr>
          <w:rFonts w:hint="eastAsia" w:ascii="宋体" w:hAnsi="宋体" w:cs="宋体"/>
          <w:sz w:val="21"/>
          <w:szCs w:val="21"/>
        </w:rPr>
        <w:t>发包人的施工安全责任</w:t>
      </w:r>
      <w:bookmarkEnd w:id="771"/>
      <w:bookmarkEnd w:id="772"/>
      <w:bookmarkEnd w:id="773"/>
      <w:bookmarkEnd w:id="774"/>
      <w:bookmarkEnd w:id="775"/>
      <w:bookmarkEnd w:id="776"/>
      <w:bookmarkEnd w:id="777"/>
      <w:bookmarkEnd w:id="778"/>
      <w:bookmarkEnd w:id="779"/>
    </w:p>
    <w:p w14:paraId="010F8C58">
      <w:pPr>
        <w:pStyle w:val="319"/>
        <w:ind w:firstLine="420"/>
        <w:rPr>
          <w:rFonts w:cs="Times New Roman"/>
          <w:sz w:val="21"/>
          <w:szCs w:val="21"/>
        </w:rPr>
      </w:pPr>
      <w:r>
        <w:rPr>
          <w:sz w:val="21"/>
          <w:szCs w:val="21"/>
          <w:lang w:val="en-US"/>
        </w:rPr>
        <w:t>9.1.1</w:t>
      </w:r>
      <w:r>
        <w:rPr>
          <w:rFonts w:hint="eastAsia"/>
          <w:sz w:val="21"/>
          <w:szCs w:val="21"/>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4A8A0A92">
      <w:pPr>
        <w:pStyle w:val="319"/>
        <w:ind w:firstLine="420"/>
        <w:rPr>
          <w:rFonts w:cs="Times New Roman"/>
          <w:sz w:val="21"/>
          <w:szCs w:val="21"/>
        </w:rPr>
      </w:pPr>
      <w:r>
        <w:rPr>
          <w:sz w:val="21"/>
          <w:szCs w:val="21"/>
          <w:lang w:val="en-US"/>
        </w:rPr>
        <w:t>9.1.2</w:t>
      </w:r>
      <w:r>
        <w:rPr>
          <w:rFonts w:hint="eastAsia"/>
          <w:sz w:val="21"/>
          <w:szCs w:val="21"/>
        </w:rPr>
        <w:t>发包人应对其现场机构雇佣的全部人员的工伤事故承担责任，但由于承包人原因造成发包人人员工伤的，应由承包人承担责任。</w:t>
      </w:r>
    </w:p>
    <w:p w14:paraId="4F8A6495">
      <w:pPr>
        <w:pStyle w:val="319"/>
        <w:ind w:firstLine="420"/>
        <w:rPr>
          <w:rFonts w:cs="Times New Roman"/>
          <w:sz w:val="21"/>
          <w:szCs w:val="21"/>
        </w:rPr>
      </w:pPr>
      <w:r>
        <w:rPr>
          <w:sz w:val="21"/>
          <w:szCs w:val="21"/>
          <w:lang w:val="en-US"/>
        </w:rPr>
        <w:t xml:space="preserve">9. 1. </w:t>
      </w:r>
      <w:r>
        <w:rPr>
          <w:sz w:val="21"/>
          <w:szCs w:val="21"/>
        </w:rPr>
        <w:t>3</w:t>
      </w:r>
      <w:r>
        <w:rPr>
          <w:rFonts w:hint="eastAsia"/>
          <w:sz w:val="21"/>
          <w:szCs w:val="21"/>
        </w:rPr>
        <w:t>发包人应负责赔偿以下各种情况造成的第三者人身伤亡和财产损失：</w:t>
      </w:r>
    </w:p>
    <w:p w14:paraId="053ED2F6">
      <w:pPr>
        <w:pStyle w:val="319"/>
        <w:numPr>
          <w:ilvl w:val="0"/>
          <w:numId w:val="3"/>
        </w:numPr>
        <w:tabs>
          <w:tab w:val="left" w:pos="898"/>
        </w:tabs>
        <w:ind w:firstLine="420"/>
        <w:rPr>
          <w:rFonts w:cs="Times New Roman"/>
          <w:sz w:val="21"/>
          <w:szCs w:val="21"/>
        </w:rPr>
      </w:pPr>
      <w:bookmarkStart w:id="780" w:name="bookmark1126"/>
      <w:bookmarkEnd w:id="780"/>
      <w:r>
        <w:rPr>
          <w:rFonts w:hint="eastAsia"/>
          <w:sz w:val="21"/>
          <w:szCs w:val="21"/>
        </w:rPr>
        <w:t>工程或工程的任何部分对土地的占用所造成的第三者财产损失；</w:t>
      </w:r>
    </w:p>
    <w:p w14:paraId="1BB70174">
      <w:pPr>
        <w:pStyle w:val="319"/>
        <w:numPr>
          <w:ilvl w:val="0"/>
          <w:numId w:val="3"/>
        </w:numPr>
        <w:tabs>
          <w:tab w:val="left" w:pos="898"/>
        </w:tabs>
        <w:ind w:firstLine="420"/>
        <w:rPr>
          <w:rFonts w:cs="Times New Roman"/>
          <w:sz w:val="21"/>
          <w:szCs w:val="21"/>
        </w:rPr>
      </w:pPr>
      <w:bookmarkStart w:id="781" w:name="bookmark1127"/>
      <w:bookmarkEnd w:id="781"/>
      <w:r>
        <w:rPr>
          <w:rFonts w:hint="eastAsia"/>
          <w:sz w:val="21"/>
          <w:szCs w:val="21"/>
        </w:rPr>
        <w:t>由于发包人原因在施工场地及其毗邻地带造成的第三者人身伤亡和财产损失。</w:t>
      </w:r>
    </w:p>
    <w:p w14:paraId="54ACFA1C">
      <w:pPr>
        <w:pStyle w:val="319"/>
        <w:ind w:firstLine="420"/>
        <w:rPr>
          <w:rFonts w:cs="Times New Roman"/>
          <w:sz w:val="21"/>
          <w:szCs w:val="21"/>
        </w:rPr>
      </w:pPr>
      <w:r>
        <w:rPr>
          <w:sz w:val="21"/>
          <w:szCs w:val="21"/>
          <w:lang w:val="en-US"/>
        </w:rPr>
        <w:t>9.1.4</w:t>
      </w:r>
      <w:r>
        <w:rPr>
          <w:rFonts w:hint="eastAsia"/>
          <w:sz w:val="21"/>
          <w:szCs w:val="21"/>
        </w:rPr>
        <w:t>除专用合同条款另有约定外，发包人负责向承包人提供施工现场及施工可能影响的毗邻区域内供水、排水、供电、供气、供热、通信、广播电视等地下管线资料，气象</w:t>
      </w:r>
      <w:r>
        <w:rPr>
          <w:sz w:val="21"/>
          <w:szCs w:val="21"/>
        </w:rPr>
        <w:t xml:space="preserve"> </w:t>
      </w:r>
      <w:r>
        <w:rPr>
          <w:rFonts w:hint="eastAsia"/>
          <w:sz w:val="21"/>
          <w:szCs w:val="21"/>
        </w:rPr>
        <w:t>和水文观测资料，拟建工程可能影响的相邻建筑物地下工程的有关资料，并保证有关资料的真实、准确、完整，满足有关技术规程的要求。</w:t>
      </w:r>
    </w:p>
    <w:p w14:paraId="3DE553DE">
      <w:pPr>
        <w:pStyle w:val="319"/>
        <w:ind w:firstLine="420"/>
        <w:rPr>
          <w:rFonts w:cs="Times New Roman"/>
          <w:sz w:val="21"/>
          <w:szCs w:val="21"/>
        </w:rPr>
      </w:pPr>
      <w:r>
        <w:rPr>
          <w:sz w:val="21"/>
          <w:szCs w:val="21"/>
          <w:lang w:val="en-US"/>
        </w:rPr>
        <w:t>9.1.5</w:t>
      </w:r>
      <w:r>
        <w:rPr>
          <w:rFonts w:hint="eastAsia"/>
          <w:sz w:val="21"/>
          <w:szCs w:val="21"/>
        </w:rPr>
        <w:t>发包人按照已标价工程量清单所列金额和合同约定的计量支付规定，支付安全作业环境及安全施工措施所需费用。</w:t>
      </w:r>
    </w:p>
    <w:p w14:paraId="385BA412">
      <w:pPr>
        <w:pStyle w:val="319"/>
        <w:ind w:firstLine="420"/>
        <w:rPr>
          <w:rFonts w:cs="Times New Roman"/>
          <w:sz w:val="21"/>
          <w:szCs w:val="21"/>
        </w:rPr>
      </w:pPr>
      <w:r>
        <w:rPr>
          <w:sz w:val="21"/>
          <w:szCs w:val="21"/>
          <w:lang w:val="en-US"/>
        </w:rPr>
        <w:t>9.1.6</w:t>
      </w:r>
      <w:r>
        <w:rPr>
          <w:rFonts w:hint="eastAsia"/>
          <w:sz w:val="21"/>
          <w:szCs w:val="21"/>
        </w:rPr>
        <w:t>发包人负责组织工程参建单位编制保证安全生产的措施方案。工程开工前，就</w:t>
      </w:r>
      <w:r>
        <w:rPr>
          <w:sz w:val="21"/>
          <w:szCs w:val="21"/>
        </w:rPr>
        <w:t xml:space="preserve"> </w:t>
      </w:r>
      <w:r>
        <w:rPr>
          <w:rFonts w:hint="eastAsia"/>
          <w:sz w:val="21"/>
          <w:szCs w:val="21"/>
        </w:rPr>
        <w:t>落实安全生产的措施进行全面系统的布置，进一步明确承包人的安全生产责任。</w:t>
      </w:r>
    </w:p>
    <w:p w14:paraId="51ADE095">
      <w:pPr>
        <w:pStyle w:val="319"/>
        <w:spacing w:after="160"/>
        <w:ind w:firstLine="420"/>
        <w:rPr>
          <w:rFonts w:cs="Times New Roman"/>
          <w:sz w:val="21"/>
          <w:szCs w:val="21"/>
        </w:rPr>
      </w:pPr>
      <w:r>
        <w:rPr>
          <w:sz w:val="21"/>
          <w:szCs w:val="21"/>
          <w:lang w:val="en-US"/>
        </w:rPr>
        <w:t>9.1.7</w:t>
      </w:r>
      <w:r>
        <w:rPr>
          <w:rFonts w:hint="eastAsia"/>
          <w:sz w:val="21"/>
          <w:szCs w:val="21"/>
        </w:rPr>
        <w:t>发包人负责在拆除工程和爆破工程施工</w:t>
      </w:r>
      <w:r>
        <w:rPr>
          <w:sz w:val="21"/>
          <w:szCs w:val="21"/>
        </w:rPr>
        <w:t>14</w:t>
      </w:r>
      <w:r>
        <w:rPr>
          <w:rFonts w:hint="eastAsia"/>
          <w:sz w:val="21"/>
          <w:szCs w:val="21"/>
        </w:rPr>
        <w:t>天前向有关部门或机构报送相关备案资料。</w:t>
      </w:r>
    </w:p>
    <w:p w14:paraId="27C0A498">
      <w:pPr>
        <w:pStyle w:val="318"/>
        <w:spacing w:line="360" w:lineRule="auto"/>
        <w:rPr>
          <w:rFonts w:ascii="宋体" w:cs="宋体"/>
          <w:sz w:val="21"/>
          <w:szCs w:val="21"/>
        </w:rPr>
      </w:pPr>
      <w:bookmarkStart w:id="782" w:name="bookmark1129"/>
      <w:bookmarkStart w:id="783" w:name="_Toc24072"/>
      <w:bookmarkStart w:id="784" w:name="_Toc256000321"/>
      <w:bookmarkStart w:id="785" w:name="bookmark1130"/>
      <w:bookmarkStart w:id="786" w:name="_Toc920"/>
      <w:bookmarkStart w:id="787" w:name="_Toc19000"/>
      <w:bookmarkStart w:id="788" w:name="_Toc256000071"/>
      <w:bookmarkStart w:id="789" w:name="bookmark1128"/>
      <w:bookmarkStart w:id="790" w:name="_Toc32671"/>
      <w:r>
        <w:rPr>
          <w:rFonts w:ascii="宋体" w:hAnsi="宋体" w:cs="宋体"/>
          <w:sz w:val="21"/>
          <w:szCs w:val="21"/>
        </w:rPr>
        <w:t>9.2</w:t>
      </w:r>
      <w:r>
        <w:rPr>
          <w:rFonts w:hint="eastAsia" w:ascii="宋体" w:hAnsi="宋体" w:cs="宋体"/>
          <w:sz w:val="21"/>
          <w:szCs w:val="21"/>
        </w:rPr>
        <w:t>承包人的施工安全责任</w:t>
      </w:r>
      <w:bookmarkEnd w:id="782"/>
      <w:bookmarkEnd w:id="783"/>
      <w:bookmarkEnd w:id="784"/>
      <w:bookmarkEnd w:id="785"/>
      <w:bookmarkEnd w:id="786"/>
      <w:bookmarkEnd w:id="787"/>
      <w:bookmarkEnd w:id="788"/>
      <w:bookmarkEnd w:id="789"/>
      <w:bookmarkEnd w:id="790"/>
    </w:p>
    <w:p w14:paraId="2AF33DB8">
      <w:pPr>
        <w:pStyle w:val="319"/>
        <w:ind w:firstLine="420"/>
        <w:rPr>
          <w:rFonts w:cs="Times New Roman"/>
          <w:sz w:val="21"/>
          <w:szCs w:val="21"/>
        </w:rPr>
      </w:pPr>
      <w:r>
        <w:rPr>
          <w:sz w:val="21"/>
          <w:szCs w:val="21"/>
          <w:lang w:val="en-US"/>
        </w:rPr>
        <w:t>9.2.1</w:t>
      </w:r>
      <w:r>
        <w:rPr>
          <w:rFonts w:hint="eastAsia"/>
          <w:sz w:val="21"/>
          <w:szCs w:val="21"/>
        </w:rPr>
        <w:t>承包人应按合同约定履行安全职责，执行监理人有关安全工作的指示。承包人应按技术标准和要求</w:t>
      </w:r>
      <w:r>
        <w:rPr>
          <w:sz w:val="21"/>
          <w:szCs w:val="21"/>
        </w:rPr>
        <w:t>(</w:t>
      </w:r>
      <w:r>
        <w:rPr>
          <w:rFonts w:hint="eastAsia"/>
          <w:sz w:val="21"/>
          <w:szCs w:val="21"/>
        </w:rPr>
        <w:t>合同技术条款</w:t>
      </w:r>
      <w:r>
        <w:rPr>
          <w:sz w:val="21"/>
          <w:szCs w:val="21"/>
        </w:rPr>
        <w:t>)</w:t>
      </w:r>
      <w:r>
        <w:rPr>
          <w:rFonts w:hint="eastAsia"/>
          <w:sz w:val="21"/>
          <w:szCs w:val="21"/>
        </w:rPr>
        <w:t>约定的内容和期限，以及监理人的指示，编制施工安全技术措施提交监理人审批。监理人应技术标准和要求</w:t>
      </w:r>
      <w:r>
        <w:rPr>
          <w:sz w:val="21"/>
          <w:szCs w:val="21"/>
        </w:rPr>
        <w:t>(</w:t>
      </w:r>
      <w:r>
        <w:rPr>
          <w:rFonts w:hint="eastAsia"/>
          <w:sz w:val="21"/>
          <w:szCs w:val="21"/>
        </w:rPr>
        <w:t>合同技术条款</w:t>
      </w:r>
      <w:r>
        <w:rPr>
          <w:sz w:val="21"/>
          <w:szCs w:val="21"/>
        </w:rPr>
        <w:t>)</w:t>
      </w:r>
      <w:r>
        <w:rPr>
          <w:rFonts w:hint="eastAsia"/>
          <w:sz w:val="21"/>
          <w:szCs w:val="21"/>
        </w:rPr>
        <w:t>约定的期限内</w:t>
      </w:r>
      <w:r>
        <w:rPr>
          <w:sz w:val="21"/>
          <w:szCs w:val="21"/>
        </w:rPr>
        <w:t xml:space="preserve"> </w:t>
      </w:r>
      <w:r>
        <w:rPr>
          <w:rFonts w:hint="eastAsia"/>
          <w:sz w:val="21"/>
          <w:szCs w:val="21"/>
        </w:rPr>
        <w:t>批复承包人。</w:t>
      </w:r>
    </w:p>
    <w:p w14:paraId="0EAF1653">
      <w:pPr>
        <w:pStyle w:val="319"/>
        <w:ind w:firstLine="420"/>
        <w:rPr>
          <w:rFonts w:cs="Times New Roman"/>
          <w:sz w:val="21"/>
          <w:szCs w:val="21"/>
        </w:rPr>
      </w:pPr>
      <w:r>
        <w:rPr>
          <w:sz w:val="21"/>
          <w:szCs w:val="21"/>
          <w:lang w:val="en-US"/>
        </w:rPr>
        <w:t>9.2.2</w:t>
      </w:r>
      <w:r>
        <w:rPr>
          <w:rFonts w:hint="eastAsia"/>
          <w:sz w:val="21"/>
          <w:szCs w:val="21"/>
        </w:rPr>
        <w:t>承包人应加强施工作业安全管理，特别应加强易燃、易爆材料、火工器材、有毒与腐蚀性材料和其他危险品的管理，以及对爆破作业和地下工程施工等危险作业的管理。</w:t>
      </w:r>
    </w:p>
    <w:p w14:paraId="741903F7">
      <w:pPr>
        <w:pStyle w:val="319"/>
        <w:ind w:firstLine="420"/>
        <w:rPr>
          <w:rFonts w:cs="Times New Roman"/>
          <w:sz w:val="21"/>
          <w:szCs w:val="21"/>
        </w:rPr>
      </w:pPr>
      <w:r>
        <w:rPr>
          <w:sz w:val="21"/>
          <w:szCs w:val="21"/>
          <w:lang w:val="en-US"/>
        </w:rPr>
        <w:t>9.2.3</w:t>
      </w:r>
      <w:r>
        <w:rPr>
          <w:rFonts w:hint="eastAsia"/>
          <w:sz w:val="21"/>
          <w:szCs w:val="21"/>
        </w:rPr>
        <w:t>承包人应严格按照国家安全标准制定施工安全操作规程，配备必要的安全生产</w:t>
      </w:r>
      <w:r>
        <w:rPr>
          <w:sz w:val="21"/>
          <w:szCs w:val="21"/>
        </w:rPr>
        <w:t xml:space="preserve"> </w:t>
      </w:r>
      <w:r>
        <w:rPr>
          <w:rFonts w:hint="eastAsia"/>
          <w:sz w:val="21"/>
          <w:szCs w:val="21"/>
        </w:rPr>
        <w:t>和劳动保护设施，加强对承包人人员的安全教育，并发放安全工作手册和劳动保护用具。</w:t>
      </w:r>
    </w:p>
    <w:p w14:paraId="6E83E5DD">
      <w:pPr>
        <w:pStyle w:val="319"/>
        <w:ind w:firstLine="420"/>
        <w:rPr>
          <w:rFonts w:cs="Times New Roman"/>
          <w:sz w:val="21"/>
          <w:szCs w:val="21"/>
        </w:rPr>
      </w:pPr>
      <w:r>
        <w:rPr>
          <w:sz w:val="21"/>
          <w:szCs w:val="21"/>
          <w:lang w:val="en-US"/>
        </w:rPr>
        <w:t>9.2.4</w:t>
      </w:r>
      <w:r>
        <w:rPr>
          <w:rFonts w:hint="eastAsia"/>
          <w:sz w:val="21"/>
          <w:szCs w:val="21"/>
        </w:rPr>
        <w:t>承包人应按监理人的指示制定应对灾害的紧急预案，报送监理人审批。承包人还应按预案做好安全检查，配置必要的救助物资和器材，切实保护好有关人员的人身和财产安全。</w:t>
      </w:r>
    </w:p>
    <w:p w14:paraId="5BC9DA2B">
      <w:pPr>
        <w:pStyle w:val="319"/>
        <w:ind w:firstLine="420"/>
        <w:rPr>
          <w:rFonts w:cs="Times New Roman"/>
          <w:sz w:val="21"/>
          <w:szCs w:val="21"/>
        </w:rPr>
      </w:pPr>
      <w:r>
        <w:rPr>
          <w:sz w:val="21"/>
          <w:szCs w:val="21"/>
          <w:lang w:val="en-US"/>
        </w:rPr>
        <w:t>9.2.5</w:t>
      </w:r>
      <w:r>
        <w:rPr>
          <w:rFonts w:hint="eastAsia"/>
          <w:sz w:val="21"/>
          <w:szCs w:val="21"/>
        </w:rPr>
        <w:t>合同约定的安全作业环境及安全施工措施所需费用应遵守有关规定，并包括在相关工作的合同价格中。因采取合同未约定的安全作业环境及安全施工措施增加的费用，由监理人按第</w:t>
      </w:r>
      <w:r>
        <w:rPr>
          <w:sz w:val="21"/>
          <w:szCs w:val="21"/>
          <w:lang w:val="en-US"/>
        </w:rPr>
        <w:t xml:space="preserve">3. </w:t>
      </w:r>
      <w:r>
        <w:rPr>
          <w:sz w:val="21"/>
          <w:szCs w:val="21"/>
        </w:rPr>
        <w:t>5</w:t>
      </w:r>
      <w:r>
        <w:rPr>
          <w:rFonts w:hint="eastAsia"/>
          <w:sz w:val="21"/>
          <w:szCs w:val="21"/>
        </w:rPr>
        <w:t>款商定或确定。</w:t>
      </w:r>
    </w:p>
    <w:p w14:paraId="793F8866">
      <w:pPr>
        <w:pStyle w:val="319"/>
        <w:ind w:firstLine="420"/>
        <w:rPr>
          <w:rFonts w:cs="Times New Roman"/>
          <w:sz w:val="21"/>
          <w:szCs w:val="21"/>
        </w:rPr>
      </w:pPr>
      <w:r>
        <w:rPr>
          <w:sz w:val="21"/>
          <w:szCs w:val="21"/>
          <w:lang w:val="en-US"/>
        </w:rPr>
        <w:t>9.2.6</w:t>
      </w:r>
      <w:r>
        <w:rPr>
          <w:rFonts w:hint="eastAsia"/>
          <w:sz w:val="21"/>
          <w:szCs w:val="21"/>
        </w:rPr>
        <w:t>承包人应对其履行合同所雇佣的全部人员，包括分包人人员的工伤事故承担责任，但由于发包人原因造成承包人人员工伤事故的，应由发包人承担责任。</w:t>
      </w:r>
    </w:p>
    <w:p w14:paraId="2D9A2019">
      <w:pPr>
        <w:pStyle w:val="319"/>
        <w:ind w:firstLine="420"/>
        <w:rPr>
          <w:rFonts w:cs="Times New Roman"/>
          <w:sz w:val="21"/>
          <w:szCs w:val="21"/>
        </w:rPr>
      </w:pPr>
      <w:r>
        <w:rPr>
          <w:sz w:val="21"/>
          <w:szCs w:val="21"/>
          <w:lang w:val="en-US"/>
        </w:rPr>
        <w:t>9.2.</w:t>
      </w:r>
      <w:r>
        <w:rPr>
          <w:sz w:val="21"/>
          <w:szCs w:val="21"/>
        </w:rPr>
        <w:t>7</w:t>
      </w:r>
      <w:r>
        <w:rPr>
          <w:rFonts w:hint="eastAsia"/>
          <w:sz w:val="21"/>
          <w:szCs w:val="21"/>
        </w:rPr>
        <w:t>由于承包人原因在施工场地内及其毗邻地带造成的第三者人员伤亡和财产损失，由承包人负责赔偿。</w:t>
      </w:r>
    </w:p>
    <w:p w14:paraId="706C365A">
      <w:pPr>
        <w:pStyle w:val="319"/>
        <w:ind w:firstLine="420"/>
        <w:rPr>
          <w:rFonts w:cs="Times New Roman"/>
          <w:sz w:val="21"/>
          <w:szCs w:val="21"/>
        </w:rPr>
      </w:pPr>
      <w:r>
        <w:rPr>
          <w:sz w:val="21"/>
          <w:szCs w:val="21"/>
          <w:lang w:val="en-US"/>
        </w:rPr>
        <w:t>9.2.</w:t>
      </w:r>
      <w:r>
        <w:rPr>
          <w:sz w:val="21"/>
          <w:szCs w:val="21"/>
        </w:rPr>
        <w:t>8</w:t>
      </w:r>
      <w:r>
        <w:rPr>
          <w:rFonts w:hint="eastAsia"/>
          <w:sz w:val="21"/>
          <w:szCs w:val="21"/>
        </w:rPr>
        <w:t>承包人已标价工程量清单应包含工程安全作业环境及安全施工措施所需费用。</w:t>
      </w:r>
    </w:p>
    <w:p w14:paraId="771F1832">
      <w:pPr>
        <w:pStyle w:val="319"/>
        <w:ind w:firstLine="420"/>
        <w:rPr>
          <w:rFonts w:cs="Times New Roman"/>
          <w:sz w:val="21"/>
          <w:szCs w:val="21"/>
        </w:rPr>
      </w:pPr>
      <w:r>
        <w:rPr>
          <w:sz w:val="21"/>
          <w:szCs w:val="21"/>
          <w:lang w:val="en-US"/>
        </w:rPr>
        <w:t>9.2.9</w:t>
      </w:r>
      <w:r>
        <w:rPr>
          <w:rFonts w:hint="eastAsia"/>
          <w:sz w:val="21"/>
          <w:szCs w:val="21"/>
        </w:rPr>
        <w:t>承包人应建立健全安全生产责任制度和安全生产教育培训制度，制定安全生产</w:t>
      </w:r>
      <w:r>
        <w:rPr>
          <w:sz w:val="21"/>
          <w:szCs w:val="21"/>
        </w:rPr>
        <w:t xml:space="preserve"> </w:t>
      </w:r>
      <w:r>
        <w:rPr>
          <w:rFonts w:hint="eastAsia"/>
          <w:sz w:val="21"/>
          <w:szCs w:val="21"/>
        </w:rPr>
        <w:t>规章制度和操作规程，保证本单位建立和完善安全生产条件所需资金的投入，对本工程进行定期和专项安全检查，并做好安全检查记录。</w:t>
      </w:r>
    </w:p>
    <w:p w14:paraId="7582F6CD">
      <w:pPr>
        <w:pStyle w:val="319"/>
        <w:ind w:firstLine="420"/>
        <w:rPr>
          <w:rFonts w:cs="Times New Roman"/>
          <w:sz w:val="21"/>
          <w:szCs w:val="21"/>
        </w:rPr>
      </w:pPr>
      <w:r>
        <w:rPr>
          <w:sz w:val="21"/>
          <w:szCs w:val="21"/>
          <w:lang w:val="en-US"/>
        </w:rPr>
        <w:t xml:space="preserve">9.2. </w:t>
      </w:r>
      <w:r>
        <w:rPr>
          <w:sz w:val="21"/>
          <w:szCs w:val="21"/>
        </w:rPr>
        <w:t>10</w:t>
      </w:r>
      <w:r>
        <w:rPr>
          <w:rFonts w:hint="eastAsia"/>
          <w:sz w:val="21"/>
          <w:szCs w:val="21"/>
        </w:rPr>
        <w:t>承包人应设立安全生产管理机构，施工现场应有专职安全生产管理人员。</w:t>
      </w:r>
    </w:p>
    <w:p w14:paraId="7BA7F395">
      <w:pPr>
        <w:pStyle w:val="319"/>
        <w:ind w:firstLine="420"/>
        <w:rPr>
          <w:rFonts w:cs="Times New Roman"/>
          <w:sz w:val="21"/>
          <w:szCs w:val="21"/>
        </w:rPr>
      </w:pPr>
      <w:r>
        <w:rPr>
          <w:sz w:val="21"/>
          <w:szCs w:val="21"/>
          <w:lang w:val="en-US"/>
        </w:rPr>
        <w:t>9.2.11</w:t>
      </w:r>
      <w:r>
        <w:rPr>
          <w:rFonts w:hint="eastAsia"/>
          <w:sz w:val="21"/>
          <w:szCs w:val="21"/>
        </w:rPr>
        <w:t>承包人应负责对特种作业人员进行专门的安全作业培训，并保证特种作业人员持证上岗。</w:t>
      </w:r>
    </w:p>
    <w:p w14:paraId="163640E5">
      <w:pPr>
        <w:pStyle w:val="319"/>
        <w:ind w:firstLine="420"/>
        <w:rPr>
          <w:rFonts w:cs="Times New Roman"/>
          <w:sz w:val="21"/>
          <w:szCs w:val="21"/>
        </w:rPr>
      </w:pPr>
      <w:r>
        <w:rPr>
          <w:sz w:val="21"/>
          <w:szCs w:val="21"/>
          <w:lang w:val="en-US"/>
        </w:rPr>
        <w:t xml:space="preserve">9.2. </w:t>
      </w:r>
      <w:r>
        <w:rPr>
          <w:sz w:val="21"/>
          <w:szCs w:val="21"/>
        </w:rPr>
        <w:t>12</w:t>
      </w:r>
      <w:r>
        <w:rPr>
          <w:rFonts w:hint="eastAsia"/>
          <w:sz w:val="21"/>
          <w:szCs w:val="21"/>
        </w:rPr>
        <w:t>承包人应在施工组织设计中编制安全技术措施和施工现场临时用电方案。对专用合同条款约定的工程，应编制专项施工方案报监理人批准。对专用合同条款约定的专项施工方案，还应组织专家进行论证、审查，其中专家</w:t>
      </w:r>
      <w:r>
        <w:rPr>
          <w:sz w:val="21"/>
          <w:szCs w:val="21"/>
        </w:rPr>
        <w:t>1/2</w:t>
      </w:r>
      <w:r>
        <w:rPr>
          <w:rFonts w:hint="eastAsia"/>
          <w:sz w:val="21"/>
          <w:szCs w:val="21"/>
        </w:rPr>
        <w:t>人员应经发包人同意。</w:t>
      </w:r>
    </w:p>
    <w:p w14:paraId="25640143">
      <w:pPr>
        <w:pStyle w:val="319"/>
        <w:spacing w:after="140"/>
        <w:ind w:firstLine="420"/>
        <w:rPr>
          <w:rFonts w:cs="Times New Roman"/>
          <w:sz w:val="21"/>
          <w:szCs w:val="21"/>
        </w:rPr>
      </w:pPr>
      <w:r>
        <w:rPr>
          <w:sz w:val="21"/>
          <w:szCs w:val="21"/>
          <w:lang w:val="en-US"/>
        </w:rPr>
        <w:t xml:space="preserve">9.2. </w:t>
      </w:r>
      <w:r>
        <w:rPr>
          <w:sz w:val="21"/>
          <w:szCs w:val="21"/>
        </w:rPr>
        <w:t>13</w:t>
      </w:r>
      <w:r>
        <w:rPr>
          <w:rFonts w:hint="eastAsia"/>
          <w:sz w:val="21"/>
          <w:szCs w:val="21"/>
        </w:rPr>
        <w:t>承包人在使用施工起重机构和整体提升脚手架、模板等自升式架设设施前</w:t>
      </w:r>
      <w:r>
        <w:rPr>
          <w:sz w:val="21"/>
          <w:szCs w:val="21"/>
        </w:rPr>
        <w:t xml:space="preserve">, </w:t>
      </w:r>
      <w:r>
        <w:rPr>
          <w:rFonts w:hint="eastAsia"/>
          <w:sz w:val="21"/>
          <w:szCs w:val="21"/>
        </w:rPr>
        <w:t>应组织有关单位进行验收。</w:t>
      </w:r>
    </w:p>
    <w:p w14:paraId="0E9865FB">
      <w:pPr>
        <w:pStyle w:val="318"/>
        <w:spacing w:line="360" w:lineRule="auto"/>
        <w:rPr>
          <w:rFonts w:ascii="宋体" w:cs="宋体"/>
          <w:sz w:val="21"/>
          <w:szCs w:val="21"/>
        </w:rPr>
      </w:pPr>
      <w:bookmarkStart w:id="791" w:name="_Toc4170"/>
      <w:bookmarkStart w:id="792" w:name="_Toc17287"/>
      <w:bookmarkStart w:id="793" w:name="bookmark1132"/>
      <w:bookmarkStart w:id="794" w:name="_Toc24520"/>
      <w:bookmarkStart w:id="795" w:name="bookmark1131"/>
      <w:bookmarkStart w:id="796" w:name="_Toc256000322"/>
      <w:bookmarkStart w:id="797" w:name="_Toc24225"/>
      <w:bookmarkStart w:id="798" w:name="bookmark1133"/>
      <w:bookmarkStart w:id="799" w:name="_Toc256000072"/>
      <w:r>
        <w:rPr>
          <w:rFonts w:ascii="宋体" w:hAnsi="宋体" w:cs="宋体"/>
          <w:sz w:val="21"/>
          <w:szCs w:val="21"/>
        </w:rPr>
        <w:t>9.3</w:t>
      </w:r>
      <w:r>
        <w:rPr>
          <w:rFonts w:hint="eastAsia" w:ascii="宋体" w:hAnsi="宋体" w:cs="宋体"/>
          <w:sz w:val="21"/>
          <w:szCs w:val="21"/>
        </w:rPr>
        <w:t>治安保卫</w:t>
      </w:r>
      <w:bookmarkEnd w:id="791"/>
      <w:bookmarkEnd w:id="792"/>
      <w:bookmarkEnd w:id="793"/>
      <w:bookmarkEnd w:id="794"/>
      <w:bookmarkEnd w:id="795"/>
      <w:bookmarkEnd w:id="796"/>
      <w:bookmarkEnd w:id="797"/>
      <w:bookmarkEnd w:id="798"/>
      <w:bookmarkEnd w:id="799"/>
    </w:p>
    <w:p w14:paraId="58728FE8">
      <w:pPr>
        <w:pStyle w:val="319"/>
        <w:ind w:firstLine="420"/>
        <w:rPr>
          <w:rFonts w:cs="Times New Roman"/>
          <w:sz w:val="21"/>
          <w:szCs w:val="21"/>
        </w:rPr>
      </w:pPr>
      <w:r>
        <w:rPr>
          <w:sz w:val="21"/>
          <w:szCs w:val="21"/>
          <w:lang w:val="en-US"/>
        </w:rPr>
        <w:t>9.3.1</w:t>
      </w:r>
      <w:r>
        <w:rPr>
          <w:rFonts w:hint="eastAsia"/>
          <w:sz w:val="21"/>
          <w:szCs w:val="21"/>
        </w:rPr>
        <w:t>除合同另有约定外，发包人应与当地公安部门协商，在现场建立治安管理机构或联防组织，统一管理施工场地的治安保卫事项，履行合同工程的治安保卫职责。</w:t>
      </w:r>
    </w:p>
    <w:p w14:paraId="358A602F">
      <w:pPr>
        <w:pStyle w:val="319"/>
        <w:ind w:firstLine="420"/>
        <w:rPr>
          <w:rFonts w:cs="Times New Roman"/>
          <w:sz w:val="21"/>
          <w:szCs w:val="21"/>
        </w:rPr>
      </w:pPr>
      <w:r>
        <w:rPr>
          <w:sz w:val="21"/>
          <w:szCs w:val="21"/>
          <w:lang w:val="en-US"/>
        </w:rPr>
        <w:t>9.3.</w:t>
      </w:r>
      <w:r>
        <w:rPr>
          <w:sz w:val="21"/>
          <w:szCs w:val="21"/>
        </w:rPr>
        <w:t>2</w:t>
      </w:r>
      <w:r>
        <w:rPr>
          <w:rFonts w:hint="eastAsia"/>
          <w:sz w:val="21"/>
          <w:szCs w:val="21"/>
        </w:rPr>
        <w:t>发包人和承包人除应协助现场治安管理机构或联防组织维护施工场地的社会治安外，还应做好包括生活区在内的各自管辖区的治安保卫工作。</w:t>
      </w:r>
    </w:p>
    <w:p w14:paraId="509C984B">
      <w:pPr>
        <w:pStyle w:val="319"/>
        <w:spacing w:after="140"/>
        <w:ind w:firstLine="420"/>
        <w:rPr>
          <w:rFonts w:cs="Times New Roman"/>
          <w:sz w:val="21"/>
          <w:szCs w:val="21"/>
        </w:rPr>
      </w:pPr>
      <w:r>
        <w:rPr>
          <w:sz w:val="21"/>
          <w:szCs w:val="21"/>
          <w:lang w:val="en-US"/>
        </w:rPr>
        <w:t>9.3.3</w:t>
      </w:r>
      <w:r>
        <w:rPr>
          <w:rFonts w:hint="eastAsia"/>
          <w:sz w:val="21"/>
          <w:szCs w:val="21"/>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606ED399">
      <w:pPr>
        <w:pStyle w:val="318"/>
        <w:spacing w:line="360" w:lineRule="auto"/>
        <w:rPr>
          <w:rFonts w:ascii="宋体" w:cs="宋体"/>
          <w:sz w:val="21"/>
          <w:szCs w:val="21"/>
        </w:rPr>
      </w:pPr>
      <w:bookmarkStart w:id="800" w:name="bookmark1136"/>
      <w:bookmarkStart w:id="801" w:name="bookmark1134"/>
      <w:bookmarkStart w:id="802" w:name="bookmark1135"/>
      <w:bookmarkStart w:id="803" w:name="_Toc256000323"/>
      <w:bookmarkStart w:id="804" w:name="_Toc12827"/>
      <w:bookmarkStart w:id="805" w:name="_Toc256000073"/>
      <w:bookmarkStart w:id="806" w:name="_Toc22852"/>
      <w:bookmarkStart w:id="807" w:name="_Toc19282"/>
      <w:bookmarkStart w:id="808" w:name="_Toc24105"/>
      <w:r>
        <w:rPr>
          <w:rFonts w:ascii="宋体" w:hAnsi="宋体" w:cs="宋体"/>
          <w:sz w:val="21"/>
          <w:szCs w:val="21"/>
        </w:rPr>
        <w:t>9.4</w:t>
      </w:r>
      <w:r>
        <w:rPr>
          <w:rFonts w:hint="eastAsia" w:ascii="宋体" w:hAnsi="宋体" w:cs="宋体"/>
          <w:sz w:val="21"/>
          <w:szCs w:val="21"/>
        </w:rPr>
        <w:t>环境保护</w:t>
      </w:r>
      <w:bookmarkEnd w:id="800"/>
      <w:bookmarkEnd w:id="801"/>
      <w:bookmarkEnd w:id="802"/>
      <w:bookmarkEnd w:id="803"/>
      <w:bookmarkEnd w:id="804"/>
      <w:bookmarkEnd w:id="805"/>
      <w:bookmarkEnd w:id="806"/>
      <w:bookmarkEnd w:id="807"/>
      <w:bookmarkEnd w:id="808"/>
    </w:p>
    <w:p w14:paraId="5BE6A810">
      <w:pPr>
        <w:pStyle w:val="319"/>
        <w:ind w:firstLine="420"/>
        <w:rPr>
          <w:rFonts w:cs="Times New Roman"/>
          <w:sz w:val="21"/>
          <w:szCs w:val="21"/>
        </w:rPr>
      </w:pPr>
      <w:r>
        <w:rPr>
          <w:sz w:val="21"/>
          <w:szCs w:val="21"/>
          <w:lang w:val="en-US"/>
        </w:rPr>
        <w:t>9.4.1</w:t>
      </w:r>
      <w:r>
        <w:rPr>
          <w:rFonts w:hint="eastAsia"/>
          <w:sz w:val="21"/>
          <w:szCs w:val="21"/>
        </w:rPr>
        <w:t>承包人在施工过程中，应遵守有关环境保护的法律，履行合同约定的环境保护义务，并对违反法律和合同约定义务所造成的环境破坏、人身伤害和财产损失负责。</w:t>
      </w:r>
    </w:p>
    <w:p w14:paraId="060B3B2B">
      <w:pPr>
        <w:pStyle w:val="319"/>
        <w:ind w:firstLine="420"/>
        <w:rPr>
          <w:rFonts w:cs="Times New Roman"/>
          <w:sz w:val="21"/>
          <w:szCs w:val="21"/>
        </w:rPr>
      </w:pPr>
      <w:r>
        <w:rPr>
          <w:sz w:val="21"/>
          <w:szCs w:val="21"/>
          <w:lang w:val="en-US"/>
        </w:rPr>
        <w:t>9.4.2</w:t>
      </w:r>
      <w:r>
        <w:rPr>
          <w:rFonts w:hint="eastAsia"/>
          <w:sz w:val="21"/>
          <w:szCs w:val="21"/>
        </w:rPr>
        <w:t>承包人应按合同约定的环保工作内容，编制施工环保措施计划，报送监理人审批。</w:t>
      </w:r>
    </w:p>
    <w:p w14:paraId="5FD7B4DC">
      <w:pPr>
        <w:pStyle w:val="319"/>
        <w:ind w:firstLine="420"/>
        <w:rPr>
          <w:rFonts w:cs="Times New Roman"/>
          <w:sz w:val="21"/>
          <w:szCs w:val="21"/>
        </w:rPr>
      </w:pPr>
      <w:r>
        <w:rPr>
          <w:sz w:val="21"/>
          <w:szCs w:val="21"/>
          <w:lang w:val="en-US"/>
        </w:rPr>
        <w:t>9.4.3</w:t>
      </w:r>
      <w:r>
        <w:rPr>
          <w:rFonts w:hint="eastAsia"/>
          <w:sz w:val="21"/>
          <w:szCs w:val="21"/>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10FEE7CD">
      <w:pPr>
        <w:pStyle w:val="319"/>
        <w:ind w:firstLine="420"/>
        <w:rPr>
          <w:rFonts w:cs="Times New Roman"/>
          <w:sz w:val="21"/>
          <w:szCs w:val="21"/>
        </w:rPr>
      </w:pPr>
      <w:r>
        <w:rPr>
          <w:sz w:val="21"/>
          <w:szCs w:val="21"/>
          <w:lang w:val="en-US"/>
        </w:rPr>
        <w:t>9.4.4</w:t>
      </w:r>
      <w:r>
        <w:rPr>
          <w:rFonts w:hint="eastAsia"/>
          <w:sz w:val="21"/>
          <w:szCs w:val="21"/>
        </w:rPr>
        <w:t>承包人应按合同约定采取有效措施，对施工开挖的边坡及时进行支护，维护排</w:t>
      </w:r>
      <w:r>
        <w:rPr>
          <w:sz w:val="21"/>
          <w:szCs w:val="21"/>
        </w:rPr>
        <w:t xml:space="preserve"> </w:t>
      </w:r>
      <w:r>
        <w:rPr>
          <w:rFonts w:hint="eastAsia"/>
          <w:sz w:val="21"/>
          <w:szCs w:val="21"/>
        </w:rPr>
        <w:t>水设施，并进行水土保护，避免因施工造成的地质灾害。</w:t>
      </w:r>
    </w:p>
    <w:p w14:paraId="6AAF78AC">
      <w:pPr>
        <w:pStyle w:val="319"/>
        <w:ind w:firstLine="420"/>
        <w:rPr>
          <w:rFonts w:cs="Times New Roman"/>
          <w:sz w:val="21"/>
          <w:szCs w:val="21"/>
        </w:rPr>
      </w:pPr>
      <w:r>
        <w:rPr>
          <w:sz w:val="21"/>
          <w:szCs w:val="21"/>
          <w:lang w:val="en-US"/>
        </w:rPr>
        <w:t>9.4.5</w:t>
      </w:r>
      <w:r>
        <w:rPr>
          <w:rFonts w:hint="eastAsia"/>
          <w:sz w:val="21"/>
          <w:szCs w:val="21"/>
        </w:rPr>
        <w:t>承包人应按国家饮用水管理标准定期对饮用水源进行监测，防止施工活动污染饮用水源。</w:t>
      </w:r>
    </w:p>
    <w:p w14:paraId="7E4B1502">
      <w:pPr>
        <w:pStyle w:val="319"/>
        <w:spacing w:after="120"/>
        <w:ind w:firstLine="420"/>
        <w:rPr>
          <w:rFonts w:cs="Times New Roman"/>
          <w:sz w:val="21"/>
          <w:szCs w:val="21"/>
        </w:rPr>
      </w:pPr>
      <w:r>
        <w:rPr>
          <w:sz w:val="21"/>
          <w:szCs w:val="21"/>
          <w:lang w:val="en-US"/>
        </w:rPr>
        <w:t>9.4.6</w:t>
      </w:r>
      <w:r>
        <w:rPr>
          <w:rFonts w:hint="eastAsia"/>
          <w:sz w:val="21"/>
          <w:szCs w:val="21"/>
        </w:rPr>
        <w:t>承包人应按合同约定，加强对噪声、粉尘、废气、废水和废油的控制，努力降低噪声，控制粉尘和废气浓度，做好废水和废油的治理和排放。</w:t>
      </w:r>
    </w:p>
    <w:p w14:paraId="71E3676B">
      <w:pPr>
        <w:pStyle w:val="318"/>
        <w:spacing w:line="360" w:lineRule="auto"/>
        <w:rPr>
          <w:rFonts w:ascii="宋体" w:cs="宋体"/>
          <w:sz w:val="21"/>
          <w:szCs w:val="21"/>
        </w:rPr>
      </w:pPr>
      <w:bookmarkStart w:id="809" w:name="_Toc256000074"/>
      <w:bookmarkStart w:id="810" w:name="_Toc15757"/>
      <w:bookmarkStart w:id="811" w:name="_Toc486"/>
      <w:bookmarkStart w:id="812" w:name="_Toc256000324"/>
      <w:bookmarkStart w:id="813" w:name="_Toc30518"/>
      <w:bookmarkStart w:id="814" w:name="bookmark1137"/>
      <w:bookmarkStart w:id="815" w:name="bookmark1139"/>
      <w:bookmarkStart w:id="816" w:name="bookmark1138"/>
      <w:bookmarkStart w:id="817" w:name="_Toc1363"/>
      <w:r>
        <w:rPr>
          <w:rFonts w:ascii="宋体" w:hAnsi="宋体" w:cs="宋体"/>
          <w:sz w:val="21"/>
          <w:szCs w:val="21"/>
        </w:rPr>
        <w:t>9.5</w:t>
      </w:r>
      <w:r>
        <w:rPr>
          <w:rFonts w:hint="eastAsia" w:ascii="宋体" w:hAnsi="宋体" w:cs="宋体"/>
          <w:sz w:val="21"/>
          <w:szCs w:val="21"/>
        </w:rPr>
        <w:t>事故处理</w:t>
      </w:r>
      <w:bookmarkEnd w:id="809"/>
      <w:bookmarkEnd w:id="810"/>
      <w:bookmarkEnd w:id="811"/>
      <w:bookmarkEnd w:id="812"/>
      <w:bookmarkEnd w:id="813"/>
      <w:bookmarkEnd w:id="814"/>
      <w:bookmarkEnd w:id="815"/>
      <w:bookmarkEnd w:id="816"/>
      <w:bookmarkEnd w:id="817"/>
    </w:p>
    <w:p w14:paraId="01001343">
      <w:pPr>
        <w:pStyle w:val="319"/>
        <w:ind w:firstLine="420"/>
        <w:rPr>
          <w:rFonts w:cs="Times New Roman"/>
          <w:sz w:val="21"/>
          <w:szCs w:val="21"/>
        </w:rPr>
      </w:pPr>
      <w:r>
        <w:rPr>
          <w:sz w:val="21"/>
          <w:szCs w:val="21"/>
          <w:lang w:val="en-US"/>
        </w:rPr>
        <w:t>9.5.1</w:t>
      </w:r>
      <w:r>
        <w:rPr>
          <w:rFonts w:hint="eastAsia"/>
          <w:sz w:val="21"/>
          <w:szCs w:val="21"/>
        </w:rPr>
        <w:t>发包人负责组织参建单位制定本工程的质量与安全事故应急预案，建立质量与安全事故应急处置指挥部。</w:t>
      </w:r>
    </w:p>
    <w:p w14:paraId="6102B164">
      <w:pPr>
        <w:pStyle w:val="319"/>
        <w:ind w:firstLine="420"/>
        <w:rPr>
          <w:rFonts w:cs="Times New Roman"/>
          <w:sz w:val="21"/>
          <w:szCs w:val="21"/>
        </w:rPr>
      </w:pPr>
      <w:r>
        <w:rPr>
          <w:sz w:val="21"/>
          <w:szCs w:val="21"/>
          <w:lang w:val="en-US"/>
        </w:rPr>
        <w:t>9.5.2</w:t>
      </w:r>
      <w:r>
        <w:rPr>
          <w:rFonts w:hint="eastAsia"/>
          <w:sz w:val="21"/>
          <w:szCs w:val="21"/>
        </w:rPr>
        <w:t>承包人应对施工现场易发生重大事故的部位、环节的进行监控，配备救援器材、设备，并定期组织演练。</w:t>
      </w:r>
    </w:p>
    <w:p w14:paraId="2419A73D">
      <w:pPr>
        <w:pStyle w:val="319"/>
        <w:spacing w:after="120"/>
        <w:ind w:firstLine="420"/>
        <w:rPr>
          <w:rFonts w:cs="Times New Roman"/>
          <w:sz w:val="21"/>
          <w:szCs w:val="21"/>
        </w:rPr>
      </w:pPr>
      <w:r>
        <w:rPr>
          <w:sz w:val="21"/>
          <w:szCs w:val="21"/>
          <w:lang w:val="en-US"/>
        </w:rPr>
        <w:t>9.5.3</w:t>
      </w:r>
      <w:r>
        <w:rPr>
          <w:rFonts w:hint="eastAsia"/>
          <w:sz w:val="21"/>
          <w:szCs w:val="21"/>
        </w:rPr>
        <w:t>工程开工前，承包人应根据本工程特点制定施工现场施工质量与安全事故应急预案，并报发包人备案。</w:t>
      </w:r>
    </w:p>
    <w:p w14:paraId="3B0EBC5A">
      <w:pPr>
        <w:pStyle w:val="319"/>
        <w:ind w:firstLine="420"/>
        <w:rPr>
          <w:rFonts w:cs="Times New Roman"/>
          <w:sz w:val="21"/>
          <w:szCs w:val="21"/>
        </w:rPr>
      </w:pPr>
      <w:r>
        <w:rPr>
          <w:sz w:val="21"/>
          <w:szCs w:val="21"/>
          <w:lang w:val="en-US"/>
        </w:rPr>
        <w:t>9.5.4</w:t>
      </w:r>
      <w:r>
        <w:rPr>
          <w:rFonts w:hint="eastAsia"/>
          <w:sz w:val="21"/>
          <w:szCs w:val="21"/>
        </w:rPr>
        <w:t>施工过程中发生事故时，发包人、承包人应立即启动应急预案。</w:t>
      </w:r>
    </w:p>
    <w:p w14:paraId="3670ABAB">
      <w:pPr>
        <w:pStyle w:val="319"/>
        <w:spacing w:after="120"/>
        <w:ind w:firstLine="420"/>
        <w:rPr>
          <w:rFonts w:cs="Times New Roman"/>
          <w:sz w:val="21"/>
          <w:szCs w:val="21"/>
        </w:rPr>
      </w:pPr>
      <w:r>
        <w:rPr>
          <w:sz w:val="21"/>
          <w:szCs w:val="21"/>
          <w:lang w:val="en-US"/>
        </w:rPr>
        <w:t>9.5.5</w:t>
      </w:r>
      <w:r>
        <w:rPr>
          <w:rFonts w:hint="eastAsia"/>
          <w:sz w:val="21"/>
          <w:szCs w:val="21"/>
        </w:rPr>
        <w:t>事故调查处理由发包人按相关规定履行手续，承包人应配合。</w:t>
      </w:r>
    </w:p>
    <w:p w14:paraId="551EB3BA">
      <w:pPr>
        <w:pStyle w:val="318"/>
        <w:spacing w:line="360" w:lineRule="auto"/>
        <w:rPr>
          <w:rFonts w:ascii="宋体" w:cs="宋体"/>
          <w:sz w:val="21"/>
          <w:szCs w:val="21"/>
        </w:rPr>
      </w:pPr>
      <w:bookmarkStart w:id="818" w:name="_Toc8907"/>
      <w:bookmarkStart w:id="819" w:name="_Toc256000325"/>
      <w:bookmarkStart w:id="820" w:name="_Toc10912"/>
      <w:bookmarkStart w:id="821" w:name="_Toc256000075"/>
      <w:bookmarkStart w:id="822" w:name="bookmark1141"/>
      <w:bookmarkStart w:id="823" w:name="bookmark1142"/>
      <w:bookmarkStart w:id="824" w:name="_Toc4974"/>
      <w:bookmarkStart w:id="825" w:name="bookmark1140"/>
      <w:bookmarkStart w:id="826" w:name="_Toc1975"/>
      <w:r>
        <w:rPr>
          <w:rFonts w:ascii="宋体" w:hAnsi="宋体" w:cs="宋体"/>
          <w:sz w:val="21"/>
          <w:szCs w:val="21"/>
        </w:rPr>
        <w:t>9.6</w:t>
      </w:r>
      <w:r>
        <w:rPr>
          <w:rFonts w:hint="eastAsia" w:ascii="宋体" w:hAnsi="宋体" w:cs="宋体"/>
          <w:sz w:val="21"/>
          <w:szCs w:val="21"/>
        </w:rPr>
        <w:t>水土保持</w:t>
      </w:r>
      <w:bookmarkEnd w:id="818"/>
      <w:bookmarkEnd w:id="819"/>
      <w:bookmarkEnd w:id="820"/>
      <w:bookmarkEnd w:id="821"/>
      <w:bookmarkEnd w:id="822"/>
      <w:bookmarkEnd w:id="823"/>
      <w:bookmarkEnd w:id="824"/>
      <w:bookmarkEnd w:id="825"/>
      <w:bookmarkEnd w:id="826"/>
    </w:p>
    <w:p w14:paraId="0D01873A">
      <w:pPr>
        <w:pStyle w:val="319"/>
        <w:ind w:firstLine="420"/>
        <w:rPr>
          <w:rFonts w:cs="Times New Roman"/>
          <w:sz w:val="21"/>
          <w:szCs w:val="21"/>
        </w:rPr>
      </w:pPr>
      <w:r>
        <w:rPr>
          <w:sz w:val="21"/>
          <w:szCs w:val="21"/>
          <w:lang w:val="en-US"/>
        </w:rPr>
        <w:t>9.6.</w:t>
      </w:r>
      <w:r>
        <w:rPr>
          <w:sz w:val="21"/>
          <w:szCs w:val="21"/>
        </w:rPr>
        <w:t>1</w:t>
      </w:r>
      <w:r>
        <w:rPr>
          <w:rFonts w:hint="eastAsia"/>
          <w:sz w:val="21"/>
          <w:szCs w:val="21"/>
        </w:rPr>
        <w:t>发包人应及时向承包人提供水土保持方案。</w:t>
      </w:r>
    </w:p>
    <w:p w14:paraId="1AE95394">
      <w:pPr>
        <w:pStyle w:val="319"/>
        <w:ind w:firstLine="420"/>
        <w:rPr>
          <w:rFonts w:cs="Times New Roman"/>
          <w:sz w:val="21"/>
          <w:szCs w:val="21"/>
        </w:rPr>
      </w:pPr>
      <w:r>
        <w:rPr>
          <w:sz w:val="21"/>
          <w:szCs w:val="21"/>
          <w:lang w:val="en-US"/>
        </w:rPr>
        <w:t>9.6.2</w:t>
      </w:r>
      <w:r>
        <w:rPr>
          <w:rFonts w:hint="eastAsia"/>
          <w:sz w:val="21"/>
          <w:szCs w:val="21"/>
        </w:rPr>
        <w:t>承包人在施工过程中，应遵守有关水土保持的法律法规和规章，履行合同约定的水土保持义务，并对其违反法律和合同约定义务所造成的水土流失灾害、人身伤害和财</w:t>
      </w:r>
      <w:r>
        <w:rPr>
          <w:sz w:val="21"/>
          <w:szCs w:val="21"/>
        </w:rPr>
        <w:t xml:space="preserve"> </w:t>
      </w:r>
      <w:r>
        <w:rPr>
          <w:rFonts w:hint="eastAsia"/>
          <w:sz w:val="21"/>
          <w:szCs w:val="21"/>
        </w:rPr>
        <w:t>产损失负责。</w:t>
      </w:r>
    </w:p>
    <w:p w14:paraId="4790E099">
      <w:pPr>
        <w:pStyle w:val="319"/>
        <w:spacing w:after="120"/>
        <w:ind w:firstLine="420"/>
        <w:rPr>
          <w:rFonts w:cs="Times New Roman"/>
          <w:sz w:val="21"/>
          <w:szCs w:val="21"/>
        </w:rPr>
      </w:pPr>
      <w:r>
        <w:rPr>
          <w:sz w:val="21"/>
          <w:szCs w:val="21"/>
          <w:lang w:val="en-US"/>
        </w:rPr>
        <w:t>9.6.3</w:t>
      </w:r>
      <w:r>
        <w:rPr>
          <w:rFonts w:hint="eastAsia"/>
          <w:sz w:val="21"/>
          <w:szCs w:val="21"/>
        </w:rPr>
        <w:t>承包人的水土保持措施计划，应满足技术标准和要求（合同技术条款）约定的要求。</w:t>
      </w:r>
    </w:p>
    <w:p w14:paraId="4EDAF204">
      <w:pPr>
        <w:pStyle w:val="318"/>
        <w:spacing w:line="360" w:lineRule="auto"/>
        <w:rPr>
          <w:rFonts w:ascii="宋体" w:cs="宋体"/>
          <w:sz w:val="21"/>
          <w:szCs w:val="21"/>
        </w:rPr>
      </w:pPr>
      <w:bookmarkStart w:id="827" w:name="_Toc256000076"/>
      <w:bookmarkStart w:id="828" w:name="_Toc30929"/>
      <w:bookmarkStart w:id="829" w:name="bookmark1143"/>
      <w:bookmarkStart w:id="830" w:name="_Toc32599"/>
      <w:bookmarkStart w:id="831" w:name="bookmark1145"/>
      <w:bookmarkStart w:id="832" w:name="_Toc9534"/>
      <w:bookmarkStart w:id="833" w:name="bookmark1144"/>
      <w:bookmarkStart w:id="834" w:name="_Toc31371"/>
      <w:bookmarkStart w:id="835" w:name="_Toc256000326"/>
      <w:r>
        <w:rPr>
          <w:rFonts w:ascii="宋体" w:hAnsi="宋体" w:cs="宋体"/>
          <w:sz w:val="21"/>
          <w:szCs w:val="21"/>
        </w:rPr>
        <w:t>9.7</w:t>
      </w:r>
      <w:r>
        <w:rPr>
          <w:rFonts w:hint="eastAsia" w:ascii="宋体" w:hAnsi="宋体" w:cs="宋体"/>
          <w:sz w:val="21"/>
          <w:szCs w:val="21"/>
        </w:rPr>
        <w:t>文明工地</w:t>
      </w:r>
      <w:bookmarkEnd w:id="827"/>
      <w:bookmarkEnd w:id="828"/>
      <w:bookmarkEnd w:id="829"/>
      <w:bookmarkEnd w:id="830"/>
      <w:bookmarkEnd w:id="831"/>
      <w:bookmarkEnd w:id="832"/>
      <w:bookmarkEnd w:id="833"/>
      <w:bookmarkEnd w:id="834"/>
      <w:bookmarkEnd w:id="835"/>
    </w:p>
    <w:p w14:paraId="0209BAA7">
      <w:pPr>
        <w:pStyle w:val="319"/>
        <w:ind w:firstLine="420"/>
        <w:rPr>
          <w:rFonts w:cs="Times New Roman"/>
          <w:sz w:val="21"/>
          <w:szCs w:val="21"/>
        </w:rPr>
      </w:pPr>
      <w:r>
        <w:rPr>
          <w:sz w:val="21"/>
          <w:szCs w:val="21"/>
          <w:lang w:val="en-US"/>
        </w:rPr>
        <w:t>9.7.1</w:t>
      </w:r>
      <w:r>
        <w:rPr>
          <w:rFonts w:hint="eastAsia"/>
          <w:sz w:val="21"/>
          <w:szCs w:val="21"/>
        </w:rPr>
        <w:t>发包人应按专用合同条款的约定，负责建立创建文明建设工地的组织机构，制定创建文明建设工地的规划和办法。</w:t>
      </w:r>
    </w:p>
    <w:p w14:paraId="1A2FCB7D">
      <w:pPr>
        <w:pStyle w:val="319"/>
        <w:spacing w:after="120"/>
        <w:ind w:firstLine="420"/>
        <w:rPr>
          <w:rFonts w:cs="Times New Roman"/>
          <w:sz w:val="21"/>
          <w:szCs w:val="21"/>
        </w:rPr>
      </w:pPr>
      <w:r>
        <w:rPr>
          <w:sz w:val="21"/>
          <w:szCs w:val="21"/>
          <w:lang w:val="en-US"/>
        </w:rPr>
        <w:t>9.7.2</w:t>
      </w:r>
      <w:r>
        <w:rPr>
          <w:rFonts w:hint="eastAsia"/>
          <w:sz w:val="21"/>
          <w:szCs w:val="21"/>
        </w:rPr>
        <w:t>承包人应按创建文明建设工地的规划和办法，履行职责，承担相应责任。所需费用应含在已标价工程量清单中。</w:t>
      </w:r>
    </w:p>
    <w:p w14:paraId="2349A2A8">
      <w:pPr>
        <w:pStyle w:val="318"/>
        <w:spacing w:line="360" w:lineRule="auto"/>
        <w:rPr>
          <w:rFonts w:ascii="宋体" w:cs="宋体"/>
          <w:sz w:val="21"/>
          <w:szCs w:val="21"/>
        </w:rPr>
      </w:pPr>
      <w:bookmarkStart w:id="836" w:name="bookmark1146"/>
      <w:bookmarkStart w:id="837" w:name="_Toc2182"/>
      <w:bookmarkStart w:id="838" w:name="bookmark1148"/>
      <w:bookmarkStart w:id="839" w:name="_Toc1294"/>
      <w:bookmarkStart w:id="840" w:name="_Toc10413"/>
      <w:bookmarkStart w:id="841" w:name="_Toc30745"/>
      <w:bookmarkStart w:id="842" w:name="_Toc256000327"/>
      <w:bookmarkStart w:id="843" w:name="_Toc256000077"/>
      <w:bookmarkStart w:id="844" w:name="bookmark1147"/>
      <w:r>
        <w:rPr>
          <w:rFonts w:ascii="宋体" w:hAnsi="宋体" w:cs="宋体"/>
          <w:sz w:val="21"/>
          <w:szCs w:val="21"/>
        </w:rPr>
        <w:t>9.8</w:t>
      </w:r>
      <w:r>
        <w:rPr>
          <w:rFonts w:hint="eastAsia" w:ascii="宋体" w:hAnsi="宋体" w:cs="宋体"/>
          <w:sz w:val="21"/>
          <w:szCs w:val="21"/>
        </w:rPr>
        <w:t>防汛度汛</w:t>
      </w:r>
      <w:bookmarkEnd w:id="836"/>
      <w:bookmarkEnd w:id="837"/>
      <w:bookmarkEnd w:id="838"/>
      <w:bookmarkEnd w:id="839"/>
      <w:bookmarkEnd w:id="840"/>
      <w:bookmarkEnd w:id="841"/>
      <w:bookmarkEnd w:id="842"/>
      <w:bookmarkEnd w:id="843"/>
      <w:bookmarkEnd w:id="844"/>
    </w:p>
    <w:p w14:paraId="622068F5">
      <w:pPr>
        <w:pStyle w:val="319"/>
        <w:ind w:firstLine="420"/>
        <w:rPr>
          <w:rFonts w:cs="Times New Roman"/>
          <w:sz w:val="21"/>
          <w:szCs w:val="21"/>
        </w:rPr>
      </w:pPr>
      <w:r>
        <w:rPr>
          <w:sz w:val="21"/>
          <w:szCs w:val="21"/>
          <w:lang w:val="en-US"/>
        </w:rPr>
        <w:t>9.8.</w:t>
      </w:r>
      <w:r>
        <w:rPr>
          <w:sz w:val="21"/>
          <w:szCs w:val="21"/>
        </w:rPr>
        <w:t>1</w:t>
      </w:r>
      <w:r>
        <w:rPr>
          <w:rFonts w:hint="eastAsia"/>
          <w:sz w:val="21"/>
          <w:szCs w:val="21"/>
        </w:rPr>
        <w:t>发包人负责组织工程参建单位编制本工程的度汛方案和措施。</w:t>
      </w:r>
    </w:p>
    <w:p w14:paraId="4AA4D5C5">
      <w:pPr>
        <w:pStyle w:val="319"/>
        <w:spacing w:after="280"/>
        <w:ind w:firstLine="420"/>
        <w:rPr>
          <w:rFonts w:cs="Times New Roman"/>
          <w:sz w:val="21"/>
          <w:szCs w:val="21"/>
        </w:rPr>
      </w:pPr>
      <w:r>
        <w:rPr>
          <w:sz w:val="21"/>
          <w:szCs w:val="21"/>
          <w:lang w:val="en-US"/>
        </w:rPr>
        <w:t>9.8.2</w:t>
      </w:r>
      <w:r>
        <w:rPr>
          <w:rFonts w:hint="eastAsia"/>
          <w:sz w:val="21"/>
          <w:szCs w:val="21"/>
        </w:rPr>
        <w:t>承包人应根据发包人编制的本工程度汛方案和措施，制定相应的度汛方案，报发包人批准后实施。</w:t>
      </w:r>
    </w:p>
    <w:p w14:paraId="534A919F">
      <w:pPr>
        <w:pStyle w:val="318"/>
        <w:spacing w:line="360" w:lineRule="auto"/>
        <w:rPr>
          <w:rFonts w:ascii="宋体" w:cs="宋体"/>
          <w:sz w:val="21"/>
          <w:szCs w:val="21"/>
        </w:rPr>
      </w:pPr>
      <w:bookmarkStart w:id="845" w:name="_Toc14784"/>
      <w:bookmarkStart w:id="846" w:name="bookmark1149"/>
      <w:bookmarkStart w:id="847" w:name="bookmark1151"/>
      <w:bookmarkStart w:id="848" w:name="bookmark1150"/>
      <w:bookmarkStart w:id="849" w:name="_Toc256000078"/>
      <w:bookmarkStart w:id="850" w:name="_Toc256000328"/>
      <w:bookmarkStart w:id="851" w:name="_Toc29745"/>
      <w:bookmarkStart w:id="852" w:name="_Toc3932"/>
      <w:bookmarkStart w:id="853" w:name="_Toc27960"/>
      <w:r>
        <w:rPr>
          <w:rFonts w:ascii="宋体" w:hAnsi="宋体" w:cs="宋体"/>
          <w:sz w:val="21"/>
          <w:szCs w:val="21"/>
        </w:rPr>
        <w:t>10.</w:t>
      </w:r>
      <w:r>
        <w:rPr>
          <w:rFonts w:hint="eastAsia" w:ascii="宋体" w:hAnsi="宋体" w:cs="宋体"/>
          <w:sz w:val="21"/>
          <w:szCs w:val="21"/>
        </w:rPr>
        <w:t>进度计划</w:t>
      </w:r>
      <w:bookmarkEnd w:id="845"/>
      <w:bookmarkEnd w:id="846"/>
      <w:bookmarkEnd w:id="847"/>
      <w:bookmarkEnd w:id="848"/>
      <w:bookmarkEnd w:id="849"/>
      <w:bookmarkEnd w:id="850"/>
      <w:bookmarkEnd w:id="851"/>
      <w:bookmarkEnd w:id="852"/>
      <w:bookmarkEnd w:id="853"/>
    </w:p>
    <w:p w14:paraId="2546769A">
      <w:pPr>
        <w:pStyle w:val="318"/>
        <w:spacing w:line="360" w:lineRule="auto"/>
        <w:rPr>
          <w:rFonts w:ascii="宋体" w:cs="宋体"/>
          <w:sz w:val="21"/>
          <w:szCs w:val="21"/>
        </w:rPr>
      </w:pPr>
      <w:bookmarkStart w:id="854" w:name="_Toc15277"/>
      <w:bookmarkStart w:id="855" w:name="_Toc256000329"/>
      <w:bookmarkStart w:id="856" w:name="_Toc5518"/>
      <w:bookmarkStart w:id="857" w:name="_Toc256000079"/>
      <w:bookmarkStart w:id="858" w:name="bookmark1152"/>
      <w:bookmarkStart w:id="859" w:name="bookmark1154"/>
      <w:bookmarkStart w:id="860" w:name="_Toc26167"/>
      <w:bookmarkStart w:id="861" w:name="bookmark1153"/>
      <w:bookmarkStart w:id="862" w:name="_Toc14674"/>
      <w:r>
        <w:rPr>
          <w:rFonts w:ascii="宋体" w:hAnsi="宋体" w:cs="宋体"/>
          <w:sz w:val="21"/>
          <w:szCs w:val="21"/>
        </w:rPr>
        <w:t>10.1</w:t>
      </w:r>
      <w:r>
        <w:rPr>
          <w:rFonts w:hint="eastAsia" w:ascii="宋体" w:hAnsi="宋体" w:cs="宋体"/>
          <w:sz w:val="21"/>
          <w:szCs w:val="21"/>
        </w:rPr>
        <w:t>合同进度计划</w:t>
      </w:r>
      <w:bookmarkEnd w:id="854"/>
      <w:bookmarkEnd w:id="855"/>
      <w:bookmarkEnd w:id="856"/>
      <w:bookmarkEnd w:id="857"/>
      <w:bookmarkEnd w:id="858"/>
      <w:bookmarkEnd w:id="859"/>
      <w:bookmarkEnd w:id="860"/>
      <w:bookmarkEnd w:id="861"/>
      <w:bookmarkEnd w:id="862"/>
    </w:p>
    <w:p w14:paraId="154A7CAF">
      <w:pPr>
        <w:pStyle w:val="319"/>
        <w:spacing w:after="120"/>
        <w:ind w:firstLine="420"/>
        <w:rPr>
          <w:rFonts w:cs="Times New Roman"/>
          <w:sz w:val="21"/>
          <w:szCs w:val="21"/>
        </w:rPr>
      </w:pPr>
      <w:r>
        <w:rPr>
          <w:rFonts w:hint="eastAsia"/>
          <w:sz w:val="21"/>
          <w:szCs w:val="21"/>
        </w:rPr>
        <w:t>承包人应按技术标准和要求（合同技术条款）约定的内容和期限以及监理人的指示</w:t>
      </w:r>
      <w:r>
        <w:rPr>
          <w:sz w:val="21"/>
          <w:szCs w:val="21"/>
        </w:rPr>
        <w:t xml:space="preserve">, </w:t>
      </w:r>
      <w:r>
        <w:rPr>
          <w:rFonts w:hint="eastAsia"/>
          <w:sz w:val="21"/>
          <w:szCs w:val="21"/>
        </w:rPr>
        <w:t>编制详细的施工总进度计划及其说明提交监理人审批。监理人应在技术标准和要求（合同</w:t>
      </w:r>
      <w:r>
        <w:rPr>
          <w:sz w:val="21"/>
          <w:szCs w:val="21"/>
        </w:rPr>
        <w:t xml:space="preserve"> </w:t>
      </w:r>
      <w:r>
        <w:rPr>
          <w:rFonts w:hint="eastAsia"/>
          <w:sz w:val="21"/>
          <w:szCs w:val="21"/>
        </w:rPr>
        <w:t>技术条款）约定的期限内批复承包人，否则该进度计划视为已得到批准。经监理人批准的</w:t>
      </w:r>
      <w:r>
        <w:rPr>
          <w:sz w:val="21"/>
          <w:szCs w:val="21"/>
        </w:rPr>
        <w:t xml:space="preserve"> </w:t>
      </w:r>
      <w:r>
        <w:rPr>
          <w:rFonts w:hint="eastAsia"/>
          <w:sz w:val="21"/>
          <w:szCs w:val="21"/>
        </w:rPr>
        <w:t>施工进度计划称为合同进度计划，是控制合同工程进度的依据。承包人还应根据合同进度</w:t>
      </w:r>
      <w:r>
        <w:rPr>
          <w:sz w:val="21"/>
          <w:szCs w:val="21"/>
        </w:rPr>
        <w:t xml:space="preserve"> </w:t>
      </w:r>
      <w:r>
        <w:rPr>
          <w:rFonts w:hint="eastAsia"/>
          <w:sz w:val="21"/>
          <w:szCs w:val="21"/>
        </w:rPr>
        <w:t>计划，编制更为详细的分阶段或单位工程或分部工程进度计划，报监理人审批。</w:t>
      </w:r>
    </w:p>
    <w:p w14:paraId="600FCF6C">
      <w:pPr>
        <w:pStyle w:val="318"/>
        <w:spacing w:line="360" w:lineRule="auto"/>
        <w:rPr>
          <w:rFonts w:ascii="宋体" w:cs="宋体"/>
          <w:sz w:val="21"/>
          <w:szCs w:val="21"/>
        </w:rPr>
      </w:pPr>
      <w:bookmarkStart w:id="863" w:name="bookmark1157"/>
      <w:bookmarkStart w:id="864" w:name="_Toc15638"/>
      <w:bookmarkStart w:id="865" w:name="bookmark1156"/>
      <w:bookmarkStart w:id="866" w:name="_Toc256000330"/>
      <w:bookmarkStart w:id="867" w:name="_Toc13985"/>
      <w:bookmarkStart w:id="868" w:name="_Toc8733"/>
      <w:bookmarkStart w:id="869" w:name="_Toc27886"/>
      <w:bookmarkStart w:id="870" w:name="_Toc256000080"/>
      <w:bookmarkStart w:id="871" w:name="bookmark1155"/>
      <w:r>
        <w:rPr>
          <w:rFonts w:ascii="宋体" w:hAnsi="宋体" w:cs="宋体"/>
          <w:sz w:val="21"/>
          <w:szCs w:val="21"/>
        </w:rPr>
        <w:t>10.2</w:t>
      </w:r>
      <w:r>
        <w:rPr>
          <w:rFonts w:hint="eastAsia" w:ascii="宋体" w:hAnsi="宋体" w:cs="宋体"/>
          <w:sz w:val="21"/>
          <w:szCs w:val="21"/>
        </w:rPr>
        <w:t>合同进度计划的修订</w:t>
      </w:r>
      <w:bookmarkEnd w:id="863"/>
      <w:bookmarkEnd w:id="864"/>
      <w:bookmarkEnd w:id="865"/>
      <w:bookmarkEnd w:id="866"/>
      <w:bookmarkEnd w:id="867"/>
      <w:bookmarkEnd w:id="868"/>
      <w:bookmarkEnd w:id="869"/>
      <w:bookmarkEnd w:id="870"/>
      <w:bookmarkEnd w:id="871"/>
    </w:p>
    <w:p w14:paraId="12D3D8C9">
      <w:pPr>
        <w:pStyle w:val="319"/>
        <w:ind w:firstLine="420"/>
        <w:rPr>
          <w:rFonts w:cs="Times New Roman"/>
          <w:sz w:val="21"/>
          <w:szCs w:val="21"/>
        </w:rPr>
      </w:pPr>
      <w:r>
        <w:rPr>
          <w:rFonts w:hint="eastAsia"/>
          <w:sz w:val="21"/>
          <w:szCs w:val="21"/>
        </w:rPr>
        <w:t>不论何种原因造成工程的实际进度与第</w:t>
      </w:r>
      <w:r>
        <w:rPr>
          <w:sz w:val="21"/>
          <w:szCs w:val="21"/>
          <w:lang w:val="en-US"/>
        </w:rPr>
        <w:t xml:space="preserve">10. </w:t>
      </w:r>
      <w:r>
        <w:rPr>
          <w:sz w:val="21"/>
          <w:szCs w:val="21"/>
        </w:rPr>
        <w:t>1</w:t>
      </w:r>
      <w:r>
        <w:rPr>
          <w:rFonts w:hint="eastAsia"/>
          <w:sz w:val="21"/>
          <w:szCs w:val="21"/>
        </w:rPr>
        <w:t>款的合同进度计划不符时，承包人均应在</w:t>
      </w:r>
      <w:r>
        <w:rPr>
          <w:sz w:val="21"/>
          <w:szCs w:val="21"/>
        </w:rPr>
        <w:t xml:space="preserve"> 14</w:t>
      </w:r>
      <w:r>
        <w:rPr>
          <w:rFonts w:hint="eastAsia"/>
          <w:sz w:val="21"/>
          <w:szCs w:val="21"/>
        </w:rPr>
        <w:t>天内向监理人提交修订合同进度计划的申请报告，并附有关措施和相关资料，报监理人审批；监理人应在收到申请报告后的</w:t>
      </w:r>
      <w:r>
        <w:rPr>
          <w:sz w:val="21"/>
          <w:szCs w:val="21"/>
        </w:rPr>
        <w:t>14</w:t>
      </w:r>
      <w:r>
        <w:rPr>
          <w:rFonts w:hint="eastAsia"/>
          <w:sz w:val="21"/>
          <w:szCs w:val="21"/>
        </w:rPr>
        <w:t>天内批复。当监理人认为需要修订合同进度计划</w:t>
      </w:r>
      <w:r>
        <w:rPr>
          <w:sz w:val="21"/>
          <w:szCs w:val="21"/>
        </w:rPr>
        <w:t xml:space="preserve"> </w:t>
      </w:r>
      <w:r>
        <w:rPr>
          <w:rFonts w:hint="eastAsia"/>
          <w:sz w:val="21"/>
          <w:szCs w:val="21"/>
        </w:rPr>
        <w:t>时，承包人应按监理人的指示，在</w:t>
      </w:r>
      <w:r>
        <w:rPr>
          <w:sz w:val="21"/>
          <w:szCs w:val="21"/>
        </w:rPr>
        <w:t>14</w:t>
      </w:r>
      <w:r>
        <w:rPr>
          <w:rFonts w:hint="eastAsia"/>
          <w:sz w:val="21"/>
          <w:szCs w:val="21"/>
        </w:rPr>
        <w:t>天内向监理人提交修订的合同进度计划，并附调整计</w:t>
      </w:r>
      <w:r>
        <w:rPr>
          <w:sz w:val="21"/>
          <w:szCs w:val="21"/>
        </w:rPr>
        <w:t xml:space="preserve"> </w:t>
      </w:r>
      <w:r>
        <w:rPr>
          <w:rFonts w:hint="eastAsia"/>
          <w:sz w:val="21"/>
          <w:szCs w:val="21"/>
        </w:rPr>
        <w:t>划的相关资料，提交监理人审批。监理人应在收到进度计划后的</w:t>
      </w:r>
      <w:r>
        <w:rPr>
          <w:sz w:val="21"/>
          <w:szCs w:val="21"/>
        </w:rPr>
        <w:t>14</w:t>
      </w:r>
      <w:r>
        <w:rPr>
          <w:rFonts w:hint="eastAsia"/>
          <w:sz w:val="21"/>
          <w:szCs w:val="21"/>
        </w:rPr>
        <w:t>天内批复。</w:t>
      </w:r>
    </w:p>
    <w:p w14:paraId="059A24C9">
      <w:pPr>
        <w:pStyle w:val="319"/>
        <w:spacing w:after="160"/>
        <w:ind w:firstLine="420"/>
        <w:rPr>
          <w:rFonts w:cs="Times New Roman"/>
          <w:sz w:val="21"/>
          <w:szCs w:val="21"/>
        </w:rPr>
      </w:pPr>
      <w:r>
        <w:rPr>
          <w:rFonts w:hint="eastAsia"/>
          <w:sz w:val="21"/>
          <w:szCs w:val="21"/>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sz w:val="21"/>
          <w:szCs w:val="21"/>
          <w:lang w:val="en-US"/>
        </w:rPr>
        <w:t xml:space="preserve">11. </w:t>
      </w:r>
      <w:r>
        <w:rPr>
          <w:sz w:val="21"/>
          <w:szCs w:val="21"/>
        </w:rPr>
        <w:t>3</w:t>
      </w:r>
      <w:r>
        <w:rPr>
          <w:rFonts w:hint="eastAsia"/>
          <w:sz w:val="21"/>
          <w:szCs w:val="21"/>
        </w:rPr>
        <w:t>款的约定办理；由于承包人原因造成施工进度延迟，应按第</w:t>
      </w:r>
      <w:r>
        <w:rPr>
          <w:sz w:val="21"/>
          <w:szCs w:val="21"/>
          <w:lang w:val="en-US"/>
        </w:rPr>
        <w:t xml:space="preserve">11. </w:t>
      </w:r>
      <w:r>
        <w:rPr>
          <w:sz w:val="21"/>
          <w:szCs w:val="21"/>
        </w:rPr>
        <w:t>5</w:t>
      </w:r>
      <w:r>
        <w:rPr>
          <w:rFonts w:hint="eastAsia"/>
          <w:sz w:val="21"/>
          <w:szCs w:val="21"/>
        </w:rPr>
        <w:t>款的约定办理。</w:t>
      </w:r>
    </w:p>
    <w:p w14:paraId="2E317FE9">
      <w:pPr>
        <w:pStyle w:val="318"/>
        <w:spacing w:line="360" w:lineRule="auto"/>
        <w:rPr>
          <w:rFonts w:ascii="宋体" w:cs="宋体"/>
          <w:sz w:val="21"/>
          <w:szCs w:val="21"/>
        </w:rPr>
      </w:pPr>
      <w:bookmarkStart w:id="872" w:name="bookmark1160"/>
      <w:bookmarkStart w:id="873" w:name="_Toc256000081"/>
      <w:bookmarkStart w:id="874" w:name="_Toc29411"/>
      <w:bookmarkStart w:id="875" w:name="bookmark1158"/>
      <w:bookmarkStart w:id="876" w:name="_Toc11722"/>
      <w:bookmarkStart w:id="877" w:name="_Toc23510"/>
      <w:bookmarkStart w:id="878" w:name="_Toc25361"/>
      <w:bookmarkStart w:id="879" w:name="bookmark1159"/>
      <w:bookmarkStart w:id="880" w:name="_Toc256000331"/>
      <w:r>
        <w:rPr>
          <w:rFonts w:ascii="宋体" w:hAnsi="宋体" w:cs="宋体"/>
          <w:sz w:val="21"/>
          <w:szCs w:val="21"/>
        </w:rPr>
        <w:t>10.3</w:t>
      </w:r>
      <w:r>
        <w:rPr>
          <w:rFonts w:hint="eastAsia" w:ascii="宋体" w:hAnsi="宋体" w:cs="宋体"/>
          <w:sz w:val="21"/>
          <w:szCs w:val="21"/>
        </w:rPr>
        <w:t>单位工程进度计划</w:t>
      </w:r>
      <w:bookmarkEnd w:id="872"/>
      <w:bookmarkEnd w:id="873"/>
      <w:bookmarkEnd w:id="874"/>
      <w:bookmarkEnd w:id="875"/>
      <w:bookmarkEnd w:id="876"/>
      <w:bookmarkEnd w:id="877"/>
      <w:bookmarkEnd w:id="878"/>
      <w:bookmarkEnd w:id="879"/>
      <w:bookmarkEnd w:id="880"/>
    </w:p>
    <w:p w14:paraId="6DD39BFB">
      <w:pPr>
        <w:pStyle w:val="319"/>
        <w:spacing w:after="160"/>
        <w:ind w:firstLine="420"/>
        <w:rPr>
          <w:rFonts w:cs="Times New Roman"/>
          <w:sz w:val="21"/>
          <w:szCs w:val="21"/>
        </w:rPr>
      </w:pPr>
      <w:r>
        <w:rPr>
          <w:rFonts w:hint="eastAsia"/>
          <w:sz w:val="21"/>
          <w:szCs w:val="21"/>
        </w:rPr>
        <w:t>监理人认为有必要时，承包人应按监理人指示的内容和期限，并根据合同进度计划的进度控制要求，编制单位工程进度计划，提交监理人审批。</w:t>
      </w:r>
    </w:p>
    <w:p w14:paraId="1CA55C6B">
      <w:pPr>
        <w:pStyle w:val="318"/>
        <w:spacing w:line="360" w:lineRule="auto"/>
        <w:rPr>
          <w:rFonts w:ascii="宋体" w:cs="宋体"/>
          <w:sz w:val="21"/>
          <w:szCs w:val="21"/>
        </w:rPr>
      </w:pPr>
      <w:bookmarkStart w:id="881" w:name="_Toc256000332"/>
      <w:bookmarkStart w:id="882" w:name="_Toc13436"/>
      <w:bookmarkStart w:id="883" w:name="bookmark1161"/>
      <w:bookmarkStart w:id="884" w:name="_Toc15230"/>
      <w:bookmarkStart w:id="885" w:name="bookmark1162"/>
      <w:bookmarkStart w:id="886" w:name="bookmark1163"/>
      <w:bookmarkStart w:id="887" w:name="_Toc5993"/>
      <w:bookmarkStart w:id="888" w:name="_Toc256000082"/>
      <w:bookmarkStart w:id="889" w:name="_Toc18009"/>
      <w:r>
        <w:rPr>
          <w:rFonts w:ascii="宋体" w:hAnsi="宋体" w:cs="宋体"/>
          <w:sz w:val="21"/>
          <w:szCs w:val="21"/>
        </w:rPr>
        <w:t>10.4</w:t>
      </w:r>
      <w:r>
        <w:rPr>
          <w:rFonts w:hint="eastAsia" w:ascii="宋体" w:hAnsi="宋体" w:cs="宋体"/>
          <w:sz w:val="21"/>
          <w:szCs w:val="21"/>
        </w:rPr>
        <w:t>提交资金流估算表</w:t>
      </w:r>
      <w:bookmarkEnd w:id="881"/>
      <w:bookmarkEnd w:id="882"/>
      <w:bookmarkEnd w:id="883"/>
      <w:bookmarkEnd w:id="884"/>
      <w:bookmarkEnd w:id="885"/>
      <w:bookmarkEnd w:id="886"/>
      <w:bookmarkEnd w:id="887"/>
      <w:bookmarkEnd w:id="888"/>
      <w:bookmarkEnd w:id="889"/>
    </w:p>
    <w:p w14:paraId="671BC278">
      <w:pPr>
        <w:pStyle w:val="319"/>
        <w:spacing w:after="340"/>
        <w:ind w:firstLine="420"/>
        <w:rPr>
          <w:rFonts w:cs="Times New Roman"/>
          <w:sz w:val="21"/>
          <w:szCs w:val="21"/>
        </w:rPr>
      </w:pPr>
      <w:r>
        <w:rPr>
          <w:rFonts w:hint="eastAsia"/>
          <w:sz w:val="21"/>
          <w:szCs w:val="21"/>
        </w:rPr>
        <w:t>承包人应在按第</w:t>
      </w:r>
      <w:r>
        <w:rPr>
          <w:sz w:val="21"/>
          <w:szCs w:val="21"/>
          <w:lang w:val="en-US"/>
        </w:rPr>
        <w:t xml:space="preserve">10. </w:t>
      </w:r>
      <w:r>
        <w:rPr>
          <w:sz w:val="21"/>
          <w:szCs w:val="21"/>
        </w:rPr>
        <w:t>1</w:t>
      </w:r>
      <w:r>
        <w:rPr>
          <w:rFonts w:hint="eastAsia"/>
          <w:sz w:val="21"/>
          <w:szCs w:val="21"/>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55C59BDA">
      <w:pPr>
        <w:pStyle w:val="319"/>
        <w:tabs>
          <w:tab w:val="left" w:pos="3329"/>
        </w:tabs>
        <w:spacing w:after="100"/>
        <w:ind w:firstLine="0"/>
        <w:jc w:val="center"/>
        <w:rPr>
          <w:rFonts w:cs="Times New Roman"/>
          <w:sz w:val="21"/>
          <w:szCs w:val="21"/>
        </w:rPr>
      </w:pPr>
      <w:r>
        <w:rPr>
          <w:sz w:val="21"/>
          <w:szCs w:val="21"/>
          <w:lang w:val="en-US"/>
        </w:rPr>
        <w:t xml:space="preserve">                          </w:t>
      </w:r>
      <w:r>
        <w:rPr>
          <w:rFonts w:hint="eastAsia"/>
          <w:sz w:val="21"/>
          <w:szCs w:val="21"/>
        </w:rPr>
        <w:t>资金流估算表（参考格式）</w:t>
      </w:r>
      <w:r>
        <w:rPr>
          <w:sz w:val="21"/>
          <w:szCs w:val="21"/>
          <w:lang w:val="en-US"/>
        </w:rPr>
        <w:t xml:space="preserve">                   </w:t>
      </w:r>
      <w:r>
        <w:rPr>
          <w:rFonts w:hint="eastAsia"/>
          <w:sz w:val="21"/>
          <w:szCs w:val="21"/>
        </w:rPr>
        <w:t>金额单位：</w:t>
      </w:r>
    </w:p>
    <w:tbl>
      <w:tblPr>
        <w:tblStyle w:val="44"/>
        <w:tblW w:w="0" w:type="auto"/>
        <w:jc w:val="center"/>
        <w:tblLayout w:type="fixed"/>
        <w:tblCellMar>
          <w:top w:w="0" w:type="dxa"/>
          <w:left w:w="10" w:type="dxa"/>
          <w:bottom w:w="0" w:type="dxa"/>
          <w:right w:w="10" w:type="dxa"/>
        </w:tblCellMar>
      </w:tblPr>
      <w:tblGrid>
        <w:gridCol w:w="293"/>
        <w:gridCol w:w="283"/>
        <w:gridCol w:w="1022"/>
        <w:gridCol w:w="1416"/>
        <w:gridCol w:w="1022"/>
        <w:gridCol w:w="1018"/>
        <w:gridCol w:w="1022"/>
        <w:gridCol w:w="451"/>
        <w:gridCol w:w="682"/>
        <w:gridCol w:w="1142"/>
      </w:tblGrid>
      <w:tr w14:paraId="23E3A20F">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vAlign w:val="center"/>
          </w:tcPr>
          <w:p w14:paraId="3831B457">
            <w:pPr>
              <w:pStyle w:val="321"/>
              <w:ind w:firstLine="0"/>
              <w:rPr>
                <w:rFonts w:cs="Times New Roman"/>
                <w:sz w:val="21"/>
                <w:szCs w:val="21"/>
              </w:rPr>
            </w:pPr>
            <w:r>
              <w:rPr>
                <w:rFonts w:hint="eastAsia"/>
                <w:sz w:val="21"/>
                <w:szCs w:val="21"/>
              </w:rPr>
              <w:t>年</w:t>
            </w:r>
          </w:p>
        </w:tc>
        <w:tc>
          <w:tcPr>
            <w:tcW w:w="283" w:type="dxa"/>
            <w:tcBorders>
              <w:top w:val="single" w:color="auto" w:sz="4" w:space="0"/>
              <w:left w:val="single" w:color="auto" w:sz="4" w:space="0"/>
            </w:tcBorders>
            <w:shd w:val="clear" w:color="auto" w:fill="FFFFFF"/>
            <w:vAlign w:val="center"/>
          </w:tcPr>
          <w:p w14:paraId="1A828BF7">
            <w:pPr>
              <w:pStyle w:val="321"/>
              <w:ind w:firstLine="0"/>
              <w:rPr>
                <w:rFonts w:cs="Times New Roman"/>
                <w:sz w:val="21"/>
                <w:szCs w:val="21"/>
              </w:rPr>
            </w:pPr>
            <w:r>
              <w:rPr>
                <w:rFonts w:hint="eastAsia"/>
                <w:sz w:val="21"/>
                <w:szCs w:val="21"/>
              </w:rPr>
              <w:t>月</w:t>
            </w:r>
          </w:p>
        </w:tc>
        <w:tc>
          <w:tcPr>
            <w:tcW w:w="1022" w:type="dxa"/>
            <w:tcBorders>
              <w:top w:val="single" w:color="auto" w:sz="4" w:space="0"/>
              <w:left w:val="single" w:color="auto" w:sz="4" w:space="0"/>
            </w:tcBorders>
            <w:shd w:val="clear" w:color="auto" w:fill="FFFFFF"/>
            <w:vAlign w:val="center"/>
          </w:tcPr>
          <w:p w14:paraId="65ED3E73">
            <w:pPr>
              <w:pStyle w:val="321"/>
              <w:ind w:firstLine="0"/>
              <w:rPr>
                <w:rFonts w:cs="Times New Roman"/>
                <w:sz w:val="21"/>
                <w:szCs w:val="21"/>
              </w:rPr>
            </w:pPr>
            <w:r>
              <w:rPr>
                <w:rFonts w:hint="eastAsia"/>
                <w:sz w:val="21"/>
                <w:szCs w:val="21"/>
              </w:rPr>
              <w:t>工程预付款</w:t>
            </w:r>
          </w:p>
        </w:tc>
        <w:tc>
          <w:tcPr>
            <w:tcW w:w="1416" w:type="dxa"/>
            <w:tcBorders>
              <w:top w:val="single" w:color="auto" w:sz="4" w:space="0"/>
              <w:left w:val="single" w:color="auto" w:sz="4" w:space="0"/>
            </w:tcBorders>
            <w:shd w:val="clear" w:color="auto" w:fill="FFFFFF"/>
            <w:vAlign w:val="center"/>
          </w:tcPr>
          <w:p w14:paraId="1E327F94">
            <w:pPr>
              <w:pStyle w:val="321"/>
              <w:ind w:firstLine="0"/>
              <w:rPr>
                <w:rFonts w:cs="Times New Roman"/>
                <w:sz w:val="21"/>
                <w:szCs w:val="21"/>
              </w:rPr>
            </w:pPr>
            <w:r>
              <w:rPr>
                <w:rFonts w:hint="eastAsia"/>
                <w:sz w:val="21"/>
                <w:szCs w:val="21"/>
              </w:rPr>
              <w:t>完成工作量付款</w:t>
            </w:r>
          </w:p>
        </w:tc>
        <w:tc>
          <w:tcPr>
            <w:tcW w:w="1022" w:type="dxa"/>
            <w:tcBorders>
              <w:top w:val="single" w:color="auto" w:sz="4" w:space="0"/>
              <w:left w:val="single" w:color="auto" w:sz="4" w:space="0"/>
            </w:tcBorders>
            <w:shd w:val="clear" w:color="auto" w:fill="FFFFFF"/>
            <w:vAlign w:val="center"/>
          </w:tcPr>
          <w:p w14:paraId="19FDB308">
            <w:pPr>
              <w:pStyle w:val="321"/>
              <w:ind w:firstLine="0"/>
              <w:rPr>
                <w:rFonts w:cs="Times New Roman"/>
                <w:sz w:val="21"/>
                <w:szCs w:val="21"/>
              </w:rPr>
            </w:pPr>
            <w:r>
              <w:rPr>
                <w:rFonts w:hint="eastAsia"/>
                <w:sz w:val="21"/>
                <w:szCs w:val="21"/>
              </w:rPr>
              <w:t>保留金扣留</w:t>
            </w:r>
          </w:p>
        </w:tc>
        <w:tc>
          <w:tcPr>
            <w:tcW w:w="1018" w:type="dxa"/>
            <w:tcBorders>
              <w:top w:val="single" w:color="auto" w:sz="4" w:space="0"/>
              <w:left w:val="single" w:color="auto" w:sz="4" w:space="0"/>
            </w:tcBorders>
            <w:shd w:val="clear" w:color="auto" w:fill="FFFFFF"/>
            <w:vAlign w:val="center"/>
          </w:tcPr>
          <w:p w14:paraId="062139C2">
            <w:pPr>
              <w:pStyle w:val="321"/>
              <w:ind w:firstLine="0"/>
              <w:jc w:val="right"/>
              <w:rPr>
                <w:rFonts w:cs="Times New Roman"/>
                <w:sz w:val="21"/>
                <w:szCs w:val="21"/>
              </w:rPr>
            </w:pPr>
            <w:r>
              <w:rPr>
                <w:rFonts w:hint="eastAsia"/>
                <w:sz w:val="21"/>
                <w:szCs w:val="21"/>
              </w:rPr>
              <w:t>材料款扣除</w:t>
            </w:r>
          </w:p>
        </w:tc>
        <w:tc>
          <w:tcPr>
            <w:tcW w:w="1022" w:type="dxa"/>
            <w:tcBorders>
              <w:top w:val="single" w:color="auto" w:sz="4" w:space="0"/>
              <w:left w:val="single" w:color="auto" w:sz="4" w:space="0"/>
            </w:tcBorders>
            <w:shd w:val="clear" w:color="auto" w:fill="FFFFFF"/>
            <w:vAlign w:val="center"/>
          </w:tcPr>
          <w:p w14:paraId="40C610E5">
            <w:pPr>
              <w:pStyle w:val="321"/>
              <w:ind w:firstLine="0"/>
              <w:jc w:val="right"/>
              <w:rPr>
                <w:rFonts w:cs="Times New Roman"/>
                <w:sz w:val="21"/>
                <w:szCs w:val="21"/>
              </w:rPr>
            </w:pPr>
            <w:r>
              <w:rPr>
                <w:rFonts w:hint="eastAsia"/>
                <w:sz w:val="21"/>
                <w:szCs w:val="21"/>
              </w:rPr>
              <w:t>预付款扣还</w:t>
            </w:r>
          </w:p>
        </w:tc>
        <w:tc>
          <w:tcPr>
            <w:tcW w:w="451" w:type="dxa"/>
            <w:tcBorders>
              <w:top w:val="single" w:color="auto" w:sz="4" w:space="0"/>
              <w:left w:val="single" w:color="auto" w:sz="4" w:space="0"/>
            </w:tcBorders>
            <w:shd w:val="clear" w:color="auto" w:fill="FFFFFF"/>
            <w:vAlign w:val="center"/>
          </w:tcPr>
          <w:p w14:paraId="55798683">
            <w:pPr>
              <w:pStyle w:val="321"/>
              <w:ind w:firstLine="0"/>
              <w:jc w:val="right"/>
              <w:rPr>
                <w:rFonts w:cs="Times New Roman"/>
                <w:sz w:val="21"/>
                <w:szCs w:val="21"/>
              </w:rPr>
            </w:pPr>
            <w:r>
              <w:rPr>
                <w:rFonts w:hint="eastAsia"/>
                <w:sz w:val="21"/>
                <w:szCs w:val="21"/>
              </w:rPr>
              <w:t>其他</w:t>
            </w:r>
          </w:p>
        </w:tc>
        <w:tc>
          <w:tcPr>
            <w:tcW w:w="682" w:type="dxa"/>
            <w:tcBorders>
              <w:top w:val="single" w:color="auto" w:sz="4" w:space="0"/>
              <w:left w:val="single" w:color="auto" w:sz="4" w:space="0"/>
            </w:tcBorders>
            <w:shd w:val="clear" w:color="auto" w:fill="FFFFFF"/>
            <w:vAlign w:val="center"/>
          </w:tcPr>
          <w:p w14:paraId="774B7754">
            <w:pPr>
              <w:pStyle w:val="321"/>
              <w:ind w:firstLine="0"/>
              <w:jc w:val="right"/>
              <w:rPr>
                <w:rFonts w:cs="Times New Roman"/>
                <w:sz w:val="21"/>
                <w:szCs w:val="21"/>
              </w:rPr>
            </w:pPr>
            <w:r>
              <w:rPr>
                <w:rFonts w:hint="eastAsia"/>
                <w:sz w:val="21"/>
                <w:szCs w:val="21"/>
              </w:rPr>
              <w:t>应收款</w:t>
            </w:r>
          </w:p>
        </w:tc>
        <w:tc>
          <w:tcPr>
            <w:tcW w:w="1142" w:type="dxa"/>
            <w:tcBorders>
              <w:top w:val="single" w:color="auto" w:sz="4" w:space="0"/>
              <w:left w:val="single" w:color="auto" w:sz="4" w:space="0"/>
              <w:right w:val="single" w:color="auto" w:sz="4" w:space="0"/>
            </w:tcBorders>
            <w:shd w:val="clear" w:color="auto" w:fill="FFFFFF"/>
            <w:vAlign w:val="center"/>
          </w:tcPr>
          <w:p w14:paraId="5A3F4A62">
            <w:pPr>
              <w:pStyle w:val="321"/>
              <w:ind w:firstLine="0"/>
              <w:jc w:val="center"/>
              <w:rPr>
                <w:rFonts w:cs="Times New Roman"/>
                <w:sz w:val="21"/>
                <w:szCs w:val="21"/>
              </w:rPr>
            </w:pPr>
            <w:r>
              <w:rPr>
                <w:rFonts w:hint="eastAsia"/>
                <w:sz w:val="21"/>
                <w:szCs w:val="21"/>
              </w:rPr>
              <w:t>累计应收款</w:t>
            </w:r>
          </w:p>
        </w:tc>
      </w:tr>
      <w:tr w14:paraId="5AEEC634">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tcPr>
          <w:p w14:paraId="6A2C5AEC">
            <w:pPr>
              <w:pStyle w:val="306"/>
              <w:spacing w:line="360" w:lineRule="auto"/>
              <w:rPr>
                <w:rFonts w:ascii="宋体" w:cs="宋体"/>
              </w:rPr>
            </w:pPr>
          </w:p>
        </w:tc>
        <w:tc>
          <w:tcPr>
            <w:tcW w:w="283" w:type="dxa"/>
            <w:tcBorders>
              <w:top w:val="single" w:color="auto" w:sz="4" w:space="0"/>
              <w:left w:val="single" w:color="auto" w:sz="4" w:space="0"/>
            </w:tcBorders>
            <w:shd w:val="clear" w:color="auto" w:fill="FFFFFF"/>
          </w:tcPr>
          <w:p w14:paraId="4DC49CEB">
            <w:pPr>
              <w:pStyle w:val="306"/>
              <w:spacing w:line="360" w:lineRule="auto"/>
              <w:rPr>
                <w:rFonts w:ascii="宋体" w:cs="宋体"/>
              </w:rPr>
            </w:pPr>
          </w:p>
        </w:tc>
        <w:tc>
          <w:tcPr>
            <w:tcW w:w="1022" w:type="dxa"/>
            <w:tcBorders>
              <w:top w:val="single" w:color="auto" w:sz="4" w:space="0"/>
              <w:left w:val="single" w:color="auto" w:sz="4" w:space="0"/>
            </w:tcBorders>
            <w:shd w:val="clear" w:color="auto" w:fill="FFFFFF"/>
          </w:tcPr>
          <w:p w14:paraId="2BF83463">
            <w:pPr>
              <w:pStyle w:val="306"/>
              <w:spacing w:line="360" w:lineRule="auto"/>
              <w:rPr>
                <w:rFonts w:ascii="宋体" w:cs="宋体"/>
              </w:rPr>
            </w:pPr>
          </w:p>
        </w:tc>
        <w:tc>
          <w:tcPr>
            <w:tcW w:w="1416" w:type="dxa"/>
            <w:tcBorders>
              <w:top w:val="single" w:color="auto" w:sz="4" w:space="0"/>
              <w:left w:val="single" w:color="auto" w:sz="4" w:space="0"/>
            </w:tcBorders>
            <w:shd w:val="clear" w:color="auto" w:fill="FFFFFF"/>
          </w:tcPr>
          <w:p w14:paraId="12A40A01">
            <w:pPr>
              <w:pStyle w:val="306"/>
              <w:spacing w:line="360" w:lineRule="auto"/>
              <w:rPr>
                <w:rFonts w:ascii="宋体" w:cs="宋体"/>
              </w:rPr>
            </w:pPr>
          </w:p>
        </w:tc>
        <w:tc>
          <w:tcPr>
            <w:tcW w:w="1022" w:type="dxa"/>
            <w:tcBorders>
              <w:top w:val="single" w:color="auto" w:sz="4" w:space="0"/>
              <w:left w:val="single" w:color="auto" w:sz="4" w:space="0"/>
            </w:tcBorders>
            <w:shd w:val="clear" w:color="auto" w:fill="FFFFFF"/>
          </w:tcPr>
          <w:p w14:paraId="75D2C9C3">
            <w:pPr>
              <w:pStyle w:val="306"/>
              <w:spacing w:line="360" w:lineRule="auto"/>
              <w:rPr>
                <w:rFonts w:ascii="宋体" w:cs="宋体"/>
              </w:rPr>
            </w:pPr>
          </w:p>
        </w:tc>
        <w:tc>
          <w:tcPr>
            <w:tcW w:w="1018" w:type="dxa"/>
            <w:tcBorders>
              <w:top w:val="single" w:color="auto" w:sz="4" w:space="0"/>
              <w:left w:val="single" w:color="auto" w:sz="4" w:space="0"/>
            </w:tcBorders>
            <w:shd w:val="clear" w:color="auto" w:fill="FFFFFF"/>
          </w:tcPr>
          <w:p w14:paraId="0D384AA1">
            <w:pPr>
              <w:pStyle w:val="306"/>
              <w:spacing w:line="360" w:lineRule="auto"/>
              <w:rPr>
                <w:rFonts w:ascii="宋体" w:cs="宋体"/>
              </w:rPr>
            </w:pPr>
          </w:p>
        </w:tc>
        <w:tc>
          <w:tcPr>
            <w:tcW w:w="1022" w:type="dxa"/>
            <w:tcBorders>
              <w:top w:val="single" w:color="auto" w:sz="4" w:space="0"/>
              <w:left w:val="single" w:color="auto" w:sz="4" w:space="0"/>
            </w:tcBorders>
            <w:shd w:val="clear" w:color="auto" w:fill="FFFFFF"/>
          </w:tcPr>
          <w:p w14:paraId="1CBB9828">
            <w:pPr>
              <w:pStyle w:val="306"/>
              <w:spacing w:line="360" w:lineRule="auto"/>
              <w:rPr>
                <w:rFonts w:ascii="宋体" w:cs="宋体"/>
              </w:rPr>
            </w:pPr>
          </w:p>
        </w:tc>
        <w:tc>
          <w:tcPr>
            <w:tcW w:w="451" w:type="dxa"/>
            <w:tcBorders>
              <w:top w:val="single" w:color="auto" w:sz="4" w:space="0"/>
              <w:left w:val="single" w:color="auto" w:sz="4" w:space="0"/>
            </w:tcBorders>
            <w:shd w:val="clear" w:color="auto" w:fill="FFFFFF"/>
          </w:tcPr>
          <w:p w14:paraId="6F4428B1">
            <w:pPr>
              <w:pStyle w:val="306"/>
              <w:spacing w:line="360" w:lineRule="auto"/>
              <w:rPr>
                <w:rFonts w:ascii="宋体" w:cs="宋体"/>
              </w:rPr>
            </w:pPr>
          </w:p>
        </w:tc>
        <w:tc>
          <w:tcPr>
            <w:tcW w:w="682" w:type="dxa"/>
            <w:tcBorders>
              <w:top w:val="single" w:color="auto" w:sz="4" w:space="0"/>
              <w:left w:val="single" w:color="auto" w:sz="4" w:space="0"/>
            </w:tcBorders>
            <w:shd w:val="clear" w:color="auto" w:fill="FFFFFF"/>
          </w:tcPr>
          <w:p w14:paraId="3542C412">
            <w:pPr>
              <w:pStyle w:val="306"/>
              <w:spacing w:line="360" w:lineRule="auto"/>
              <w:rPr>
                <w:rFonts w:ascii="宋体" w:cs="宋体"/>
              </w:rPr>
            </w:pPr>
          </w:p>
        </w:tc>
        <w:tc>
          <w:tcPr>
            <w:tcW w:w="1142" w:type="dxa"/>
            <w:tcBorders>
              <w:top w:val="single" w:color="auto" w:sz="4" w:space="0"/>
              <w:left w:val="single" w:color="auto" w:sz="4" w:space="0"/>
              <w:right w:val="single" w:color="auto" w:sz="4" w:space="0"/>
            </w:tcBorders>
            <w:shd w:val="clear" w:color="auto" w:fill="FFFFFF"/>
          </w:tcPr>
          <w:p w14:paraId="173853B4">
            <w:pPr>
              <w:pStyle w:val="306"/>
              <w:spacing w:line="360" w:lineRule="auto"/>
              <w:rPr>
                <w:rFonts w:ascii="宋体" w:cs="宋体"/>
              </w:rPr>
            </w:pPr>
          </w:p>
        </w:tc>
      </w:tr>
      <w:tr w14:paraId="75DA9A31">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tcPr>
          <w:p w14:paraId="061CCB06">
            <w:pPr>
              <w:pStyle w:val="306"/>
              <w:spacing w:line="360" w:lineRule="auto"/>
              <w:rPr>
                <w:rFonts w:ascii="宋体" w:cs="宋体"/>
              </w:rPr>
            </w:pPr>
          </w:p>
        </w:tc>
        <w:tc>
          <w:tcPr>
            <w:tcW w:w="283" w:type="dxa"/>
            <w:tcBorders>
              <w:top w:val="single" w:color="auto" w:sz="4" w:space="0"/>
              <w:left w:val="single" w:color="auto" w:sz="4" w:space="0"/>
            </w:tcBorders>
            <w:shd w:val="clear" w:color="auto" w:fill="FFFFFF"/>
          </w:tcPr>
          <w:p w14:paraId="6A119724">
            <w:pPr>
              <w:pStyle w:val="306"/>
              <w:spacing w:line="360" w:lineRule="auto"/>
              <w:rPr>
                <w:rFonts w:ascii="宋体" w:cs="宋体"/>
              </w:rPr>
            </w:pPr>
          </w:p>
        </w:tc>
        <w:tc>
          <w:tcPr>
            <w:tcW w:w="1022" w:type="dxa"/>
            <w:tcBorders>
              <w:top w:val="single" w:color="auto" w:sz="4" w:space="0"/>
              <w:left w:val="single" w:color="auto" w:sz="4" w:space="0"/>
            </w:tcBorders>
            <w:shd w:val="clear" w:color="auto" w:fill="FFFFFF"/>
          </w:tcPr>
          <w:p w14:paraId="6DA78020">
            <w:pPr>
              <w:pStyle w:val="306"/>
              <w:spacing w:line="360" w:lineRule="auto"/>
              <w:rPr>
                <w:rFonts w:ascii="宋体" w:cs="宋体"/>
              </w:rPr>
            </w:pPr>
          </w:p>
        </w:tc>
        <w:tc>
          <w:tcPr>
            <w:tcW w:w="1416" w:type="dxa"/>
            <w:tcBorders>
              <w:top w:val="single" w:color="auto" w:sz="4" w:space="0"/>
              <w:left w:val="single" w:color="auto" w:sz="4" w:space="0"/>
            </w:tcBorders>
            <w:shd w:val="clear" w:color="auto" w:fill="FFFFFF"/>
          </w:tcPr>
          <w:p w14:paraId="1707A432">
            <w:pPr>
              <w:pStyle w:val="306"/>
              <w:spacing w:line="360" w:lineRule="auto"/>
              <w:rPr>
                <w:rFonts w:ascii="宋体" w:cs="宋体"/>
              </w:rPr>
            </w:pPr>
          </w:p>
        </w:tc>
        <w:tc>
          <w:tcPr>
            <w:tcW w:w="1022" w:type="dxa"/>
            <w:tcBorders>
              <w:top w:val="single" w:color="auto" w:sz="4" w:space="0"/>
              <w:left w:val="single" w:color="auto" w:sz="4" w:space="0"/>
            </w:tcBorders>
            <w:shd w:val="clear" w:color="auto" w:fill="FFFFFF"/>
          </w:tcPr>
          <w:p w14:paraId="6A4764B2">
            <w:pPr>
              <w:pStyle w:val="306"/>
              <w:spacing w:line="360" w:lineRule="auto"/>
              <w:rPr>
                <w:rFonts w:ascii="宋体" w:cs="宋体"/>
              </w:rPr>
            </w:pPr>
          </w:p>
        </w:tc>
        <w:tc>
          <w:tcPr>
            <w:tcW w:w="1018" w:type="dxa"/>
            <w:tcBorders>
              <w:top w:val="single" w:color="auto" w:sz="4" w:space="0"/>
              <w:left w:val="single" w:color="auto" w:sz="4" w:space="0"/>
            </w:tcBorders>
            <w:shd w:val="clear" w:color="auto" w:fill="FFFFFF"/>
          </w:tcPr>
          <w:p w14:paraId="0EACBEAD">
            <w:pPr>
              <w:pStyle w:val="306"/>
              <w:spacing w:line="360" w:lineRule="auto"/>
              <w:rPr>
                <w:rFonts w:ascii="宋体" w:cs="宋体"/>
              </w:rPr>
            </w:pPr>
          </w:p>
        </w:tc>
        <w:tc>
          <w:tcPr>
            <w:tcW w:w="1022" w:type="dxa"/>
            <w:tcBorders>
              <w:top w:val="single" w:color="auto" w:sz="4" w:space="0"/>
              <w:left w:val="single" w:color="auto" w:sz="4" w:space="0"/>
            </w:tcBorders>
            <w:shd w:val="clear" w:color="auto" w:fill="FFFFFF"/>
          </w:tcPr>
          <w:p w14:paraId="539E6995">
            <w:pPr>
              <w:pStyle w:val="306"/>
              <w:spacing w:line="360" w:lineRule="auto"/>
              <w:rPr>
                <w:rFonts w:ascii="宋体" w:cs="宋体"/>
              </w:rPr>
            </w:pPr>
          </w:p>
        </w:tc>
        <w:tc>
          <w:tcPr>
            <w:tcW w:w="451" w:type="dxa"/>
            <w:tcBorders>
              <w:top w:val="single" w:color="auto" w:sz="4" w:space="0"/>
              <w:left w:val="single" w:color="auto" w:sz="4" w:space="0"/>
            </w:tcBorders>
            <w:shd w:val="clear" w:color="auto" w:fill="FFFFFF"/>
          </w:tcPr>
          <w:p w14:paraId="2F2215EB">
            <w:pPr>
              <w:pStyle w:val="306"/>
              <w:spacing w:line="360" w:lineRule="auto"/>
              <w:rPr>
                <w:rFonts w:ascii="宋体" w:cs="宋体"/>
              </w:rPr>
            </w:pPr>
          </w:p>
        </w:tc>
        <w:tc>
          <w:tcPr>
            <w:tcW w:w="682" w:type="dxa"/>
            <w:tcBorders>
              <w:top w:val="single" w:color="auto" w:sz="4" w:space="0"/>
              <w:left w:val="single" w:color="auto" w:sz="4" w:space="0"/>
            </w:tcBorders>
            <w:shd w:val="clear" w:color="auto" w:fill="FFFFFF"/>
          </w:tcPr>
          <w:p w14:paraId="77DEB117">
            <w:pPr>
              <w:pStyle w:val="306"/>
              <w:spacing w:line="360" w:lineRule="auto"/>
              <w:rPr>
                <w:rFonts w:ascii="宋体" w:cs="宋体"/>
              </w:rPr>
            </w:pPr>
          </w:p>
        </w:tc>
        <w:tc>
          <w:tcPr>
            <w:tcW w:w="1142" w:type="dxa"/>
            <w:tcBorders>
              <w:top w:val="single" w:color="auto" w:sz="4" w:space="0"/>
              <w:left w:val="single" w:color="auto" w:sz="4" w:space="0"/>
              <w:right w:val="single" w:color="auto" w:sz="4" w:space="0"/>
            </w:tcBorders>
            <w:shd w:val="clear" w:color="auto" w:fill="FFFFFF"/>
          </w:tcPr>
          <w:p w14:paraId="44F464F4">
            <w:pPr>
              <w:pStyle w:val="306"/>
              <w:spacing w:line="360" w:lineRule="auto"/>
              <w:rPr>
                <w:rFonts w:ascii="宋体" w:cs="宋体"/>
              </w:rPr>
            </w:pPr>
          </w:p>
        </w:tc>
      </w:tr>
      <w:tr w14:paraId="6752FD6A">
        <w:tblPrEx>
          <w:tblCellMar>
            <w:top w:w="0" w:type="dxa"/>
            <w:left w:w="10" w:type="dxa"/>
            <w:bottom w:w="0" w:type="dxa"/>
            <w:right w:w="10" w:type="dxa"/>
          </w:tblCellMar>
        </w:tblPrEx>
        <w:trPr>
          <w:trHeight w:val="461" w:hRule="exact"/>
          <w:jc w:val="center"/>
        </w:trPr>
        <w:tc>
          <w:tcPr>
            <w:tcW w:w="293" w:type="dxa"/>
            <w:tcBorders>
              <w:top w:val="single" w:color="auto" w:sz="4" w:space="0"/>
              <w:left w:val="single" w:color="auto" w:sz="4" w:space="0"/>
              <w:bottom w:val="single" w:color="auto" w:sz="4" w:space="0"/>
            </w:tcBorders>
            <w:shd w:val="clear" w:color="auto" w:fill="FFFFFF"/>
          </w:tcPr>
          <w:p w14:paraId="19CD6D83">
            <w:pPr>
              <w:pStyle w:val="306"/>
              <w:spacing w:line="360" w:lineRule="auto"/>
              <w:rPr>
                <w:rFonts w:ascii="宋体" w:cs="宋体"/>
              </w:rPr>
            </w:pPr>
          </w:p>
        </w:tc>
        <w:tc>
          <w:tcPr>
            <w:tcW w:w="283" w:type="dxa"/>
            <w:tcBorders>
              <w:top w:val="single" w:color="auto" w:sz="4" w:space="0"/>
              <w:left w:val="single" w:color="auto" w:sz="4" w:space="0"/>
              <w:bottom w:val="single" w:color="auto" w:sz="4" w:space="0"/>
            </w:tcBorders>
            <w:shd w:val="clear" w:color="auto" w:fill="FFFFFF"/>
          </w:tcPr>
          <w:p w14:paraId="5DCCD598">
            <w:pPr>
              <w:pStyle w:val="306"/>
              <w:spacing w:line="360" w:lineRule="auto"/>
              <w:rPr>
                <w:rFonts w:ascii="宋体" w:cs="宋体"/>
              </w:rPr>
            </w:pPr>
          </w:p>
        </w:tc>
        <w:tc>
          <w:tcPr>
            <w:tcW w:w="1022" w:type="dxa"/>
            <w:tcBorders>
              <w:top w:val="single" w:color="auto" w:sz="4" w:space="0"/>
              <w:left w:val="single" w:color="auto" w:sz="4" w:space="0"/>
              <w:bottom w:val="single" w:color="auto" w:sz="4" w:space="0"/>
            </w:tcBorders>
            <w:shd w:val="clear" w:color="auto" w:fill="FFFFFF"/>
          </w:tcPr>
          <w:p w14:paraId="0177288D">
            <w:pPr>
              <w:pStyle w:val="306"/>
              <w:spacing w:line="360" w:lineRule="auto"/>
              <w:rPr>
                <w:rFonts w:ascii="宋体" w:cs="宋体"/>
              </w:rPr>
            </w:pPr>
          </w:p>
        </w:tc>
        <w:tc>
          <w:tcPr>
            <w:tcW w:w="1416" w:type="dxa"/>
            <w:tcBorders>
              <w:top w:val="single" w:color="auto" w:sz="4" w:space="0"/>
              <w:left w:val="single" w:color="auto" w:sz="4" w:space="0"/>
              <w:bottom w:val="single" w:color="auto" w:sz="4" w:space="0"/>
            </w:tcBorders>
            <w:shd w:val="clear" w:color="auto" w:fill="FFFFFF"/>
          </w:tcPr>
          <w:p w14:paraId="53544D0F">
            <w:pPr>
              <w:pStyle w:val="306"/>
              <w:spacing w:line="360" w:lineRule="auto"/>
              <w:rPr>
                <w:rFonts w:ascii="宋体" w:cs="宋体"/>
              </w:rPr>
            </w:pPr>
          </w:p>
        </w:tc>
        <w:tc>
          <w:tcPr>
            <w:tcW w:w="1022" w:type="dxa"/>
            <w:tcBorders>
              <w:top w:val="single" w:color="auto" w:sz="4" w:space="0"/>
              <w:left w:val="single" w:color="auto" w:sz="4" w:space="0"/>
              <w:bottom w:val="single" w:color="auto" w:sz="4" w:space="0"/>
            </w:tcBorders>
            <w:shd w:val="clear" w:color="auto" w:fill="FFFFFF"/>
          </w:tcPr>
          <w:p w14:paraId="573DD6A4">
            <w:pPr>
              <w:pStyle w:val="306"/>
              <w:spacing w:line="360" w:lineRule="auto"/>
              <w:rPr>
                <w:rFonts w:ascii="宋体" w:cs="宋体"/>
              </w:rPr>
            </w:pPr>
          </w:p>
        </w:tc>
        <w:tc>
          <w:tcPr>
            <w:tcW w:w="1018" w:type="dxa"/>
            <w:tcBorders>
              <w:top w:val="single" w:color="auto" w:sz="4" w:space="0"/>
              <w:left w:val="single" w:color="auto" w:sz="4" w:space="0"/>
              <w:bottom w:val="single" w:color="auto" w:sz="4" w:space="0"/>
            </w:tcBorders>
            <w:shd w:val="clear" w:color="auto" w:fill="FFFFFF"/>
          </w:tcPr>
          <w:p w14:paraId="7E35C046">
            <w:pPr>
              <w:pStyle w:val="306"/>
              <w:spacing w:line="360" w:lineRule="auto"/>
              <w:rPr>
                <w:rFonts w:ascii="宋体" w:cs="宋体"/>
              </w:rPr>
            </w:pPr>
          </w:p>
        </w:tc>
        <w:tc>
          <w:tcPr>
            <w:tcW w:w="1022" w:type="dxa"/>
            <w:tcBorders>
              <w:top w:val="single" w:color="auto" w:sz="4" w:space="0"/>
              <w:left w:val="single" w:color="auto" w:sz="4" w:space="0"/>
              <w:bottom w:val="single" w:color="auto" w:sz="4" w:space="0"/>
            </w:tcBorders>
            <w:shd w:val="clear" w:color="auto" w:fill="FFFFFF"/>
          </w:tcPr>
          <w:p w14:paraId="3482E1C3">
            <w:pPr>
              <w:pStyle w:val="306"/>
              <w:spacing w:line="360" w:lineRule="auto"/>
              <w:rPr>
                <w:rFonts w:ascii="宋体" w:cs="宋体"/>
              </w:rPr>
            </w:pPr>
          </w:p>
        </w:tc>
        <w:tc>
          <w:tcPr>
            <w:tcW w:w="451" w:type="dxa"/>
            <w:tcBorders>
              <w:top w:val="single" w:color="auto" w:sz="4" w:space="0"/>
              <w:left w:val="single" w:color="auto" w:sz="4" w:space="0"/>
              <w:bottom w:val="single" w:color="auto" w:sz="4" w:space="0"/>
            </w:tcBorders>
            <w:shd w:val="clear" w:color="auto" w:fill="FFFFFF"/>
          </w:tcPr>
          <w:p w14:paraId="30DC19B0">
            <w:pPr>
              <w:pStyle w:val="306"/>
              <w:spacing w:line="360" w:lineRule="auto"/>
              <w:rPr>
                <w:rFonts w:ascii="宋体" w:cs="宋体"/>
              </w:rPr>
            </w:pPr>
          </w:p>
        </w:tc>
        <w:tc>
          <w:tcPr>
            <w:tcW w:w="682" w:type="dxa"/>
            <w:tcBorders>
              <w:top w:val="single" w:color="auto" w:sz="4" w:space="0"/>
              <w:left w:val="single" w:color="auto" w:sz="4" w:space="0"/>
              <w:bottom w:val="single" w:color="auto" w:sz="4" w:space="0"/>
            </w:tcBorders>
            <w:shd w:val="clear" w:color="auto" w:fill="FFFFFF"/>
          </w:tcPr>
          <w:p w14:paraId="55015E18">
            <w:pPr>
              <w:pStyle w:val="306"/>
              <w:spacing w:line="360" w:lineRule="auto"/>
              <w:rPr>
                <w:rFonts w:ascii="宋体" w:cs="宋体"/>
              </w:rPr>
            </w:pPr>
          </w:p>
        </w:tc>
        <w:tc>
          <w:tcPr>
            <w:tcW w:w="1142" w:type="dxa"/>
            <w:tcBorders>
              <w:top w:val="single" w:color="auto" w:sz="4" w:space="0"/>
              <w:left w:val="single" w:color="auto" w:sz="4" w:space="0"/>
              <w:bottom w:val="single" w:color="auto" w:sz="4" w:space="0"/>
              <w:right w:val="single" w:color="auto" w:sz="4" w:space="0"/>
            </w:tcBorders>
            <w:shd w:val="clear" w:color="auto" w:fill="FFFFFF"/>
          </w:tcPr>
          <w:p w14:paraId="362B0F3C">
            <w:pPr>
              <w:pStyle w:val="306"/>
              <w:spacing w:line="360" w:lineRule="auto"/>
              <w:rPr>
                <w:rFonts w:ascii="宋体" w:cs="宋体"/>
              </w:rPr>
            </w:pPr>
          </w:p>
        </w:tc>
      </w:tr>
    </w:tbl>
    <w:p w14:paraId="76F30179">
      <w:pPr>
        <w:pStyle w:val="306"/>
        <w:spacing w:after="579" w:line="360" w:lineRule="auto"/>
        <w:rPr>
          <w:rFonts w:ascii="宋体" w:cs="宋体"/>
        </w:rPr>
      </w:pPr>
    </w:p>
    <w:p w14:paraId="5FDB8C43">
      <w:pPr>
        <w:pStyle w:val="318"/>
        <w:spacing w:line="360" w:lineRule="auto"/>
        <w:rPr>
          <w:rFonts w:ascii="宋体" w:cs="宋体"/>
          <w:sz w:val="21"/>
          <w:szCs w:val="21"/>
        </w:rPr>
      </w:pPr>
      <w:bookmarkStart w:id="890" w:name="bookmark1166"/>
      <w:bookmarkEnd w:id="890"/>
      <w:bookmarkStart w:id="891" w:name="_Toc256000083"/>
      <w:bookmarkStart w:id="892" w:name="_Toc24903"/>
      <w:bookmarkStart w:id="893" w:name="bookmark1165"/>
      <w:bookmarkStart w:id="894" w:name="_Toc14490"/>
      <w:bookmarkStart w:id="895" w:name="_Toc27910"/>
      <w:bookmarkStart w:id="896" w:name="_Toc256000333"/>
      <w:bookmarkStart w:id="897" w:name="_Toc14211"/>
      <w:bookmarkStart w:id="898" w:name="bookmark1167"/>
      <w:bookmarkStart w:id="899" w:name="bookmark1164"/>
      <w:r>
        <w:rPr>
          <w:rFonts w:ascii="宋体" w:hAnsi="宋体" w:cs="宋体"/>
          <w:sz w:val="21"/>
          <w:szCs w:val="21"/>
        </w:rPr>
        <w:t xml:space="preserve">11. </w:t>
      </w:r>
      <w:r>
        <w:rPr>
          <w:rFonts w:hint="eastAsia" w:ascii="宋体" w:hAnsi="宋体" w:cs="宋体"/>
          <w:sz w:val="21"/>
          <w:szCs w:val="21"/>
        </w:rPr>
        <w:t>开工和竣工（完工）</w:t>
      </w:r>
      <w:bookmarkEnd w:id="891"/>
      <w:bookmarkEnd w:id="892"/>
      <w:bookmarkEnd w:id="893"/>
      <w:bookmarkEnd w:id="894"/>
      <w:bookmarkEnd w:id="895"/>
      <w:bookmarkEnd w:id="896"/>
      <w:bookmarkEnd w:id="897"/>
      <w:bookmarkEnd w:id="898"/>
      <w:bookmarkEnd w:id="899"/>
    </w:p>
    <w:p w14:paraId="005C43CE">
      <w:pPr>
        <w:pStyle w:val="318"/>
        <w:spacing w:line="360" w:lineRule="auto"/>
        <w:rPr>
          <w:rFonts w:ascii="宋体" w:cs="宋体"/>
          <w:sz w:val="21"/>
          <w:szCs w:val="21"/>
        </w:rPr>
      </w:pPr>
      <w:bookmarkStart w:id="900" w:name="bookmark1169"/>
      <w:bookmarkStart w:id="901" w:name="_Toc21224"/>
      <w:bookmarkStart w:id="902" w:name="_Toc256000334"/>
      <w:bookmarkStart w:id="903" w:name="_Toc23713"/>
      <w:bookmarkStart w:id="904" w:name="_Toc6149"/>
      <w:bookmarkStart w:id="905" w:name="bookmark1170"/>
      <w:bookmarkStart w:id="906" w:name="bookmark1168"/>
      <w:bookmarkStart w:id="907" w:name="_Toc6245"/>
      <w:bookmarkStart w:id="908" w:name="_Toc256000084"/>
      <w:r>
        <w:rPr>
          <w:rFonts w:ascii="宋体" w:hAnsi="宋体" w:cs="宋体"/>
          <w:sz w:val="21"/>
          <w:szCs w:val="21"/>
        </w:rPr>
        <w:t xml:space="preserve">11.1 </w:t>
      </w:r>
      <w:r>
        <w:rPr>
          <w:rFonts w:hint="eastAsia" w:ascii="宋体" w:hAnsi="宋体" w:cs="宋体"/>
          <w:sz w:val="21"/>
          <w:szCs w:val="21"/>
        </w:rPr>
        <w:t>开工</w:t>
      </w:r>
      <w:bookmarkEnd w:id="900"/>
      <w:bookmarkEnd w:id="901"/>
      <w:bookmarkEnd w:id="902"/>
      <w:bookmarkEnd w:id="903"/>
      <w:bookmarkEnd w:id="904"/>
      <w:bookmarkEnd w:id="905"/>
      <w:bookmarkEnd w:id="906"/>
      <w:bookmarkEnd w:id="907"/>
      <w:bookmarkEnd w:id="908"/>
    </w:p>
    <w:p w14:paraId="30B76B7F">
      <w:pPr>
        <w:pStyle w:val="319"/>
        <w:ind w:firstLine="420"/>
        <w:rPr>
          <w:rFonts w:cs="Times New Roman"/>
          <w:sz w:val="21"/>
          <w:szCs w:val="21"/>
        </w:rPr>
      </w:pPr>
      <w:r>
        <w:rPr>
          <w:sz w:val="21"/>
          <w:szCs w:val="21"/>
          <w:lang w:val="en-US"/>
        </w:rPr>
        <w:t>11.1.1</w:t>
      </w:r>
      <w:r>
        <w:rPr>
          <w:rFonts w:hint="eastAsia"/>
          <w:sz w:val="21"/>
          <w:szCs w:val="21"/>
        </w:rPr>
        <w:t>监理人应在开工日期</w:t>
      </w:r>
      <w:r>
        <w:rPr>
          <w:sz w:val="21"/>
          <w:szCs w:val="21"/>
        </w:rPr>
        <w:t>7</w:t>
      </w:r>
      <w:r>
        <w:rPr>
          <w:rFonts w:hint="eastAsia"/>
          <w:sz w:val="21"/>
          <w:szCs w:val="21"/>
        </w:rPr>
        <w:t>天前向承包人发出开工通知。监理人在发出开工通知前应获得发包人同意。工期自监理人发出的开工通知中载明的开工日期起计算。承包人应</w:t>
      </w:r>
      <w:r>
        <w:rPr>
          <w:sz w:val="21"/>
          <w:szCs w:val="21"/>
        </w:rPr>
        <w:t xml:space="preserve"> </w:t>
      </w:r>
      <w:r>
        <w:rPr>
          <w:rFonts w:hint="eastAsia"/>
          <w:sz w:val="21"/>
          <w:szCs w:val="21"/>
        </w:rPr>
        <w:t>在开工日期后尽快施工。</w:t>
      </w:r>
    </w:p>
    <w:p w14:paraId="73DF2ED1">
      <w:pPr>
        <w:pStyle w:val="319"/>
        <w:ind w:firstLine="420"/>
        <w:rPr>
          <w:rFonts w:cs="Times New Roman"/>
          <w:sz w:val="21"/>
          <w:szCs w:val="21"/>
        </w:rPr>
      </w:pPr>
      <w:r>
        <w:rPr>
          <w:sz w:val="21"/>
          <w:szCs w:val="21"/>
          <w:lang w:val="en-US"/>
        </w:rPr>
        <w:t>11.1.</w:t>
      </w:r>
      <w:r>
        <w:rPr>
          <w:sz w:val="21"/>
          <w:szCs w:val="21"/>
        </w:rPr>
        <w:t>2</w:t>
      </w:r>
      <w:r>
        <w:rPr>
          <w:rFonts w:hint="eastAsia"/>
          <w:sz w:val="21"/>
          <w:szCs w:val="21"/>
        </w:rPr>
        <w:t>承包人应按第</w:t>
      </w:r>
      <w:r>
        <w:rPr>
          <w:sz w:val="21"/>
          <w:szCs w:val="21"/>
          <w:lang w:val="en-US"/>
        </w:rPr>
        <w:t xml:space="preserve">10. </w:t>
      </w:r>
      <w:r>
        <w:rPr>
          <w:sz w:val="21"/>
          <w:szCs w:val="21"/>
        </w:rPr>
        <w:t>1</w:t>
      </w:r>
      <w:r>
        <w:rPr>
          <w:rFonts w:hint="eastAsia"/>
          <w:sz w:val="21"/>
          <w:szCs w:val="21"/>
        </w:rPr>
        <w:t>款约定的合同进度计划，向监理人提交工程开工报审表</w:t>
      </w:r>
      <w:r>
        <w:rPr>
          <w:sz w:val="21"/>
          <w:szCs w:val="21"/>
        </w:rPr>
        <w:t xml:space="preserve">, </w:t>
      </w:r>
      <w:r>
        <w:rPr>
          <w:rFonts w:hint="eastAsia"/>
          <w:sz w:val="21"/>
          <w:szCs w:val="21"/>
        </w:rPr>
        <w:t>经监理人审批后执行。开工报审表应详细说明按合同进度计划正常施工所需的施工道路、临时设施、材料设备、施工人员等施工组织措施的落实情况以及工程的进度安排。</w:t>
      </w:r>
    </w:p>
    <w:p w14:paraId="48621F6A">
      <w:pPr>
        <w:pStyle w:val="319"/>
        <w:ind w:firstLine="420"/>
        <w:rPr>
          <w:rFonts w:cs="Times New Roman"/>
          <w:sz w:val="21"/>
          <w:szCs w:val="21"/>
        </w:rPr>
      </w:pPr>
      <w:r>
        <w:rPr>
          <w:sz w:val="21"/>
          <w:szCs w:val="21"/>
          <w:lang w:val="en-US"/>
        </w:rPr>
        <w:t>11.1.3</w:t>
      </w:r>
      <w:r>
        <w:rPr>
          <w:rFonts w:hint="eastAsia"/>
          <w:sz w:val="21"/>
          <w:szCs w:val="21"/>
        </w:rPr>
        <w:t>若发包人未能按合同约定向承包人提供开工的必要条件，承包人有权要求延</w:t>
      </w:r>
      <w:r>
        <w:rPr>
          <w:sz w:val="21"/>
          <w:szCs w:val="21"/>
        </w:rPr>
        <w:t xml:space="preserve"> </w:t>
      </w:r>
      <w:r>
        <w:rPr>
          <w:rFonts w:hint="eastAsia"/>
          <w:sz w:val="21"/>
          <w:szCs w:val="21"/>
        </w:rPr>
        <w:t>长工期。监理人应在收到承包人的书面要求后，按第</w:t>
      </w:r>
      <w:r>
        <w:rPr>
          <w:sz w:val="21"/>
          <w:szCs w:val="21"/>
          <w:lang w:val="en-US"/>
        </w:rPr>
        <w:t xml:space="preserve">3. </w:t>
      </w:r>
      <w:r>
        <w:rPr>
          <w:sz w:val="21"/>
          <w:szCs w:val="21"/>
        </w:rPr>
        <w:t>5</w:t>
      </w:r>
      <w:r>
        <w:rPr>
          <w:rFonts w:hint="eastAsia"/>
          <w:sz w:val="21"/>
          <w:szCs w:val="21"/>
        </w:rPr>
        <w:t>款的约定，与合同双方商定或确定增加的费用和延长的工期。</w:t>
      </w:r>
    </w:p>
    <w:p w14:paraId="42BD9CD5">
      <w:pPr>
        <w:pStyle w:val="319"/>
        <w:spacing w:after="140"/>
        <w:ind w:firstLine="420"/>
        <w:rPr>
          <w:rFonts w:cs="Times New Roman"/>
          <w:sz w:val="21"/>
          <w:szCs w:val="21"/>
        </w:rPr>
      </w:pPr>
      <w:r>
        <w:rPr>
          <w:sz w:val="21"/>
          <w:szCs w:val="21"/>
          <w:lang w:val="en-US"/>
        </w:rPr>
        <w:t>11.1.4</w:t>
      </w:r>
      <w:r>
        <w:rPr>
          <w:rFonts w:hint="eastAsia"/>
          <w:sz w:val="21"/>
          <w:szCs w:val="21"/>
        </w:rPr>
        <w:t>承包人在接到开工通知后</w:t>
      </w:r>
      <w:r>
        <w:rPr>
          <w:sz w:val="21"/>
          <w:szCs w:val="21"/>
        </w:rPr>
        <w:t>14</w:t>
      </w:r>
      <w:r>
        <w:rPr>
          <w:rFonts w:hint="eastAsia"/>
          <w:sz w:val="21"/>
          <w:szCs w:val="21"/>
        </w:rPr>
        <w:t>天内未按进度计划要求及时进场组织施工，监理人可通知承包人在接到通知后</w:t>
      </w:r>
      <w:r>
        <w:rPr>
          <w:sz w:val="21"/>
          <w:szCs w:val="21"/>
        </w:rPr>
        <w:t>7</w:t>
      </w:r>
      <w:r>
        <w:rPr>
          <w:rFonts w:hint="eastAsia"/>
          <w:sz w:val="21"/>
          <w:szCs w:val="21"/>
        </w:rPr>
        <w:t>天内提交一份说明其进场延误的书面报告，报送监理人。书面报告应说明不能及时进场的原因和补救措施，由此增加的费用和工期延误责任由承包人承担。</w:t>
      </w:r>
    </w:p>
    <w:p w14:paraId="24F18925">
      <w:pPr>
        <w:pStyle w:val="318"/>
        <w:spacing w:line="360" w:lineRule="auto"/>
        <w:rPr>
          <w:rFonts w:ascii="宋体" w:hAnsi="宋体" w:cs="宋体"/>
          <w:sz w:val="21"/>
          <w:szCs w:val="21"/>
        </w:rPr>
      </w:pPr>
      <w:bookmarkStart w:id="909" w:name="bookmark1173"/>
      <w:bookmarkStart w:id="910" w:name="_Toc27905"/>
      <w:bookmarkStart w:id="911" w:name="_Toc256000085"/>
      <w:bookmarkStart w:id="912" w:name="bookmark1172"/>
      <w:bookmarkStart w:id="913" w:name="_Toc29025"/>
      <w:bookmarkStart w:id="914" w:name="_Toc256000335"/>
      <w:bookmarkStart w:id="915" w:name="_Toc519"/>
      <w:bookmarkStart w:id="916" w:name="bookmark1171"/>
      <w:bookmarkStart w:id="917" w:name="_Toc19403"/>
      <w:r>
        <w:rPr>
          <w:rFonts w:ascii="宋体" w:hAnsi="宋体" w:cs="宋体"/>
          <w:sz w:val="21"/>
          <w:szCs w:val="21"/>
        </w:rPr>
        <w:t>11.2</w:t>
      </w:r>
      <w:r>
        <w:rPr>
          <w:rFonts w:hint="eastAsia" w:ascii="宋体" w:hAnsi="宋体" w:cs="宋体"/>
          <w:sz w:val="21"/>
          <w:szCs w:val="21"/>
        </w:rPr>
        <w:t>竣工</w:t>
      </w:r>
      <w:r>
        <w:rPr>
          <w:rFonts w:ascii="宋体" w:hAnsi="宋体" w:cs="宋体"/>
          <w:sz w:val="21"/>
          <w:szCs w:val="21"/>
        </w:rPr>
        <w:t>(</w:t>
      </w:r>
      <w:r>
        <w:rPr>
          <w:rFonts w:hint="eastAsia" w:ascii="宋体" w:hAnsi="宋体" w:cs="宋体"/>
          <w:sz w:val="21"/>
          <w:szCs w:val="21"/>
        </w:rPr>
        <w:t>完工</w:t>
      </w:r>
      <w:r>
        <w:rPr>
          <w:rFonts w:ascii="宋体" w:hAnsi="宋体" w:cs="宋体"/>
          <w:sz w:val="21"/>
          <w:szCs w:val="21"/>
        </w:rPr>
        <w:t>)</w:t>
      </w:r>
      <w:bookmarkEnd w:id="909"/>
      <w:bookmarkEnd w:id="910"/>
      <w:bookmarkEnd w:id="911"/>
      <w:bookmarkEnd w:id="912"/>
      <w:bookmarkEnd w:id="913"/>
      <w:bookmarkEnd w:id="914"/>
      <w:bookmarkEnd w:id="915"/>
      <w:bookmarkEnd w:id="916"/>
      <w:bookmarkEnd w:id="917"/>
    </w:p>
    <w:p w14:paraId="1567E35B">
      <w:pPr>
        <w:pStyle w:val="319"/>
        <w:spacing w:after="140"/>
        <w:ind w:firstLine="440"/>
        <w:rPr>
          <w:rFonts w:cs="Times New Roman"/>
          <w:sz w:val="21"/>
          <w:szCs w:val="21"/>
        </w:rPr>
      </w:pPr>
      <w:r>
        <w:rPr>
          <w:rFonts w:hint="eastAsia"/>
          <w:sz w:val="21"/>
          <w:szCs w:val="21"/>
        </w:rPr>
        <w:t>承包人应在第</w:t>
      </w:r>
      <w:r>
        <w:rPr>
          <w:sz w:val="21"/>
          <w:szCs w:val="21"/>
          <w:lang w:val="en-US"/>
        </w:rPr>
        <w:t xml:space="preserve">1.1. 4. </w:t>
      </w:r>
      <w:r>
        <w:rPr>
          <w:sz w:val="21"/>
          <w:szCs w:val="21"/>
        </w:rPr>
        <w:t>3</w:t>
      </w:r>
      <w:r>
        <w:rPr>
          <w:rFonts w:hint="eastAsia"/>
          <w:sz w:val="21"/>
          <w:szCs w:val="21"/>
        </w:rPr>
        <w:t>目约定的期限内完成合同工程。合同工程实际完工时间在合同工程完工证书中明确（以完工验收鉴定书或竣工验收鉴定书标明的验收日期为准，没有标明验收日期的则以印发鉴定书的日期为准）</w:t>
      </w:r>
      <w:r>
        <w:rPr>
          <w:rFonts w:hint="eastAsia"/>
          <w:sz w:val="21"/>
          <w:szCs w:val="21"/>
          <w:lang w:val="en-US"/>
        </w:rPr>
        <w:t>。</w:t>
      </w:r>
    </w:p>
    <w:p w14:paraId="2D73653F">
      <w:pPr>
        <w:pStyle w:val="318"/>
        <w:spacing w:line="360" w:lineRule="auto"/>
        <w:rPr>
          <w:rFonts w:ascii="宋体" w:cs="宋体"/>
          <w:sz w:val="21"/>
          <w:szCs w:val="21"/>
        </w:rPr>
      </w:pPr>
      <w:bookmarkStart w:id="918" w:name="_Toc467"/>
      <w:bookmarkStart w:id="919" w:name="_Toc28151"/>
      <w:bookmarkStart w:id="920" w:name="_Toc256000086"/>
      <w:bookmarkStart w:id="921" w:name="_Toc7284"/>
      <w:bookmarkStart w:id="922" w:name="_Toc256000336"/>
      <w:bookmarkStart w:id="923" w:name="bookmark1176"/>
      <w:bookmarkStart w:id="924" w:name="bookmark1175"/>
      <w:bookmarkStart w:id="925" w:name="bookmark1174"/>
      <w:bookmarkStart w:id="926" w:name="_Toc1391"/>
      <w:r>
        <w:rPr>
          <w:rFonts w:ascii="宋体" w:hAnsi="宋体" w:cs="宋体"/>
          <w:sz w:val="21"/>
          <w:szCs w:val="21"/>
        </w:rPr>
        <w:t>11.3</w:t>
      </w:r>
      <w:r>
        <w:rPr>
          <w:rFonts w:hint="eastAsia" w:ascii="宋体" w:hAnsi="宋体" w:cs="宋体"/>
          <w:sz w:val="21"/>
          <w:szCs w:val="21"/>
        </w:rPr>
        <w:t>发包人的工期延误</w:t>
      </w:r>
      <w:bookmarkEnd w:id="918"/>
      <w:bookmarkEnd w:id="919"/>
      <w:bookmarkEnd w:id="920"/>
      <w:bookmarkEnd w:id="921"/>
      <w:bookmarkEnd w:id="922"/>
      <w:bookmarkEnd w:id="923"/>
      <w:bookmarkEnd w:id="924"/>
      <w:bookmarkEnd w:id="925"/>
      <w:bookmarkEnd w:id="926"/>
    </w:p>
    <w:p w14:paraId="5A2AEB80">
      <w:pPr>
        <w:pStyle w:val="319"/>
        <w:spacing w:after="140"/>
        <w:ind w:firstLine="440"/>
        <w:rPr>
          <w:rFonts w:cs="Times New Roman"/>
          <w:sz w:val="21"/>
          <w:szCs w:val="21"/>
        </w:rPr>
      </w:pPr>
      <w:r>
        <w:rPr>
          <w:rFonts w:hint="eastAsia"/>
          <w:sz w:val="21"/>
          <w:szCs w:val="21"/>
        </w:rPr>
        <w:t>在履行合同过程中，由于发包人的下列原因造成工期延误的，承包人有权要求发包人延长工期和</w:t>
      </w:r>
      <w:r>
        <w:rPr>
          <w:sz w:val="21"/>
          <w:szCs w:val="21"/>
        </w:rPr>
        <w:t>(</w:t>
      </w:r>
      <w:r>
        <w:rPr>
          <w:rFonts w:hint="eastAsia"/>
          <w:sz w:val="21"/>
          <w:szCs w:val="21"/>
        </w:rPr>
        <w:t>或</w:t>
      </w:r>
      <w:r>
        <w:rPr>
          <w:sz w:val="21"/>
          <w:szCs w:val="21"/>
        </w:rPr>
        <w:t>)</w:t>
      </w:r>
      <w:r>
        <w:rPr>
          <w:rFonts w:hint="eastAsia"/>
          <w:sz w:val="21"/>
          <w:szCs w:val="21"/>
        </w:rPr>
        <w:t>增加费用，并支付合理利润。需要修订合同进度计划的，按照第</w:t>
      </w:r>
      <w:r>
        <w:rPr>
          <w:sz w:val="21"/>
          <w:szCs w:val="21"/>
          <w:lang w:val="en-US"/>
        </w:rPr>
        <w:t>10.2</w:t>
      </w:r>
      <w:r>
        <w:rPr>
          <w:rFonts w:hint="eastAsia"/>
          <w:sz w:val="21"/>
          <w:szCs w:val="21"/>
        </w:rPr>
        <w:t>款的约定办理。</w:t>
      </w:r>
    </w:p>
    <w:p w14:paraId="4FFE9277">
      <w:pPr>
        <w:pStyle w:val="319"/>
        <w:numPr>
          <w:ilvl w:val="0"/>
          <w:numId w:val="4"/>
        </w:numPr>
        <w:tabs>
          <w:tab w:val="left" w:pos="923"/>
        </w:tabs>
        <w:ind w:firstLine="440"/>
        <w:rPr>
          <w:rFonts w:cs="Times New Roman"/>
          <w:sz w:val="21"/>
          <w:szCs w:val="21"/>
        </w:rPr>
      </w:pPr>
      <w:bookmarkStart w:id="927" w:name="bookmark1177"/>
      <w:bookmarkEnd w:id="927"/>
      <w:r>
        <w:rPr>
          <w:rFonts w:hint="eastAsia"/>
          <w:sz w:val="21"/>
          <w:szCs w:val="21"/>
        </w:rPr>
        <w:t>增加合同工作内容；</w:t>
      </w:r>
    </w:p>
    <w:p w14:paraId="565CFCE1">
      <w:pPr>
        <w:pStyle w:val="319"/>
        <w:numPr>
          <w:ilvl w:val="0"/>
          <w:numId w:val="4"/>
        </w:numPr>
        <w:tabs>
          <w:tab w:val="left" w:pos="903"/>
        </w:tabs>
        <w:ind w:firstLine="420"/>
        <w:rPr>
          <w:rFonts w:cs="Times New Roman"/>
          <w:sz w:val="21"/>
          <w:szCs w:val="21"/>
        </w:rPr>
      </w:pPr>
      <w:bookmarkStart w:id="928" w:name="bookmark1178"/>
      <w:bookmarkEnd w:id="928"/>
      <w:r>
        <w:rPr>
          <w:rFonts w:hint="eastAsia"/>
          <w:sz w:val="21"/>
          <w:szCs w:val="21"/>
        </w:rPr>
        <w:t>改变合同中任何一项工作的质量要求或其他特性；</w:t>
      </w:r>
    </w:p>
    <w:p w14:paraId="78069B8F">
      <w:pPr>
        <w:pStyle w:val="319"/>
        <w:numPr>
          <w:ilvl w:val="0"/>
          <w:numId w:val="4"/>
        </w:numPr>
        <w:tabs>
          <w:tab w:val="left" w:pos="903"/>
        </w:tabs>
        <w:ind w:firstLine="420"/>
        <w:rPr>
          <w:rFonts w:cs="Times New Roman"/>
          <w:sz w:val="21"/>
          <w:szCs w:val="21"/>
        </w:rPr>
      </w:pPr>
      <w:bookmarkStart w:id="929" w:name="bookmark1179"/>
      <w:bookmarkEnd w:id="929"/>
      <w:r>
        <w:rPr>
          <w:rFonts w:hint="eastAsia"/>
          <w:sz w:val="21"/>
          <w:szCs w:val="21"/>
        </w:rPr>
        <w:t>发包人迟延提供材料、工程设备或变更交货地点的；</w:t>
      </w:r>
    </w:p>
    <w:p w14:paraId="3B2B02F2">
      <w:pPr>
        <w:pStyle w:val="319"/>
        <w:numPr>
          <w:ilvl w:val="0"/>
          <w:numId w:val="4"/>
        </w:numPr>
        <w:tabs>
          <w:tab w:val="left" w:pos="903"/>
        </w:tabs>
        <w:ind w:firstLine="420"/>
        <w:rPr>
          <w:rFonts w:cs="Times New Roman"/>
          <w:sz w:val="21"/>
          <w:szCs w:val="21"/>
        </w:rPr>
      </w:pPr>
      <w:bookmarkStart w:id="930" w:name="bookmark1180"/>
      <w:bookmarkEnd w:id="930"/>
      <w:r>
        <w:rPr>
          <w:rFonts w:hint="eastAsia"/>
          <w:sz w:val="21"/>
          <w:szCs w:val="21"/>
        </w:rPr>
        <w:t>因发包人原因导致的暂停施工；</w:t>
      </w:r>
    </w:p>
    <w:p w14:paraId="0E6CAD10">
      <w:pPr>
        <w:pStyle w:val="319"/>
        <w:numPr>
          <w:ilvl w:val="0"/>
          <w:numId w:val="4"/>
        </w:numPr>
        <w:tabs>
          <w:tab w:val="left" w:pos="903"/>
        </w:tabs>
        <w:ind w:firstLine="420"/>
        <w:rPr>
          <w:rFonts w:cs="Times New Roman"/>
          <w:sz w:val="21"/>
          <w:szCs w:val="21"/>
        </w:rPr>
      </w:pPr>
      <w:bookmarkStart w:id="931" w:name="bookmark1181"/>
      <w:bookmarkEnd w:id="931"/>
      <w:r>
        <w:rPr>
          <w:rFonts w:hint="eastAsia"/>
          <w:sz w:val="21"/>
          <w:szCs w:val="21"/>
        </w:rPr>
        <w:t>提供图纸延误；</w:t>
      </w:r>
    </w:p>
    <w:p w14:paraId="73FC07E5">
      <w:pPr>
        <w:pStyle w:val="319"/>
        <w:numPr>
          <w:ilvl w:val="0"/>
          <w:numId w:val="4"/>
        </w:numPr>
        <w:tabs>
          <w:tab w:val="left" w:pos="903"/>
        </w:tabs>
        <w:ind w:firstLine="420"/>
        <w:rPr>
          <w:rFonts w:cs="Times New Roman"/>
          <w:sz w:val="21"/>
          <w:szCs w:val="21"/>
        </w:rPr>
      </w:pPr>
      <w:bookmarkStart w:id="932" w:name="bookmark1182"/>
      <w:bookmarkEnd w:id="932"/>
      <w:r>
        <w:rPr>
          <w:rFonts w:hint="eastAsia"/>
          <w:sz w:val="21"/>
          <w:szCs w:val="21"/>
        </w:rPr>
        <w:t>未按合同约定及时支付预付款、进度款；</w:t>
      </w:r>
    </w:p>
    <w:p w14:paraId="0FA36618">
      <w:pPr>
        <w:pStyle w:val="319"/>
        <w:numPr>
          <w:ilvl w:val="0"/>
          <w:numId w:val="4"/>
        </w:numPr>
        <w:tabs>
          <w:tab w:val="left" w:pos="903"/>
        </w:tabs>
        <w:ind w:firstLine="420"/>
        <w:rPr>
          <w:rFonts w:cs="Times New Roman"/>
          <w:sz w:val="21"/>
          <w:szCs w:val="21"/>
        </w:rPr>
      </w:pPr>
      <w:bookmarkStart w:id="933" w:name="bookmark1183"/>
      <w:bookmarkEnd w:id="933"/>
      <w:r>
        <w:rPr>
          <w:rFonts w:hint="eastAsia"/>
          <w:sz w:val="21"/>
          <w:szCs w:val="21"/>
        </w:rPr>
        <w:t>发包人造成工期延误的其他原因。</w:t>
      </w:r>
    </w:p>
    <w:p w14:paraId="2C022030">
      <w:pPr>
        <w:pStyle w:val="318"/>
        <w:spacing w:line="360" w:lineRule="auto"/>
        <w:rPr>
          <w:rFonts w:ascii="宋体" w:cs="宋体"/>
          <w:sz w:val="21"/>
          <w:szCs w:val="21"/>
        </w:rPr>
      </w:pPr>
      <w:bookmarkStart w:id="934" w:name="_Toc256000087"/>
      <w:bookmarkStart w:id="935" w:name="_Toc3208"/>
      <w:bookmarkStart w:id="936" w:name="bookmark1186"/>
      <w:bookmarkStart w:id="937" w:name="_Toc256000337"/>
      <w:bookmarkStart w:id="938" w:name="_Toc14471"/>
      <w:bookmarkStart w:id="939" w:name="_Toc263"/>
      <w:bookmarkStart w:id="940" w:name="_Toc10371"/>
      <w:bookmarkStart w:id="941" w:name="bookmark1185"/>
      <w:bookmarkStart w:id="942" w:name="bookmark1184"/>
      <w:r>
        <w:rPr>
          <w:rFonts w:ascii="宋体" w:hAnsi="宋体" w:cs="宋体"/>
          <w:sz w:val="21"/>
          <w:szCs w:val="21"/>
        </w:rPr>
        <w:t>11.4</w:t>
      </w:r>
      <w:r>
        <w:rPr>
          <w:rFonts w:hint="eastAsia" w:ascii="宋体" w:hAnsi="宋体" w:cs="宋体"/>
          <w:sz w:val="21"/>
          <w:szCs w:val="21"/>
        </w:rPr>
        <w:t>异常恶劣的气候条件</w:t>
      </w:r>
      <w:bookmarkEnd w:id="934"/>
      <w:bookmarkEnd w:id="935"/>
      <w:bookmarkEnd w:id="936"/>
      <w:bookmarkEnd w:id="937"/>
      <w:bookmarkEnd w:id="938"/>
      <w:bookmarkEnd w:id="939"/>
      <w:bookmarkEnd w:id="940"/>
      <w:bookmarkEnd w:id="941"/>
      <w:bookmarkEnd w:id="942"/>
    </w:p>
    <w:p w14:paraId="2FFEEE88">
      <w:pPr>
        <w:pStyle w:val="319"/>
        <w:ind w:firstLine="440"/>
        <w:rPr>
          <w:rFonts w:cs="Times New Roman"/>
          <w:sz w:val="21"/>
          <w:szCs w:val="21"/>
        </w:rPr>
      </w:pPr>
      <w:r>
        <w:rPr>
          <w:sz w:val="21"/>
          <w:szCs w:val="21"/>
          <w:lang w:val="en-US"/>
        </w:rPr>
        <w:t>11.4.1</w:t>
      </w:r>
      <w:r>
        <w:rPr>
          <w:rFonts w:hint="eastAsia"/>
          <w:sz w:val="21"/>
          <w:szCs w:val="21"/>
        </w:rPr>
        <w:t>当工程所在地发生危及施工安全的异常恶劣气候时，发包人和承包人应按本合同通用合同条款第</w:t>
      </w:r>
      <w:r>
        <w:rPr>
          <w:sz w:val="21"/>
          <w:szCs w:val="21"/>
        </w:rPr>
        <w:t>12</w:t>
      </w:r>
      <w:r>
        <w:rPr>
          <w:rFonts w:hint="eastAsia"/>
          <w:sz w:val="21"/>
          <w:szCs w:val="21"/>
        </w:rPr>
        <w:t>条的约定，及时采取暂停施工或部分暂停施工措施。异常恶劣气候条件解除后，承包人应及时安排复工。</w:t>
      </w:r>
    </w:p>
    <w:p w14:paraId="7281D925">
      <w:pPr>
        <w:pStyle w:val="319"/>
        <w:spacing w:after="140"/>
        <w:ind w:firstLine="440"/>
        <w:rPr>
          <w:rFonts w:cs="Times New Roman"/>
          <w:sz w:val="21"/>
          <w:szCs w:val="21"/>
        </w:rPr>
      </w:pPr>
      <w:r>
        <w:rPr>
          <w:sz w:val="21"/>
          <w:szCs w:val="21"/>
          <w:lang w:val="en-US"/>
        </w:rPr>
        <w:t>11.4.2</w:t>
      </w:r>
      <w:r>
        <w:rPr>
          <w:rFonts w:hint="eastAsia"/>
          <w:sz w:val="21"/>
          <w:szCs w:val="21"/>
        </w:rPr>
        <w:t>异常恶劣气候条件造成的工期延误和工程损坏，应由发包人与承包人参照本合同通用合同条款第</w:t>
      </w:r>
      <w:r>
        <w:rPr>
          <w:sz w:val="21"/>
          <w:szCs w:val="21"/>
          <w:lang w:val="en-US"/>
        </w:rPr>
        <w:t xml:space="preserve">21. </w:t>
      </w:r>
      <w:r>
        <w:rPr>
          <w:sz w:val="21"/>
          <w:szCs w:val="21"/>
        </w:rPr>
        <w:t>3</w:t>
      </w:r>
      <w:r>
        <w:rPr>
          <w:rFonts w:hint="eastAsia"/>
          <w:sz w:val="21"/>
          <w:szCs w:val="21"/>
        </w:rPr>
        <w:t>款的约定共同协商处理。</w:t>
      </w:r>
    </w:p>
    <w:p w14:paraId="474D3E03">
      <w:pPr>
        <w:pStyle w:val="319"/>
        <w:ind w:firstLine="420"/>
        <w:rPr>
          <w:rFonts w:cs="Times New Roman"/>
          <w:sz w:val="21"/>
          <w:szCs w:val="21"/>
        </w:rPr>
      </w:pPr>
      <w:r>
        <w:rPr>
          <w:sz w:val="21"/>
          <w:szCs w:val="21"/>
          <w:lang w:val="en-US"/>
        </w:rPr>
        <w:t>11.4.</w:t>
      </w:r>
      <w:r>
        <w:rPr>
          <w:sz w:val="21"/>
          <w:szCs w:val="21"/>
        </w:rPr>
        <w:t>3</w:t>
      </w:r>
      <w:r>
        <w:rPr>
          <w:rFonts w:hint="eastAsia"/>
          <w:sz w:val="21"/>
          <w:szCs w:val="21"/>
        </w:rPr>
        <w:t>本合同工程界定异常恶劣气候条件的范围在专用合同条款中约定。</w:t>
      </w:r>
    </w:p>
    <w:p w14:paraId="5F3F8FC4">
      <w:pPr>
        <w:pStyle w:val="318"/>
        <w:spacing w:line="360" w:lineRule="auto"/>
        <w:rPr>
          <w:rFonts w:ascii="宋体" w:cs="宋体"/>
          <w:sz w:val="21"/>
          <w:szCs w:val="21"/>
        </w:rPr>
      </w:pPr>
      <w:bookmarkStart w:id="943" w:name="_Toc19854"/>
      <w:bookmarkStart w:id="944" w:name="_Toc22626"/>
      <w:bookmarkStart w:id="945" w:name="bookmark1188"/>
      <w:bookmarkStart w:id="946" w:name="_Toc256000088"/>
      <w:bookmarkStart w:id="947" w:name="bookmark1189"/>
      <w:bookmarkStart w:id="948" w:name="_Toc256000338"/>
      <w:bookmarkStart w:id="949" w:name="_Toc1263"/>
      <w:bookmarkStart w:id="950" w:name="_Toc1075"/>
      <w:bookmarkStart w:id="951" w:name="bookmark1187"/>
      <w:r>
        <w:rPr>
          <w:rFonts w:ascii="宋体" w:hAnsi="宋体" w:cs="宋体"/>
          <w:sz w:val="21"/>
          <w:szCs w:val="21"/>
        </w:rPr>
        <w:t>11.5</w:t>
      </w:r>
      <w:r>
        <w:rPr>
          <w:rFonts w:hint="eastAsia" w:ascii="宋体" w:hAnsi="宋体" w:cs="宋体"/>
          <w:sz w:val="21"/>
          <w:szCs w:val="21"/>
        </w:rPr>
        <w:t>承包人工期延误</w:t>
      </w:r>
      <w:bookmarkEnd w:id="943"/>
      <w:bookmarkEnd w:id="944"/>
      <w:bookmarkEnd w:id="945"/>
      <w:bookmarkEnd w:id="946"/>
      <w:bookmarkEnd w:id="947"/>
      <w:bookmarkEnd w:id="948"/>
      <w:bookmarkEnd w:id="949"/>
      <w:bookmarkEnd w:id="950"/>
      <w:bookmarkEnd w:id="951"/>
    </w:p>
    <w:p w14:paraId="4CE5BF63">
      <w:pPr>
        <w:pStyle w:val="319"/>
        <w:spacing w:after="140"/>
        <w:ind w:firstLine="440"/>
        <w:rPr>
          <w:rFonts w:cs="Times New Roman"/>
          <w:sz w:val="21"/>
          <w:szCs w:val="21"/>
        </w:rPr>
      </w:pPr>
      <w:r>
        <w:rPr>
          <w:rFonts w:hint="eastAsia"/>
          <w:sz w:val="21"/>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2C7FF10D">
      <w:pPr>
        <w:pStyle w:val="318"/>
        <w:spacing w:line="360" w:lineRule="auto"/>
        <w:rPr>
          <w:rFonts w:ascii="宋体" w:cs="宋体"/>
          <w:sz w:val="21"/>
          <w:szCs w:val="21"/>
        </w:rPr>
      </w:pPr>
      <w:bookmarkStart w:id="952" w:name="_Toc14969"/>
      <w:bookmarkStart w:id="953" w:name="_Toc256000089"/>
      <w:bookmarkStart w:id="954" w:name="_Toc10429"/>
      <w:bookmarkStart w:id="955" w:name="bookmark1192"/>
      <w:bookmarkStart w:id="956" w:name="bookmark1190"/>
      <w:bookmarkStart w:id="957" w:name="_Toc474"/>
      <w:bookmarkStart w:id="958" w:name="_Toc256000339"/>
      <w:bookmarkStart w:id="959" w:name="_Toc1312"/>
      <w:bookmarkStart w:id="960" w:name="bookmark1191"/>
      <w:r>
        <w:rPr>
          <w:rFonts w:ascii="宋体" w:hAnsi="宋体" w:cs="宋体"/>
          <w:sz w:val="21"/>
          <w:szCs w:val="21"/>
        </w:rPr>
        <w:t>11.6</w:t>
      </w:r>
      <w:r>
        <w:rPr>
          <w:rFonts w:hint="eastAsia" w:ascii="宋体" w:hAnsi="宋体" w:cs="宋体"/>
          <w:sz w:val="21"/>
          <w:szCs w:val="21"/>
        </w:rPr>
        <w:t>工期提前</w:t>
      </w:r>
      <w:bookmarkEnd w:id="952"/>
      <w:bookmarkEnd w:id="953"/>
      <w:bookmarkEnd w:id="954"/>
      <w:bookmarkEnd w:id="955"/>
      <w:bookmarkEnd w:id="956"/>
      <w:bookmarkEnd w:id="957"/>
      <w:bookmarkEnd w:id="958"/>
      <w:bookmarkEnd w:id="959"/>
      <w:bookmarkEnd w:id="960"/>
    </w:p>
    <w:p w14:paraId="3D627F22">
      <w:pPr>
        <w:pStyle w:val="319"/>
        <w:ind w:firstLine="440"/>
        <w:rPr>
          <w:rFonts w:cs="Times New Roman"/>
          <w:sz w:val="21"/>
          <w:szCs w:val="21"/>
        </w:rPr>
      </w:pPr>
      <w:r>
        <w:rPr>
          <w:rFonts w:hint="eastAsia"/>
          <w:sz w:val="21"/>
          <w:szCs w:val="21"/>
        </w:rPr>
        <w:t>发包人要求承包人提前完工，或承包人提出提前完工的建议能够给发包人带来效益的，</w:t>
      </w:r>
      <w:r>
        <w:rPr>
          <w:sz w:val="21"/>
          <w:szCs w:val="21"/>
        </w:rPr>
        <w:t xml:space="preserve"> </w:t>
      </w:r>
      <w:r>
        <w:rPr>
          <w:rFonts w:hint="eastAsia"/>
          <w:sz w:val="21"/>
          <w:szCs w:val="21"/>
        </w:rPr>
        <w:t>应由监理人与承包人共同协商采取加快工程进度的措施和修订合同进度计划。发包人应承担承包人由此增加的费用，并向承包人支付专用合同条款约定的相应奖金。</w:t>
      </w:r>
    </w:p>
    <w:p w14:paraId="0C1B239B">
      <w:pPr>
        <w:pStyle w:val="319"/>
        <w:spacing w:after="140"/>
        <w:ind w:firstLine="420"/>
        <w:rPr>
          <w:rFonts w:cs="Times New Roman"/>
          <w:sz w:val="21"/>
          <w:szCs w:val="21"/>
        </w:rPr>
      </w:pPr>
      <w:r>
        <w:rPr>
          <w:rFonts w:hint="eastAsia"/>
          <w:sz w:val="21"/>
          <w:szCs w:val="21"/>
        </w:rPr>
        <w:t>发包人要求提前完工的，双方协商一致后应签订提前完工协议，协议内容包括：</w:t>
      </w:r>
    </w:p>
    <w:p w14:paraId="07D69931">
      <w:pPr>
        <w:pStyle w:val="319"/>
        <w:numPr>
          <w:ilvl w:val="0"/>
          <w:numId w:val="5"/>
        </w:numPr>
        <w:tabs>
          <w:tab w:val="left" w:pos="903"/>
        </w:tabs>
        <w:ind w:firstLine="420"/>
        <w:rPr>
          <w:rFonts w:cs="Times New Roman"/>
          <w:sz w:val="21"/>
          <w:szCs w:val="21"/>
        </w:rPr>
      </w:pPr>
      <w:bookmarkStart w:id="961" w:name="bookmark1193"/>
      <w:bookmarkEnd w:id="961"/>
      <w:r>
        <w:rPr>
          <w:rFonts w:hint="eastAsia"/>
          <w:sz w:val="21"/>
          <w:szCs w:val="21"/>
        </w:rPr>
        <w:t>提前的时间和修订后的进度计划。</w:t>
      </w:r>
    </w:p>
    <w:p w14:paraId="1CA0A02A">
      <w:pPr>
        <w:pStyle w:val="319"/>
        <w:numPr>
          <w:ilvl w:val="0"/>
          <w:numId w:val="5"/>
        </w:numPr>
        <w:tabs>
          <w:tab w:val="left" w:pos="903"/>
        </w:tabs>
        <w:ind w:firstLine="420"/>
        <w:rPr>
          <w:rFonts w:cs="Times New Roman"/>
          <w:sz w:val="21"/>
          <w:szCs w:val="21"/>
        </w:rPr>
      </w:pPr>
      <w:bookmarkStart w:id="962" w:name="bookmark1194"/>
      <w:bookmarkEnd w:id="962"/>
      <w:r>
        <w:rPr>
          <w:rFonts w:hint="eastAsia"/>
          <w:sz w:val="21"/>
          <w:szCs w:val="21"/>
        </w:rPr>
        <w:t>承包人的赶工措施。</w:t>
      </w:r>
    </w:p>
    <w:p w14:paraId="4A9BE4E4">
      <w:pPr>
        <w:pStyle w:val="319"/>
        <w:numPr>
          <w:ilvl w:val="0"/>
          <w:numId w:val="5"/>
        </w:numPr>
        <w:tabs>
          <w:tab w:val="left" w:pos="923"/>
        </w:tabs>
        <w:ind w:firstLine="440"/>
        <w:rPr>
          <w:rFonts w:cs="Times New Roman"/>
          <w:sz w:val="21"/>
          <w:szCs w:val="21"/>
        </w:rPr>
      </w:pPr>
      <w:r>
        <w:rPr>
          <w:rFonts w:hint="eastAsia"/>
          <w:sz w:val="21"/>
          <w:szCs w:val="21"/>
        </w:rPr>
        <w:t>发包人为赶工提供的条件。</w:t>
      </w:r>
    </w:p>
    <w:p w14:paraId="653412F3">
      <w:pPr>
        <w:pStyle w:val="319"/>
        <w:numPr>
          <w:ilvl w:val="0"/>
          <w:numId w:val="5"/>
        </w:numPr>
        <w:tabs>
          <w:tab w:val="left" w:pos="923"/>
        </w:tabs>
        <w:spacing w:after="280"/>
        <w:ind w:firstLine="440"/>
        <w:rPr>
          <w:sz w:val="21"/>
          <w:szCs w:val="21"/>
        </w:rPr>
      </w:pPr>
      <w:bookmarkStart w:id="963" w:name="bookmark1196"/>
      <w:bookmarkEnd w:id="963"/>
      <w:r>
        <w:rPr>
          <w:rFonts w:hint="eastAsia"/>
          <w:sz w:val="21"/>
          <w:szCs w:val="21"/>
        </w:rPr>
        <w:t>赶工费用</w:t>
      </w:r>
      <w:r>
        <w:rPr>
          <w:sz w:val="21"/>
          <w:szCs w:val="21"/>
        </w:rPr>
        <w:t>(</w:t>
      </w:r>
      <w:r>
        <w:rPr>
          <w:rFonts w:hint="eastAsia"/>
          <w:sz w:val="21"/>
          <w:szCs w:val="21"/>
        </w:rPr>
        <w:t>包括利润和奖金</w:t>
      </w:r>
      <w:r>
        <w:rPr>
          <w:sz w:val="21"/>
          <w:szCs w:val="21"/>
        </w:rPr>
        <w:t>)</w:t>
      </w:r>
    </w:p>
    <w:p w14:paraId="5C700FCA">
      <w:pPr>
        <w:pStyle w:val="318"/>
        <w:spacing w:line="360" w:lineRule="auto"/>
        <w:rPr>
          <w:rFonts w:ascii="宋体" w:cs="宋体"/>
          <w:sz w:val="21"/>
          <w:szCs w:val="21"/>
        </w:rPr>
      </w:pPr>
      <w:bookmarkStart w:id="964" w:name="bookmark1198"/>
      <w:bookmarkStart w:id="965" w:name="_Toc256000090"/>
      <w:bookmarkStart w:id="966" w:name="_Toc22335"/>
      <w:bookmarkStart w:id="967" w:name="_Toc256000340"/>
      <w:bookmarkStart w:id="968" w:name="_Toc3335"/>
      <w:bookmarkStart w:id="969" w:name="_Toc14170"/>
      <w:bookmarkStart w:id="970" w:name="bookmark1199"/>
      <w:bookmarkStart w:id="971" w:name="_Toc8400"/>
      <w:bookmarkStart w:id="972" w:name="bookmark1197"/>
      <w:r>
        <w:rPr>
          <w:rFonts w:ascii="宋体" w:hAnsi="宋体" w:cs="宋体"/>
          <w:sz w:val="21"/>
          <w:szCs w:val="21"/>
        </w:rPr>
        <w:t>12.</w:t>
      </w:r>
      <w:r>
        <w:rPr>
          <w:rFonts w:hint="eastAsia" w:ascii="宋体" w:hAnsi="宋体" w:cs="宋体"/>
          <w:sz w:val="21"/>
          <w:szCs w:val="21"/>
        </w:rPr>
        <w:t>暂停施工</w:t>
      </w:r>
      <w:bookmarkEnd w:id="964"/>
      <w:bookmarkEnd w:id="965"/>
      <w:bookmarkEnd w:id="966"/>
      <w:bookmarkEnd w:id="967"/>
      <w:bookmarkEnd w:id="968"/>
      <w:bookmarkEnd w:id="969"/>
      <w:bookmarkEnd w:id="970"/>
      <w:bookmarkEnd w:id="971"/>
      <w:bookmarkEnd w:id="972"/>
    </w:p>
    <w:p w14:paraId="5B4C736F">
      <w:pPr>
        <w:pStyle w:val="318"/>
        <w:spacing w:line="360" w:lineRule="auto"/>
        <w:rPr>
          <w:rFonts w:ascii="宋体" w:cs="宋体"/>
          <w:sz w:val="21"/>
          <w:szCs w:val="21"/>
        </w:rPr>
      </w:pPr>
      <w:bookmarkStart w:id="973" w:name="bookmark1202"/>
      <w:bookmarkStart w:id="974" w:name="_Toc11440"/>
      <w:bookmarkStart w:id="975" w:name="bookmark1200"/>
      <w:bookmarkStart w:id="976" w:name="_Toc256000341"/>
      <w:bookmarkStart w:id="977" w:name="_Toc25279"/>
      <w:bookmarkStart w:id="978" w:name="_Toc17796"/>
      <w:bookmarkStart w:id="979" w:name="_Toc31285"/>
      <w:bookmarkStart w:id="980" w:name="_Toc256000091"/>
      <w:bookmarkStart w:id="981" w:name="bookmark1201"/>
      <w:r>
        <w:rPr>
          <w:rFonts w:ascii="宋体" w:hAnsi="宋体" w:cs="宋体"/>
          <w:sz w:val="21"/>
          <w:szCs w:val="21"/>
        </w:rPr>
        <w:t>12.1</w:t>
      </w:r>
      <w:r>
        <w:rPr>
          <w:rFonts w:hint="eastAsia" w:ascii="宋体" w:hAnsi="宋体" w:cs="宋体"/>
          <w:sz w:val="21"/>
          <w:szCs w:val="21"/>
        </w:rPr>
        <w:t>承包人暂停施工的责任</w:t>
      </w:r>
      <w:bookmarkEnd w:id="973"/>
      <w:bookmarkEnd w:id="974"/>
      <w:bookmarkEnd w:id="975"/>
      <w:bookmarkEnd w:id="976"/>
      <w:bookmarkEnd w:id="977"/>
      <w:bookmarkEnd w:id="978"/>
      <w:bookmarkEnd w:id="979"/>
      <w:bookmarkEnd w:id="980"/>
      <w:bookmarkEnd w:id="981"/>
    </w:p>
    <w:p w14:paraId="47C77D5B">
      <w:pPr>
        <w:pStyle w:val="319"/>
        <w:ind w:firstLine="442"/>
        <w:rPr>
          <w:rFonts w:cs="Times New Roman"/>
          <w:sz w:val="21"/>
          <w:szCs w:val="21"/>
        </w:rPr>
      </w:pPr>
      <w:r>
        <w:rPr>
          <w:rFonts w:hint="eastAsia"/>
          <w:sz w:val="21"/>
          <w:szCs w:val="21"/>
        </w:rPr>
        <w:t>因下列暂停施工增加的费用和</w:t>
      </w:r>
      <w:r>
        <w:rPr>
          <w:sz w:val="21"/>
          <w:szCs w:val="21"/>
        </w:rPr>
        <w:t>(</w:t>
      </w:r>
      <w:r>
        <w:rPr>
          <w:rFonts w:hint="eastAsia"/>
          <w:sz w:val="21"/>
          <w:szCs w:val="21"/>
        </w:rPr>
        <w:t>或</w:t>
      </w:r>
      <w:r>
        <w:rPr>
          <w:sz w:val="21"/>
          <w:szCs w:val="21"/>
        </w:rPr>
        <w:t>)</w:t>
      </w:r>
      <w:r>
        <w:rPr>
          <w:rFonts w:hint="eastAsia"/>
          <w:sz w:val="21"/>
          <w:szCs w:val="21"/>
        </w:rPr>
        <w:t>工期延误由承包人承担：</w:t>
      </w:r>
    </w:p>
    <w:p w14:paraId="05A385D1">
      <w:pPr>
        <w:pStyle w:val="319"/>
        <w:numPr>
          <w:ilvl w:val="0"/>
          <w:numId w:val="6"/>
        </w:numPr>
        <w:tabs>
          <w:tab w:val="left" w:pos="923"/>
        </w:tabs>
        <w:ind w:firstLine="442"/>
        <w:rPr>
          <w:rFonts w:cs="Times New Roman"/>
          <w:sz w:val="21"/>
          <w:szCs w:val="21"/>
        </w:rPr>
      </w:pPr>
      <w:bookmarkStart w:id="982" w:name="bookmark1203"/>
      <w:bookmarkEnd w:id="982"/>
      <w:r>
        <w:rPr>
          <w:rFonts w:hint="eastAsia"/>
          <w:sz w:val="21"/>
          <w:szCs w:val="21"/>
        </w:rPr>
        <w:t>承包人违约引起的暂停施工；</w:t>
      </w:r>
    </w:p>
    <w:p w14:paraId="132EF042">
      <w:pPr>
        <w:pStyle w:val="319"/>
        <w:numPr>
          <w:ilvl w:val="0"/>
          <w:numId w:val="6"/>
        </w:numPr>
        <w:tabs>
          <w:tab w:val="left" w:pos="923"/>
        </w:tabs>
        <w:ind w:firstLine="442"/>
        <w:rPr>
          <w:rFonts w:cs="Times New Roman"/>
          <w:sz w:val="21"/>
          <w:szCs w:val="21"/>
        </w:rPr>
      </w:pPr>
      <w:bookmarkStart w:id="983" w:name="bookmark1204"/>
      <w:bookmarkEnd w:id="983"/>
      <w:r>
        <w:rPr>
          <w:rFonts w:hint="eastAsia"/>
          <w:sz w:val="21"/>
          <w:szCs w:val="21"/>
        </w:rPr>
        <w:t>由于承包人原因为工程合理施工和安全保障所必需的暂停施工；</w:t>
      </w:r>
    </w:p>
    <w:p w14:paraId="3B8BB04B">
      <w:pPr>
        <w:pStyle w:val="319"/>
        <w:numPr>
          <w:ilvl w:val="0"/>
          <w:numId w:val="6"/>
        </w:numPr>
        <w:tabs>
          <w:tab w:val="left" w:pos="923"/>
        </w:tabs>
        <w:ind w:firstLine="442"/>
        <w:rPr>
          <w:rFonts w:cs="Times New Roman"/>
          <w:sz w:val="21"/>
          <w:szCs w:val="21"/>
        </w:rPr>
      </w:pPr>
      <w:bookmarkStart w:id="984" w:name="bookmark1205"/>
      <w:bookmarkEnd w:id="984"/>
      <w:r>
        <w:rPr>
          <w:rFonts w:hint="eastAsia"/>
          <w:sz w:val="21"/>
          <w:szCs w:val="21"/>
        </w:rPr>
        <w:t>承包人擅自暂停施工；</w:t>
      </w:r>
    </w:p>
    <w:p w14:paraId="1D9065ED">
      <w:pPr>
        <w:pStyle w:val="319"/>
        <w:numPr>
          <w:ilvl w:val="0"/>
          <w:numId w:val="6"/>
        </w:numPr>
        <w:tabs>
          <w:tab w:val="left" w:pos="923"/>
        </w:tabs>
        <w:ind w:firstLine="442"/>
        <w:rPr>
          <w:rFonts w:cs="Times New Roman"/>
          <w:sz w:val="21"/>
          <w:szCs w:val="21"/>
        </w:rPr>
      </w:pPr>
      <w:bookmarkStart w:id="985" w:name="bookmark1206"/>
      <w:bookmarkEnd w:id="985"/>
      <w:r>
        <w:rPr>
          <w:rFonts w:hint="eastAsia"/>
          <w:sz w:val="21"/>
          <w:szCs w:val="21"/>
        </w:rPr>
        <w:t>承包人其他原因引起的暂停施工；</w:t>
      </w:r>
    </w:p>
    <w:p w14:paraId="6B99FCC3">
      <w:pPr>
        <w:pStyle w:val="319"/>
        <w:numPr>
          <w:ilvl w:val="0"/>
          <w:numId w:val="6"/>
        </w:numPr>
        <w:tabs>
          <w:tab w:val="left" w:pos="923"/>
        </w:tabs>
        <w:spacing w:after="120"/>
        <w:ind w:firstLine="442"/>
        <w:rPr>
          <w:rFonts w:cs="Times New Roman"/>
          <w:sz w:val="21"/>
          <w:szCs w:val="21"/>
        </w:rPr>
      </w:pPr>
      <w:bookmarkStart w:id="986" w:name="bookmark1207"/>
      <w:bookmarkEnd w:id="986"/>
      <w:r>
        <w:rPr>
          <w:rFonts w:hint="eastAsia"/>
          <w:sz w:val="21"/>
          <w:szCs w:val="21"/>
        </w:rPr>
        <w:t>专用合同条款约定由承包人承担的其他暂停施工。</w:t>
      </w:r>
    </w:p>
    <w:p w14:paraId="729131D0">
      <w:pPr>
        <w:pStyle w:val="318"/>
        <w:spacing w:line="360" w:lineRule="auto"/>
        <w:rPr>
          <w:rFonts w:ascii="宋体" w:cs="宋体"/>
          <w:sz w:val="21"/>
          <w:szCs w:val="21"/>
        </w:rPr>
      </w:pPr>
      <w:bookmarkStart w:id="987" w:name="_Toc30399"/>
      <w:bookmarkStart w:id="988" w:name="_Toc16980"/>
      <w:bookmarkStart w:id="989" w:name="_Toc19655"/>
      <w:bookmarkStart w:id="990" w:name="_Toc256000092"/>
      <w:bookmarkStart w:id="991" w:name="_Toc256000342"/>
      <w:bookmarkStart w:id="992" w:name="bookmark1210"/>
      <w:bookmarkStart w:id="993" w:name="bookmark1208"/>
      <w:bookmarkStart w:id="994" w:name="bookmark1209"/>
      <w:bookmarkStart w:id="995" w:name="_Toc14334"/>
      <w:r>
        <w:rPr>
          <w:rFonts w:ascii="宋体" w:hAnsi="宋体" w:cs="宋体"/>
          <w:sz w:val="21"/>
          <w:szCs w:val="21"/>
        </w:rPr>
        <w:t>12.2</w:t>
      </w:r>
      <w:r>
        <w:rPr>
          <w:rFonts w:hint="eastAsia" w:ascii="宋体" w:hAnsi="宋体" w:cs="宋体"/>
          <w:sz w:val="21"/>
          <w:szCs w:val="21"/>
        </w:rPr>
        <w:t>发包人暂停施工的责任</w:t>
      </w:r>
      <w:bookmarkEnd w:id="987"/>
      <w:bookmarkEnd w:id="988"/>
      <w:bookmarkEnd w:id="989"/>
      <w:bookmarkEnd w:id="990"/>
      <w:bookmarkEnd w:id="991"/>
      <w:bookmarkEnd w:id="992"/>
      <w:bookmarkEnd w:id="993"/>
      <w:bookmarkEnd w:id="994"/>
      <w:bookmarkEnd w:id="995"/>
    </w:p>
    <w:p w14:paraId="6E619ED4">
      <w:pPr>
        <w:pStyle w:val="319"/>
        <w:ind w:firstLine="442"/>
        <w:rPr>
          <w:rFonts w:cs="Times New Roman"/>
          <w:sz w:val="21"/>
          <w:szCs w:val="21"/>
        </w:rPr>
      </w:pPr>
      <w:r>
        <w:rPr>
          <w:rFonts w:hint="eastAsia"/>
          <w:sz w:val="21"/>
          <w:szCs w:val="21"/>
        </w:rPr>
        <w:t>由于发包人原因引起的暂停施工造成工期延误的，承包人有权要求发包人延长工期和</w:t>
      </w:r>
      <w:r>
        <w:rPr>
          <w:sz w:val="21"/>
          <w:szCs w:val="21"/>
        </w:rPr>
        <w:t xml:space="preserve"> (</w:t>
      </w:r>
      <w:r>
        <w:rPr>
          <w:rFonts w:hint="eastAsia"/>
          <w:sz w:val="21"/>
          <w:szCs w:val="21"/>
        </w:rPr>
        <w:t>或</w:t>
      </w:r>
      <w:r>
        <w:rPr>
          <w:sz w:val="21"/>
          <w:szCs w:val="21"/>
        </w:rPr>
        <w:t>)</w:t>
      </w:r>
      <w:r>
        <w:rPr>
          <w:rFonts w:hint="eastAsia"/>
          <w:sz w:val="21"/>
          <w:szCs w:val="21"/>
        </w:rPr>
        <w:t>增加费用，并支付合理利润。属于下列任何一种情况引起的暂停施工，均为发包人的责任：</w:t>
      </w:r>
    </w:p>
    <w:p w14:paraId="73F3E9B5">
      <w:pPr>
        <w:pStyle w:val="319"/>
        <w:numPr>
          <w:ilvl w:val="0"/>
          <w:numId w:val="7"/>
        </w:numPr>
        <w:tabs>
          <w:tab w:val="left" w:pos="923"/>
        </w:tabs>
        <w:ind w:firstLine="442"/>
        <w:rPr>
          <w:rFonts w:cs="Times New Roman"/>
          <w:sz w:val="21"/>
          <w:szCs w:val="21"/>
        </w:rPr>
      </w:pPr>
      <w:bookmarkStart w:id="996" w:name="bookmark1211"/>
      <w:bookmarkEnd w:id="996"/>
      <w:r>
        <w:rPr>
          <w:rFonts w:hint="eastAsia"/>
          <w:sz w:val="21"/>
          <w:szCs w:val="21"/>
        </w:rPr>
        <w:t>由于发包人违约引起的暂停施工。</w:t>
      </w:r>
    </w:p>
    <w:p w14:paraId="6CF86A04">
      <w:pPr>
        <w:pStyle w:val="319"/>
        <w:numPr>
          <w:ilvl w:val="0"/>
          <w:numId w:val="7"/>
        </w:numPr>
        <w:tabs>
          <w:tab w:val="left" w:pos="923"/>
        </w:tabs>
        <w:ind w:firstLine="442"/>
        <w:rPr>
          <w:rFonts w:cs="Times New Roman"/>
          <w:sz w:val="21"/>
          <w:szCs w:val="21"/>
        </w:rPr>
      </w:pPr>
      <w:bookmarkStart w:id="997" w:name="bookmark1212"/>
      <w:bookmarkEnd w:id="997"/>
      <w:r>
        <w:rPr>
          <w:rFonts w:hint="eastAsia"/>
          <w:sz w:val="21"/>
          <w:szCs w:val="21"/>
        </w:rPr>
        <w:t>由于不可抗力的自然或社会因素引起的暂停施工。</w:t>
      </w:r>
    </w:p>
    <w:p w14:paraId="78127509">
      <w:pPr>
        <w:pStyle w:val="319"/>
        <w:numPr>
          <w:ilvl w:val="0"/>
          <w:numId w:val="7"/>
        </w:numPr>
        <w:tabs>
          <w:tab w:val="left" w:pos="923"/>
        </w:tabs>
        <w:spacing w:after="120"/>
        <w:ind w:firstLine="442"/>
        <w:rPr>
          <w:rFonts w:cs="Times New Roman"/>
          <w:sz w:val="21"/>
          <w:szCs w:val="21"/>
        </w:rPr>
      </w:pPr>
      <w:bookmarkStart w:id="998" w:name="bookmark1213"/>
      <w:bookmarkEnd w:id="998"/>
      <w:r>
        <w:rPr>
          <w:rFonts w:hint="eastAsia"/>
          <w:sz w:val="21"/>
          <w:szCs w:val="21"/>
        </w:rPr>
        <w:t>专用合同条款中约定的其它由于发包人原因引起的暂停施工。</w:t>
      </w:r>
    </w:p>
    <w:p w14:paraId="4BB32DEF">
      <w:pPr>
        <w:pStyle w:val="318"/>
        <w:spacing w:line="360" w:lineRule="auto"/>
        <w:rPr>
          <w:rFonts w:ascii="宋体" w:cs="宋体"/>
          <w:sz w:val="21"/>
          <w:szCs w:val="21"/>
        </w:rPr>
      </w:pPr>
      <w:bookmarkStart w:id="999" w:name="_Toc15099"/>
      <w:bookmarkStart w:id="1000" w:name="_Toc256000343"/>
      <w:bookmarkStart w:id="1001" w:name="bookmark1216"/>
      <w:bookmarkStart w:id="1002" w:name="_Toc4901"/>
      <w:bookmarkStart w:id="1003" w:name="_Toc256000093"/>
      <w:bookmarkStart w:id="1004" w:name="bookmark1215"/>
      <w:bookmarkStart w:id="1005" w:name="bookmark1214"/>
      <w:bookmarkStart w:id="1006" w:name="_Toc12572"/>
      <w:bookmarkStart w:id="1007" w:name="_Toc13380"/>
      <w:r>
        <w:rPr>
          <w:rFonts w:ascii="宋体" w:hAnsi="宋体" w:cs="宋体"/>
          <w:sz w:val="21"/>
          <w:szCs w:val="21"/>
        </w:rPr>
        <w:t>12.3</w:t>
      </w:r>
      <w:r>
        <w:rPr>
          <w:rFonts w:hint="eastAsia" w:ascii="宋体" w:hAnsi="宋体" w:cs="宋体"/>
          <w:sz w:val="21"/>
          <w:szCs w:val="21"/>
        </w:rPr>
        <w:t>监理人暂停施工指示</w:t>
      </w:r>
      <w:bookmarkEnd w:id="999"/>
      <w:bookmarkEnd w:id="1000"/>
      <w:bookmarkEnd w:id="1001"/>
      <w:bookmarkEnd w:id="1002"/>
      <w:bookmarkEnd w:id="1003"/>
      <w:bookmarkEnd w:id="1004"/>
      <w:bookmarkEnd w:id="1005"/>
      <w:bookmarkEnd w:id="1006"/>
      <w:bookmarkEnd w:id="1007"/>
    </w:p>
    <w:p w14:paraId="53660083">
      <w:pPr>
        <w:pStyle w:val="319"/>
        <w:ind w:firstLine="440"/>
        <w:rPr>
          <w:rFonts w:cs="Times New Roman"/>
          <w:sz w:val="21"/>
          <w:szCs w:val="21"/>
        </w:rPr>
      </w:pPr>
      <w:r>
        <w:rPr>
          <w:sz w:val="21"/>
          <w:szCs w:val="21"/>
          <w:lang w:val="en-US"/>
        </w:rPr>
        <w:t>12.3.1</w:t>
      </w:r>
      <w:r>
        <w:rPr>
          <w:rFonts w:hint="eastAsia"/>
          <w:sz w:val="21"/>
          <w:szCs w:val="21"/>
        </w:rPr>
        <w:t>监理人认为有必要时，可向承包人作出暂停施工的指示，承包人应按监理人指示暂停施工。不论由于何种原因引起的暂停施工，暂停施工期间承包人应负责妥善保护工程并提供安全保障。</w:t>
      </w:r>
    </w:p>
    <w:p w14:paraId="68C1DD8A">
      <w:pPr>
        <w:pStyle w:val="319"/>
        <w:spacing w:after="120"/>
        <w:ind w:firstLine="440"/>
        <w:rPr>
          <w:rFonts w:cs="Times New Roman"/>
          <w:sz w:val="21"/>
          <w:szCs w:val="21"/>
        </w:rPr>
      </w:pPr>
      <w:r>
        <w:rPr>
          <w:sz w:val="21"/>
          <w:szCs w:val="21"/>
          <w:lang w:val="en-US"/>
        </w:rPr>
        <w:t>12.3.2</w:t>
      </w:r>
      <w:r>
        <w:rPr>
          <w:rFonts w:hint="eastAsia"/>
          <w:sz w:val="21"/>
          <w:szCs w:val="21"/>
        </w:rPr>
        <w:t>由于发包人的原因发生暂停施工的紧急情况，且监理人未及时下达暂停施工指示的，承包人可先暂停施工，并及时向监理人提出暂停施工的书面请求。监理人应在接到书面请求后的</w:t>
      </w:r>
      <w:r>
        <w:rPr>
          <w:sz w:val="21"/>
          <w:szCs w:val="21"/>
        </w:rPr>
        <w:t>24</w:t>
      </w:r>
      <w:r>
        <w:rPr>
          <w:rFonts w:hint="eastAsia"/>
          <w:sz w:val="21"/>
          <w:szCs w:val="21"/>
        </w:rPr>
        <w:t>小时内予以答复，逾期未答复的，视为同意承包人的暂停施工请求。</w:t>
      </w:r>
    </w:p>
    <w:p w14:paraId="23878671">
      <w:pPr>
        <w:pStyle w:val="318"/>
        <w:spacing w:line="360" w:lineRule="auto"/>
        <w:rPr>
          <w:rFonts w:ascii="宋体" w:cs="宋体"/>
          <w:sz w:val="21"/>
          <w:szCs w:val="21"/>
        </w:rPr>
      </w:pPr>
      <w:bookmarkStart w:id="1008" w:name="_Toc256000094"/>
      <w:bookmarkStart w:id="1009" w:name="_Toc256000344"/>
      <w:bookmarkStart w:id="1010" w:name="_Toc14048"/>
      <w:bookmarkStart w:id="1011" w:name="bookmark1218"/>
      <w:bookmarkStart w:id="1012" w:name="bookmark1219"/>
      <w:bookmarkStart w:id="1013" w:name="_Toc1153"/>
      <w:bookmarkStart w:id="1014" w:name="_Toc4423"/>
      <w:bookmarkStart w:id="1015" w:name="_Toc7679"/>
      <w:bookmarkStart w:id="1016" w:name="bookmark1217"/>
      <w:r>
        <w:rPr>
          <w:rFonts w:ascii="宋体" w:hAnsi="宋体" w:cs="宋体"/>
          <w:sz w:val="21"/>
          <w:szCs w:val="21"/>
        </w:rPr>
        <w:t>12.4</w:t>
      </w:r>
      <w:r>
        <w:rPr>
          <w:rFonts w:hint="eastAsia" w:ascii="宋体" w:hAnsi="宋体" w:cs="宋体"/>
          <w:sz w:val="21"/>
          <w:szCs w:val="21"/>
        </w:rPr>
        <w:t>暂停施工后的复工</w:t>
      </w:r>
      <w:bookmarkEnd w:id="1008"/>
      <w:bookmarkEnd w:id="1009"/>
      <w:bookmarkEnd w:id="1010"/>
      <w:bookmarkEnd w:id="1011"/>
      <w:bookmarkEnd w:id="1012"/>
      <w:bookmarkEnd w:id="1013"/>
      <w:bookmarkEnd w:id="1014"/>
      <w:bookmarkEnd w:id="1015"/>
      <w:bookmarkEnd w:id="1016"/>
    </w:p>
    <w:p w14:paraId="48082C57">
      <w:pPr>
        <w:pStyle w:val="319"/>
        <w:spacing w:after="120"/>
        <w:ind w:firstLine="440"/>
        <w:rPr>
          <w:rFonts w:cs="Times New Roman"/>
          <w:sz w:val="21"/>
          <w:szCs w:val="21"/>
        </w:rPr>
      </w:pPr>
      <w:bookmarkStart w:id="1017" w:name="bookmark1220"/>
      <w:bookmarkEnd w:id="1017"/>
      <w:r>
        <w:rPr>
          <w:sz w:val="21"/>
          <w:szCs w:val="21"/>
        </w:rPr>
        <w:t>12.4.1</w:t>
      </w:r>
      <w:r>
        <w:rPr>
          <w:rFonts w:hint="eastAsia"/>
          <w:sz w:val="21"/>
          <w:szCs w:val="21"/>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33825A09">
      <w:pPr>
        <w:pStyle w:val="319"/>
        <w:spacing w:after="120"/>
        <w:ind w:firstLine="440"/>
        <w:rPr>
          <w:rFonts w:cs="Times New Roman"/>
          <w:sz w:val="21"/>
          <w:szCs w:val="21"/>
        </w:rPr>
      </w:pPr>
      <w:bookmarkStart w:id="1018" w:name="bookmark1221"/>
      <w:bookmarkEnd w:id="1018"/>
      <w:r>
        <w:rPr>
          <w:sz w:val="21"/>
          <w:szCs w:val="21"/>
        </w:rPr>
        <w:t>12</w:t>
      </w:r>
      <w:r>
        <w:rPr>
          <w:sz w:val="21"/>
          <w:szCs w:val="21"/>
          <w:lang w:val="en-US"/>
        </w:rPr>
        <w:t>.4.</w:t>
      </w:r>
      <w:r>
        <w:rPr>
          <w:sz w:val="21"/>
          <w:szCs w:val="21"/>
        </w:rPr>
        <w:t>2</w:t>
      </w:r>
      <w:r>
        <w:rPr>
          <w:rFonts w:hint="eastAsia"/>
          <w:sz w:val="21"/>
          <w:szCs w:val="21"/>
        </w:rPr>
        <w:t>承包人无故拖延和拒绝复工的，由此增加的费用和工期延误由承包人承担；因发包人原因无法按时复工的，承包人有权要求发包人延长工期和</w:t>
      </w:r>
      <w:r>
        <w:rPr>
          <w:sz w:val="21"/>
          <w:szCs w:val="21"/>
        </w:rPr>
        <w:t>(</w:t>
      </w:r>
      <w:r>
        <w:rPr>
          <w:rFonts w:hint="eastAsia"/>
          <w:sz w:val="21"/>
          <w:szCs w:val="21"/>
        </w:rPr>
        <w:t>或</w:t>
      </w:r>
      <w:r>
        <w:rPr>
          <w:sz w:val="21"/>
          <w:szCs w:val="21"/>
        </w:rPr>
        <w:t>)</w:t>
      </w:r>
      <w:r>
        <w:rPr>
          <w:rFonts w:hint="eastAsia"/>
          <w:sz w:val="21"/>
          <w:szCs w:val="21"/>
        </w:rPr>
        <w:t>增加费用，并支付合理利润。</w:t>
      </w:r>
    </w:p>
    <w:p w14:paraId="3169ADD9">
      <w:pPr>
        <w:pStyle w:val="318"/>
        <w:spacing w:line="360" w:lineRule="auto"/>
        <w:rPr>
          <w:rFonts w:ascii="宋体" w:cs="宋体"/>
          <w:sz w:val="21"/>
          <w:szCs w:val="21"/>
        </w:rPr>
      </w:pPr>
      <w:bookmarkStart w:id="1019" w:name="bookmark1195"/>
      <w:bookmarkEnd w:id="1019"/>
      <w:bookmarkStart w:id="1020" w:name="bookmark1223"/>
      <w:bookmarkStart w:id="1021" w:name="_Toc21199"/>
      <w:bookmarkStart w:id="1022" w:name="_Toc256000345"/>
      <w:bookmarkStart w:id="1023" w:name="_Toc256000095"/>
      <w:bookmarkStart w:id="1024" w:name="_Toc5810"/>
      <w:bookmarkStart w:id="1025" w:name="bookmark1224"/>
      <w:bookmarkStart w:id="1026" w:name="_Toc6811"/>
      <w:bookmarkStart w:id="1027" w:name="_Toc24826"/>
      <w:bookmarkStart w:id="1028" w:name="bookmark1222"/>
      <w:r>
        <w:rPr>
          <w:rFonts w:ascii="宋体" w:hAnsi="宋体" w:cs="宋体"/>
          <w:sz w:val="21"/>
          <w:szCs w:val="21"/>
        </w:rPr>
        <w:t>12.5</w:t>
      </w:r>
      <w:r>
        <w:rPr>
          <w:rFonts w:hint="eastAsia" w:ascii="宋体" w:hAnsi="宋体" w:cs="宋体"/>
          <w:sz w:val="21"/>
          <w:szCs w:val="21"/>
        </w:rPr>
        <w:t>暂停施工持续</w:t>
      </w:r>
      <w:r>
        <w:rPr>
          <w:rFonts w:ascii="宋体" w:hAnsi="宋体" w:cs="宋体"/>
          <w:sz w:val="21"/>
          <w:szCs w:val="21"/>
        </w:rPr>
        <w:t>56</w:t>
      </w:r>
      <w:r>
        <w:rPr>
          <w:rFonts w:hint="eastAsia" w:ascii="宋体" w:hAnsi="宋体" w:cs="宋体"/>
          <w:sz w:val="21"/>
          <w:szCs w:val="21"/>
        </w:rPr>
        <w:t>天以上</w:t>
      </w:r>
      <w:bookmarkEnd w:id="1020"/>
      <w:bookmarkEnd w:id="1021"/>
      <w:bookmarkEnd w:id="1022"/>
      <w:bookmarkEnd w:id="1023"/>
      <w:bookmarkEnd w:id="1024"/>
      <w:bookmarkEnd w:id="1025"/>
      <w:bookmarkEnd w:id="1026"/>
      <w:bookmarkEnd w:id="1027"/>
      <w:bookmarkEnd w:id="1028"/>
    </w:p>
    <w:p w14:paraId="2CBA9DC2">
      <w:pPr>
        <w:pStyle w:val="319"/>
        <w:ind w:firstLine="440"/>
        <w:rPr>
          <w:rFonts w:cs="Times New Roman"/>
          <w:sz w:val="21"/>
          <w:szCs w:val="21"/>
        </w:rPr>
      </w:pPr>
      <w:r>
        <w:rPr>
          <w:sz w:val="21"/>
          <w:szCs w:val="21"/>
          <w:lang w:val="en-US"/>
        </w:rPr>
        <w:t>12.5.1</w:t>
      </w:r>
      <w:r>
        <w:rPr>
          <w:rFonts w:hint="eastAsia"/>
          <w:sz w:val="21"/>
          <w:szCs w:val="21"/>
        </w:rPr>
        <w:t>监理人发出暂停施工指示后</w:t>
      </w:r>
      <w:r>
        <w:rPr>
          <w:sz w:val="21"/>
          <w:szCs w:val="21"/>
        </w:rPr>
        <w:t>56</w:t>
      </w:r>
      <w:r>
        <w:rPr>
          <w:rFonts w:hint="eastAsia"/>
          <w:sz w:val="21"/>
          <w:szCs w:val="21"/>
        </w:rPr>
        <w:t>天内未向承包人发出复工通知，除了该项停工属于第</w:t>
      </w:r>
      <w:r>
        <w:rPr>
          <w:sz w:val="21"/>
          <w:szCs w:val="21"/>
          <w:lang w:val="en-US"/>
        </w:rPr>
        <w:t>12.1</w:t>
      </w:r>
      <w:r>
        <w:rPr>
          <w:rFonts w:hint="eastAsia"/>
          <w:sz w:val="21"/>
          <w:szCs w:val="21"/>
        </w:rPr>
        <w:t>款的情况外，承包人可向监理人提交书面通知，要求监理人在收到书面通知后</w:t>
      </w:r>
      <w:r>
        <w:rPr>
          <w:sz w:val="21"/>
          <w:szCs w:val="21"/>
        </w:rPr>
        <w:t>28</w:t>
      </w:r>
      <w:r>
        <w:rPr>
          <w:rFonts w:hint="eastAsia"/>
          <w:sz w:val="21"/>
          <w:szCs w:val="21"/>
        </w:rPr>
        <w:t>天内准许已暂停施工的工程或其中一部分工程继续施工。如监理人逾期不予批准，则承包人可以通知监理人，将工程受影响的部分视为按第</w:t>
      </w:r>
      <w:r>
        <w:rPr>
          <w:sz w:val="21"/>
          <w:szCs w:val="21"/>
          <w:lang w:val="en-US"/>
        </w:rPr>
        <w:t xml:space="preserve">15.1 </w:t>
      </w:r>
      <w:r>
        <w:rPr>
          <w:sz w:val="21"/>
          <w:szCs w:val="21"/>
        </w:rPr>
        <w:t>(1)</w:t>
      </w:r>
      <w:r>
        <w:rPr>
          <w:rFonts w:hint="eastAsia"/>
          <w:sz w:val="21"/>
          <w:szCs w:val="21"/>
        </w:rPr>
        <w:t>项的可取消工作。如暂停</w:t>
      </w:r>
      <w:r>
        <w:rPr>
          <w:sz w:val="21"/>
          <w:szCs w:val="21"/>
        </w:rPr>
        <w:t xml:space="preserve"> </w:t>
      </w:r>
      <w:r>
        <w:rPr>
          <w:rFonts w:hint="eastAsia"/>
          <w:sz w:val="21"/>
          <w:szCs w:val="21"/>
        </w:rPr>
        <w:t>施工影响到整个工程，可视为发包人违约，应按第</w:t>
      </w:r>
      <w:r>
        <w:rPr>
          <w:sz w:val="21"/>
          <w:szCs w:val="21"/>
          <w:lang w:val="en-US"/>
        </w:rPr>
        <w:t>22.2</w:t>
      </w:r>
      <w:r>
        <w:rPr>
          <w:rFonts w:hint="eastAsia"/>
          <w:sz w:val="21"/>
          <w:szCs w:val="21"/>
        </w:rPr>
        <w:t>款的约定办理。</w:t>
      </w:r>
    </w:p>
    <w:p w14:paraId="14BE443C">
      <w:pPr>
        <w:pStyle w:val="319"/>
        <w:spacing w:after="280"/>
        <w:ind w:firstLine="440"/>
        <w:rPr>
          <w:rFonts w:cs="Times New Roman"/>
          <w:sz w:val="21"/>
          <w:szCs w:val="21"/>
        </w:rPr>
      </w:pPr>
      <w:r>
        <w:rPr>
          <w:sz w:val="21"/>
          <w:szCs w:val="21"/>
          <w:lang w:val="en-US"/>
        </w:rPr>
        <w:t>12.5.2</w:t>
      </w:r>
      <w:r>
        <w:rPr>
          <w:rFonts w:hint="eastAsia"/>
          <w:sz w:val="21"/>
          <w:szCs w:val="21"/>
        </w:rPr>
        <w:t>由于承包人责任引起的暂停施工，如承包人在收到监理人暂停施工指示后</w:t>
      </w:r>
      <w:r>
        <w:rPr>
          <w:sz w:val="21"/>
          <w:szCs w:val="21"/>
        </w:rPr>
        <w:t xml:space="preserve">56 </w:t>
      </w:r>
      <w:r>
        <w:rPr>
          <w:rFonts w:hint="eastAsia"/>
          <w:sz w:val="21"/>
          <w:szCs w:val="21"/>
        </w:rPr>
        <w:t>天内不认真采取有效的复工措施，造成工期延误，可视为承包人违约，应按第</w:t>
      </w:r>
      <w:r>
        <w:rPr>
          <w:sz w:val="21"/>
          <w:szCs w:val="21"/>
          <w:lang w:val="en-US"/>
        </w:rPr>
        <w:t>22.1</w:t>
      </w:r>
      <w:r>
        <w:rPr>
          <w:rFonts w:hint="eastAsia"/>
          <w:sz w:val="21"/>
          <w:szCs w:val="21"/>
        </w:rPr>
        <w:t>款的约定办理。</w:t>
      </w:r>
    </w:p>
    <w:p w14:paraId="3B2073C5">
      <w:pPr>
        <w:pStyle w:val="318"/>
        <w:spacing w:line="360" w:lineRule="auto"/>
        <w:rPr>
          <w:rFonts w:ascii="宋体" w:cs="宋体"/>
          <w:sz w:val="21"/>
          <w:szCs w:val="21"/>
        </w:rPr>
      </w:pPr>
      <w:bookmarkStart w:id="1029" w:name="_Toc10322"/>
      <w:bookmarkStart w:id="1030" w:name="bookmark1226"/>
      <w:bookmarkStart w:id="1031" w:name="_Toc6946"/>
      <w:bookmarkStart w:id="1032" w:name="bookmark1225"/>
      <w:bookmarkStart w:id="1033" w:name="_Toc256000096"/>
      <w:bookmarkStart w:id="1034" w:name="bookmark1227"/>
      <w:bookmarkStart w:id="1035" w:name="_Toc22940"/>
      <w:bookmarkStart w:id="1036" w:name="_Toc256000346"/>
      <w:bookmarkStart w:id="1037" w:name="_Toc16449"/>
      <w:r>
        <w:rPr>
          <w:rFonts w:ascii="宋体" w:hAnsi="宋体" w:cs="宋体"/>
          <w:sz w:val="21"/>
          <w:szCs w:val="21"/>
        </w:rPr>
        <w:t>13.</w:t>
      </w:r>
      <w:r>
        <w:rPr>
          <w:rFonts w:hint="eastAsia" w:ascii="宋体" w:hAnsi="宋体" w:cs="宋体"/>
          <w:sz w:val="21"/>
          <w:szCs w:val="21"/>
        </w:rPr>
        <w:t>工程质量</w:t>
      </w:r>
      <w:bookmarkEnd w:id="1029"/>
      <w:bookmarkEnd w:id="1030"/>
      <w:bookmarkEnd w:id="1031"/>
      <w:bookmarkEnd w:id="1032"/>
      <w:bookmarkEnd w:id="1033"/>
      <w:bookmarkEnd w:id="1034"/>
      <w:bookmarkEnd w:id="1035"/>
      <w:bookmarkEnd w:id="1036"/>
      <w:bookmarkEnd w:id="1037"/>
    </w:p>
    <w:p w14:paraId="4D4245D1">
      <w:pPr>
        <w:pStyle w:val="318"/>
        <w:spacing w:line="360" w:lineRule="auto"/>
        <w:rPr>
          <w:rFonts w:ascii="宋体" w:cs="宋体"/>
          <w:sz w:val="21"/>
          <w:szCs w:val="21"/>
        </w:rPr>
      </w:pPr>
      <w:bookmarkStart w:id="1038" w:name="bookmark1229"/>
      <w:bookmarkStart w:id="1039" w:name="_Toc9064"/>
      <w:bookmarkStart w:id="1040" w:name="_Toc256000097"/>
      <w:bookmarkStart w:id="1041" w:name="bookmark1230"/>
      <w:bookmarkStart w:id="1042" w:name="_Toc256000347"/>
      <w:bookmarkStart w:id="1043" w:name="_Toc19924"/>
      <w:bookmarkStart w:id="1044" w:name="bookmark1228"/>
      <w:bookmarkStart w:id="1045" w:name="_Toc2190"/>
      <w:bookmarkStart w:id="1046" w:name="_Toc28296"/>
      <w:r>
        <w:rPr>
          <w:rFonts w:ascii="宋体" w:hAnsi="宋体" w:cs="宋体"/>
          <w:sz w:val="21"/>
          <w:szCs w:val="21"/>
        </w:rPr>
        <w:t>13.1</w:t>
      </w:r>
      <w:r>
        <w:rPr>
          <w:rFonts w:hint="eastAsia" w:ascii="宋体" w:hAnsi="宋体" w:cs="宋体"/>
          <w:sz w:val="21"/>
          <w:szCs w:val="21"/>
        </w:rPr>
        <w:t>工程质量要求</w:t>
      </w:r>
      <w:bookmarkEnd w:id="1038"/>
      <w:bookmarkEnd w:id="1039"/>
      <w:bookmarkEnd w:id="1040"/>
      <w:bookmarkEnd w:id="1041"/>
      <w:bookmarkEnd w:id="1042"/>
      <w:bookmarkEnd w:id="1043"/>
      <w:bookmarkEnd w:id="1044"/>
      <w:bookmarkEnd w:id="1045"/>
      <w:bookmarkEnd w:id="1046"/>
    </w:p>
    <w:p w14:paraId="1B943843">
      <w:pPr>
        <w:pStyle w:val="319"/>
        <w:tabs>
          <w:tab w:val="left" w:pos="820"/>
        </w:tabs>
        <w:ind w:left="420" w:firstLine="0"/>
        <w:rPr>
          <w:rFonts w:cs="Times New Roman"/>
          <w:sz w:val="21"/>
          <w:szCs w:val="21"/>
        </w:rPr>
      </w:pPr>
      <w:bookmarkStart w:id="1047" w:name="bookmark1231"/>
      <w:bookmarkEnd w:id="1047"/>
      <w:r>
        <w:rPr>
          <w:sz w:val="21"/>
          <w:szCs w:val="21"/>
          <w:lang w:val="en-US"/>
        </w:rPr>
        <w:t xml:space="preserve">13.1. </w:t>
      </w:r>
      <w:r>
        <w:rPr>
          <w:sz w:val="21"/>
          <w:szCs w:val="21"/>
        </w:rPr>
        <w:t>1</w:t>
      </w:r>
      <w:r>
        <w:rPr>
          <w:rFonts w:hint="eastAsia"/>
          <w:sz w:val="21"/>
          <w:szCs w:val="21"/>
        </w:rPr>
        <w:t>工程质量验收按合同约定验收标准执行。</w:t>
      </w:r>
    </w:p>
    <w:p w14:paraId="6113C51F">
      <w:pPr>
        <w:pStyle w:val="319"/>
        <w:ind w:firstLine="440"/>
        <w:rPr>
          <w:rFonts w:cs="Times New Roman"/>
          <w:sz w:val="21"/>
          <w:szCs w:val="21"/>
        </w:rPr>
      </w:pPr>
      <w:r>
        <w:rPr>
          <w:sz w:val="21"/>
          <w:szCs w:val="21"/>
          <w:lang w:val="en-US"/>
        </w:rPr>
        <w:t>13.1.2</w:t>
      </w:r>
      <w:r>
        <w:rPr>
          <w:rFonts w:hint="eastAsia"/>
          <w:sz w:val="21"/>
          <w:szCs w:val="21"/>
        </w:rPr>
        <w:t>因承包人原因造成工程质量达不到合同约定验收标准的，监理人有权要求承包人返工直至符合合同要求为止，由此造成的费用增加和（或）工期延误由承包人承担。</w:t>
      </w:r>
    </w:p>
    <w:p w14:paraId="286C0E5C">
      <w:pPr>
        <w:pStyle w:val="319"/>
        <w:spacing w:after="160"/>
        <w:ind w:firstLine="440"/>
        <w:rPr>
          <w:rFonts w:cs="Times New Roman"/>
          <w:sz w:val="21"/>
          <w:szCs w:val="21"/>
        </w:rPr>
      </w:pPr>
      <w:r>
        <w:rPr>
          <w:sz w:val="21"/>
          <w:szCs w:val="21"/>
          <w:lang w:val="en-US"/>
        </w:rPr>
        <w:t>13.1.3</w:t>
      </w:r>
      <w:r>
        <w:rPr>
          <w:rFonts w:hint="eastAsia"/>
          <w:sz w:val="21"/>
          <w:szCs w:val="21"/>
        </w:rPr>
        <w:t>因发包人原因造成工程质量达不到合同约定验收标准的，发包人应承担由于承包人返工造成的费用增加和（或）工期延误，并支付承包人合理利润。</w:t>
      </w:r>
    </w:p>
    <w:p w14:paraId="1D1E47CA">
      <w:pPr>
        <w:pStyle w:val="318"/>
        <w:spacing w:line="360" w:lineRule="auto"/>
        <w:rPr>
          <w:rFonts w:ascii="宋体" w:cs="宋体"/>
          <w:sz w:val="21"/>
          <w:szCs w:val="21"/>
        </w:rPr>
      </w:pPr>
      <w:bookmarkStart w:id="1048" w:name="_Toc256000348"/>
      <w:bookmarkStart w:id="1049" w:name="_Toc16593"/>
      <w:bookmarkStart w:id="1050" w:name="_Toc4852"/>
      <w:bookmarkStart w:id="1051" w:name="_Toc6308"/>
      <w:bookmarkStart w:id="1052" w:name="bookmark1232"/>
      <w:bookmarkStart w:id="1053" w:name="bookmark1233"/>
      <w:bookmarkStart w:id="1054" w:name="_Toc279"/>
      <w:bookmarkStart w:id="1055" w:name="_Toc256000098"/>
      <w:bookmarkStart w:id="1056" w:name="bookmark1234"/>
      <w:r>
        <w:rPr>
          <w:rFonts w:ascii="宋体" w:hAnsi="宋体" w:cs="宋体"/>
          <w:sz w:val="21"/>
          <w:szCs w:val="21"/>
        </w:rPr>
        <w:t>13.2</w:t>
      </w:r>
      <w:r>
        <w:rPr>
          <w:rFonts w:hint="eastAsia" w:ascii="宋体" w:hAnsi="宋体" w:cs="宋体"/>
          <w:sz w:val="21"/>
          <w:szCs w:val="21"/>
        </w:rPr>
        <w:t>承包人的质量管理</w:t>
      </w:r>
      <w:bookmarkEnd w:id="1048"/>
      <w:bookmarkEnd w:id="1049"/>
      <w:bookmarkEnd w:id="1050"/>
      <w:bookmarkEnd w:id="1051"/>
      <w:bookmarkEnd w:id="1052"/>
      <w:bookmarkEnd w:id="1053"/>
      <w:bookmarkEnd w:id="1054"/>
      <w:bookmarkEnd w:id="1055"/>
      <w:bookmarkEnd w:id="1056"/>
    </w:p>
    <w:p w14:paraId="6508B602">
      <w:pPr>
        <w:pStyle w:val="319"/>
        <w:ind w:firstLine="440"/>
        <w:rPr>
          <w:rFonts w:cs="Times New Roman"/>
          <w:sz w:val="21"/>
          <w:szCs w:val="21"/>
        </w:rPr>
      </w:pPr>
      <w:r>
        <w:rPr>
          <w:sz w:val="21"/>
          <w:szCs w:val="21"/>
          <w:lang w:val="en-US"/>
        </w:rPr>
        <w:t>13.2.1</w:t>
      </w:r>
      <w:r>
        <w:rPr>
          <w:rFonts w:hint="eastAsia"/>
          <w:sz w:val="21"/>
          <w:szCs w:val="21"/>
        </w:rPr>
        <w:t>承包人应在施工场地设置专门的质量检查机构，配备专职质量检查人员，建立完善的质量检查制度。承包人应按技术标准和要求（合同技术条款）约定的内容和期限</w:t>
      </w:r>
      <w:r>
        <w:rPr>
          <w:sz w:val="21"/>
          <w:szCs w:val="21"/>
        </w:rPr>
        <w:t xml:space="preserve">, </w:t>
      </w:r>
      <w:r>
        <w:rPr>
          <w:rFonts w:hint="eastAsia"/>
          <w:sz w:val="21"/>
          <w:szCs w:val="21"/>
        </w:rPr>
        <w:t>编制工程质量保证措施文件，包括质量检查机构的组织和岗位责任、质量检查人员的组成、质量检查程序和实施细则等，提交监理人监批。监理人应在技术标准和要求（合同技术条</w:t>
      </w:r>
      <w:r>
        <w:rPr>
          <w:sz w:val="21"/>
          <w:szCs w:val="21"/>
        </w:rPr>
        <w:t xml:space="preserve"> </w:t>
      </w:r>
      <w:r>
        <w:rPr>
          <w:rFonts w:hint="eastAsia"/>
          <w:sz w:val="21"/>
          <w:szCs w:val="21"/>
        </w:rPr>
        <w:t>款）约定期限内批复承包人。</w:t>
      </w:r>
    </w:p>
    <w:p w14:paraId="6D2C7644">
      <w:pPr>
        <w:pStyle w:val="319"/>
        <w:spacing w:after="240"/>
        <w:ind w:firstLine="440"/>
        <w:rPr>
          <w:rFonts w:cs="Times New Roman"/>
          <w:sz w:val="21"/>
          <w:szCs w:val="21"/>
        </w:rPr>
      </w:pPr>
      <w:bookmarkStart w:id="1057" w:name="bookmark1235"/>
      <w:bookmarkEnd w:id="1057"/>
      <w:r>
        <w:rPr>
          <w:sz w:val="21"/>
          <w:szCs w:val="21"/>
        </w:rPr>
        <w:t>13.2.2</w:t>
      </w:r>
      <w:r>
        <w:rPr>
          <w:rFonts w:hint="eastAsia"/>
          <w:sz w:val="21"/>
          <w:szCs w:val="21"/>
        </w:rPr>
        <w:t>承包人应加强对施工人员的质量教育和技术培训，定期考核施工人员的劳动</w:t>
      </w:r>
      <w:r>
        <w:rPr>
          <w:sz w:val="21"/>
          <w:szCs w:val="21"/>
        </w:rPr>
        <w:t xml:space="preserve"> </w:t>
      </w:r>
      <w:r>
        <w:rPr>
          <w:rFonts w:hint="eastAsia"/>
          <w:sz w:val="21"/>
          <w:szCs w:val="21"/>
        </w:rPr>
        <w:t>技能，严格执行规范和操作规程。</w:t>
      </w:r>
    </w:p>
    <w:p w14:paraId="7A7133B4">
      <w:pPr>
        <w:pStyle w:val="318"/>
        <w:spacing w:line="360" w:lineRule="auto"/>
        <w:rPr>
          <w:rFonts w:ascii="宋体" w:cs="宋体"/>
          <w:sz w:val="21"/>
          <w:szCs w:val="21"/>
        </w:rPr>
      </w:pPr>
      <w:bookmarkStart w:id="1058" w:name="_Toc19429"/>
      <w:bookmarkStart w:id="1059" w:name="_Toc256000099"/>
      <w:bookmarkStart w:id="1060" w:name="bookmark1238"/>
      <w:bookmarkStart w:id="1061" w:name="_Toc27102"/>
      <w:bookmarkStart w:id="1062" w:name="_Toc528"/>
      <w:bookmarkStart w:id="1063" w:name="bookmark1237"/>
      <w:bookmarkStart w:id="1064" w:name="bookmark1236"/>
      <w:bookmarkStart w:id="1065" w:name="_Toc12236"/>
      <w:bookmarkStart w:id="1066" w:name="_Toc256000349"/>
      <w:r>
        <w:rPr>
          <w:rFonts w:ascii="宋体" w:hAnsi="宋体" w:cs="宋体"/>
          <w:sz w:val="21"/>
          <w:szCs w:val="21"/>
        </w:rPr>
        <w:t>13.3</w:t>
      </w:r>
      <w:r>
        <w:rPr>
          <w:rFonts w:hint="eastAsia" w:ascii="宋体" w:hAnsi="宋体" w:cs="宋体"/>
          <w:sz w:val="21"/>
          <w:szCs w:val="21"/>
        </w:rPr>
        <w:t>承包人的质量检查</w:t>
      </w:r>
      <w:bookmarkEnd w:id="1058"/>
      <w:bookmarkEnd w:id="1059"/>
      <w:bookmarkEnd w:id="1060"/>
      <w:bookmarkEnd w:id="1061"/>
      <w:bookmarkEnd w:id="1062"/>
      <w:bookmarkEnd w:id="1063"/>
      <w:bookmarkEnd w:id="1064"/>
      <w:bookmarkEnd w:id="1065"/>
      <w:bookmarkEnd w:id="1066"/>
    </w:p>
    <w:p w14:paraId="101811E8">
      <w:pPr>
        <w:pStyle w:val="319"/>
        <w:spacing w:after="160"/>
        <w:ind w:firstLine="440"/>
        <w:rPr>
          <w:rFonts w:cs="Times New Roman"/>
          <w:sz w:val="21"/>
          <w:szCs w:val="21"/>
        </w:rPr>
      </w:pPr>
      <w:r>
        <w:rPr>
          <w:rFonts w:hint="eastAsia"/>
          <w:sz w:val="21"/>
          <w:szCs w:val="21"/>
        </w:rPr>
        <w:t>承包人应按合同约定对材料、工程设备以及工程的所有部位及其施工工艺进行全过程的质量检查和检验，并作详细记录，编制工程质量报表，报送监理人审查。</w:t>
      </w:r>
    </w:p>
    <w:p w14:paraId="441DA6FA">
      <w:pPr>
        <w:pStyle w:val="318"/>
        <w:spacing w:line="360" w:lineRule="auto"/>
        <w:rPr>
          <w:rFonts w:ascii="宋体" w:cs="宋体"/>
          <w:sz w:val="21"/>
          <w:szCs w:val="21"/>
        </w:rPr>
      </w:pPr>
      <w:bookmarkStart w:id="1067" w:name="bookmark1241"/>
      <w:bookmarkStart w:id="1068" w:name="_Toc3931"/>
      <w:bookmarkStart w:id="1069" w:name="_Toc256000100"/>
      <w:bookmarkStart w:id="1070" w:name="bookmark1239"/>
      <w:bookmarkStart w:id="1071" w:name="bookmark1240"/>
      <w:bookmarkStart w:id="1072" w:name="_Toc256000350"/>
      <w:bookmarkStart w:id="1073" w:name="_Toc30829"/>
      <w:bookmarkStart w:id="1074" w:name="_Toc26103"/>
      <w:bookmarkStart w:id="1075" w:name="_Toc31173"/>
      <w:r>
        <w:rPr>
          <w:rFonts w:ascii="宋体" w:hAnsi="宋体" w:cs="宋体"/>
          <w:sz w:val="21"/>
          <w:szCs w:val="21"/>
        </w:rPr>
        <w:t>13.4</w:t>
      </w:r>
      <w:r>
        <w:rPr>
          <w:rFonts w:hint="eastAsia" w:ascii="宋体" w:hAnsi="宋体" w:cs="宋体"/>
          <w:sz w:val="21"/>
          <w:szCs w:val="21"/>
        </w:rPr>
        <w:t>监理人的质量检查</w:t>
      </w:r>
      <w:bookmarkEnd w:id="1067"/>
      <w:bookmarkEnd w:id="1068"/>
      <w:bookmarkEnd w:id="1069"/>
      <w:bookmarkEnd w:id="1070"/>
      <w:bookmarkEnd w:id="1071"/>
      <w:bookmarkEnd w:id="1072"/>
      <w:bookmarkEnd w:id="1073"/>
      <w:bookmarkEnd w:id="1074"/>
      <w:bookmarkEnd w:id="1075"/>
    </w:p>
    <w:p w14:paraId="6B0E2C26">
      <w:pPr>
        <w:pStyle w:val="319"/>
        <w:spacing w:after="160"/>
        <w:ind w:firstLine="440"/>
        <w:rPr>
          <w:rFonts w:cs="Times New Roman"/>
          <w:sz w:val="21"/>
          <w:szCs w:val="21"/>
        </w:rPr>
      </w:pPr>
      <w:r>
        <w:rPr>
          <w:rFonts w:hint="eastAsia"/>
          <w:sz w:val="21"/>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5B47F3A4">
      <w:pPr>
        <w:pStyle w:val="318"/>
        <w:spacing w:line="360" w:lineRule="auto"/>
        <w:rPr>
          <w:rFonts w:ascii="宋体" w:cs="宋体"/>
          <w:sz w:val="21"/>
          <w:szCs w:val="21"/>
        </w:rPr>
      </w:pPr>
      <w:bookmarkStart w:id="1076" w:name="bookmark1244"/>
      <w:bookmarkStart w:id="1077" w:name="_Toc1799"/>
      <w:bookmarkStart w:id="1078" w:name="_Toc30255"/>
      <w:bookmarkStart w:id="1079" w:name="_Toc16458"/>
      <w:bookmarkStart w:id="1080" w:name="_Toc256000351"/>
      <w:bookmarkStart w:id="1081" w:name="bookmark1242"/>
      <w:bookmarkStart w:id="1082" w:name="_Toc256000101"/>
      <w:bookmarkStart w:id="1083" w:name="bookmark1243"/>
      <w:bookmarkStart w:id="1084" w:name="_Toc15820"/>
      <w:r>
        <w:rPr>
          <w:rFonts w:ascii="宋体" w:hAnsi="宋体" w:cs="宋体"/>
          <w:sz w:val="21"/>
          <w:szCs w:val="21"/>
        </w:rPr>
        <w:t>13.5</w:t>
      </w:r>
      <w:r>
        <w:rPr>
          <w:rFonts w:hint="eastAsia" w:ascii="宋体" w:hAnsi="宋体" w:cs="宋体"/>
          <w:sz w:val="21"/>
          <w:szCs w:val="21"/>
        </w:rPr>
        <w:t>工程隐蔽部位覆盖前的检查</w:t>
      </w:r>
      <w:bookmarkEnd w:id="1076"/>
      <w:bookmarkEnd w:id="1077"/>
      <w:bookmarkEnd w:id="1078"/>
      <w:bookmarkEnd w:id="1079"/>
      <w:bookmarkEnd w:id="1080"/>
      <w:bookmarkEnd w:id="1081"/>
      <w:bookmarkEnd w:id="1082"/>
      <w:bookmarkEnd w:id="1083"/>
      <w:bookmarkEnd w:id="1084"/>
    </w:p>
    <w:p w14:paraId="3EF96C5B">
      <w:pPr>
        <w:pStyle w:val="319"/>
        <w:tabs>
          <w:tab w:val="left" w:pos="840"/>
        </w:tabs>
        <w:ind w:firstLine="420" w:firstLineChars="200"/>
        <w:rPr>
          <w:rFonts w:cs="Times New Roman"/>
          <w:sz w:val="21"/>
          <w:szCs w:val="21"/>
        </w:rPr>
      </w:pPr>
      <w:bookmarkStart w:id="1085" w:name="bookmark1245"/>
      <w:bookmarkEnd w:id="1085"/>
      <w:r>
        <w:rPr>
          <w:sz w:val="21"/>
          <w:szCs w:val="21"/>
          <w:lang w:val="en-US"/>
        </w:rPr>
        <w:t xml:space="preserve">13.5. </w:t>
      </w:r>
      <w:r>
        <w:rPr>
          <w:sz w:val="21"/>
          <w:szCs w:val="21"/>
        </w:rPr>
        <w:t>1</w:t>
      </w:r>
      <w:r>
        <w:rPr>
          <w:rFonts w:hint="eastAsia"/>
          <w:sz w:val="21"/>
          <w:szCs w:val="21"/>
        </w:rPr>
        <w:t>通知监理人检查</w:t>
      </w:r>
    </w:p>
    <w:p w14:paraId="2FB1BBFE">
      <w:pPr>
        <w:pStyle w:val="319"/>
        <w:spacing w:after="160"/>
        <w:ind w:firstLine="440"/>
        <w:rPr>
          <w:rFonts w:cs="Times New Roman"/>
          <w:sz w:val="21"/>
          <w:szCs w:val="21"/>
        </w:rPr>
      </w:pPr>
      <w:r>
        <w:rPr>
          <w:rFonts w:hint="eastAsia"/>
          <w:sz w:val="21"/>
          <w:szCs w:val="21"/>
        </w:rPr>
        <w:t>经承包人自检确认的工程隐蔽部位具备覆盖条件后，承包人应通知监理人在约定的期</w:t>
      </w:r>
      <w:r>
        <w:rPr>
          <w:sz w:val="21"/>
          <w:szCs w:val="21"/>
        </w:rPr>
        <w:t xml:space="preserve"> </w:t>
      </w:r>
      <w:r>
        <w:rPr>
          <w:rFonts w:hint="eastAsia"/>
          <w:sz w:val="21"/>
          <w:szCs w:val="21"/>
        </w:rPr>
        <w:t>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17FE662C">
      <w:pPr>
        <w:pStyle w:val="319"/>
        <w:ind w:firstLine="440"/>
        <w:rPr>
          <w:rFonts w:cs="Times New Roman"/>
          <w:sz w:val="21"/>
          <w:szCs w:val="21"/>
        </w:rPr>
      </w:pPr>
      <w:r>
        <w:rPr>
          <w:sz w:val="21"/>
          <w:szCs w:val="21"/>
          <w:lang w:val="en-US"/>
        </w:rPr>
        <w:t>13.5.2</w:t>
      </w:r>
      <w:r>
        <w:rPr>
          <w:rFonts w:hint="eastAsia"/>
          <w:sz w:val="21"/>
          <w:szCs w:val="21"/>
        </w:rPr>
        <w:t>监理人未到场检查</w:t>
      </w:r>
    </w:p>
    <w:p w14:paraId="2A0E6168">
      <w:pPr>
        <w:pStyle w:val="319"/>
        <w:ind w:firstLine="440"/>
        <w:rPr>
          <w:rFonts w:cs="Times New Roman"/>
          <w:sz w:val="21"/>
          <w:szCs w:val="21"/>
        </w:rPr>
      </w:pPr>
      <w:r>
        <w:rPr>
          <w:rFonts w:hint="eastAsia"/>
          <w:sz w:val="21"/>
          <w:szCs w:val="21"/>
        </w:rPr>
        <w:t>监理人未按第</w:t>
      </w:r>
      <w:r>
        <w:rPr>
          <w:sz w:val="21"/>
          <w:szCs w:val="21"/>
          <w:lang w:val="en-US"/>
        </w:rPr>
        <w:t>13.5.1</w:t>
      </w:r>
      <w:r>
        <w:rPr>
          <w:rFonts w:hint="eastAsia"/>
          <w:sz w:val="21"/>
          <w:szCs w:val="21"/>
        </w:rPr>
        <w:t>项约定的时间进行检查的，除监理人另有指示外，承包人可自行完成覆盖工作，并作相应记录报送监理人，监理人应签字确认。监理人事后对检查记录有疑问的，可按第</w:t>
      </w:r>
      <w:r>
        <w:rPr>
          <w:sz w:val="21"/>
          <w:szCs w:val="21"/>
          <w:lang w:val="en-US"/>
        </w:rPr>
        <w:t>13.5.3</w:t>
      </w:r>
      <w:r>
        <w:rPr>
          <w:rFonts w:hint="eastAsia"/>
          <w:sz w:val="21"/>
          <w:szCs w:val="21"/>
        </w:rPr>
        <w:t>项的约定重新检查。</w:t>
      </w:r>
    </w:p>
    <w:p w14:paraId="06201490">
      <w:pPr>
        <w:pStyle w:val="319"/>
        <w:ind w:firstLine="440"/>
        <w:rPr>
          <w:rFonts w:cs="Times New Roman"/>
          <w:sz w:val="21"/>
          <w:szCs w:val="21"/>
        </w:rPr>
      </w:pPr>
      <w:r>
        <w:rPr>
          <w:sz w:val="21"/>
          <w:szCs w:val="21"/>
          <w:lang w:val="en-US"/>
        </w:rPr>
        <w:t>13.5.3</w:t>
      </w:r>
      <w:r>
        <w:rPr>
          <w:rFonts w:hint="eastAsia"/>
          <w:sz w:val="21"/>
          <w:szCs w:val="21"/>
        </w:rPr>
        <w:t>监理人重新检查</w:t>
      </w:r>
    </w:p>
    <w:p w14:paraId="026782F8">
      <w:pPr>
        <w:pStyle w:val="319"/>
        <w:ind w:firstLine="440"/>
        <w:rPr>
          <w:rFonts w:cs="Times New Roman"/>
          <w:sz w:val="21"/>
          <w:szCs w:val="21"/>
        </w:rPr>
      </w:pPr>
      <w:r>
        <w:rPr>
          <w:rFonts w:hint="eastAsia"/>
          <w:sz w:val="21"/>
          <w:szCs w:val="21"/>
        </w:rPr>
        <w:t>承包人按第</w:t>
      </w:r>
      <w:r>
        <w:rPr>
          <w:sz w:val="21"/>
          <w:szCs w:val="21"/>
          <w:lang w:val="en-US"/>
        </w:rPr>
        <w:t xml:space="preserve">13. 5. </w:t>
      </w:r>
      <w:r>
        <w:rPr>
          <w:sz w:val="21"/>
          <w:szCs w:val="21"/>
        </w:rPr>
        <w:t>1</w:t>
      </w:r>
      <w:r>
        <w:rPr>
          <w:rFonts w:hint="eastAsia"/>
          <w:sz w:val="21"/>
          <w:szCs w:val="21"/>
        </w:rPr>
        <w:t>项或第</w:t>
      </w:r>
      <w:r>
        <w:rPr>
          <w:sz w:val="21"/>
          <w:szCs w:val="21"/>
          <w:lang w:val="en-US"/>
        </w:rPr>
        <w:t>13. 5.2</w:t>
      </w:r>
      <w:r>
        <w:rPr>
          <w:rFonts w:hint="eastAsia"/>
          <w:sz w:val="21"/>
          <w:szCs w:val="21"/>
        </w:rPr>
        <w:t>项覆盖工程隐蔽部位后，监理人对质量有疑问的，可要求承包人对已覆盖的部位进行钻孔探测或揭开重新检验，承包人应遵照执行，并在检</w:t>
      </w:r>
      <w:r>
        <w:rPr>
          <w:sz w:val="21"/>
          <w:szCs w:val="21"/>
        </w:rPr>
        <w:t xml:space="preserve"> </w:t>
      </w:r>
      <w:r>
        <w:rPr>
          <w:rFonts w:hint="eastAsia"/>
          <w:sz w:val="21"/>
          <w:szCs w:val="21"/>
        </w:rPr>
        <w:t>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7D599B5">
      <w:pPr>
        <w:pStyle w:val="319"/>
        <w:ind w:firstLine="440"/>
        <w:rPr>
          <w:rFonts w:cs="Times New Roman"/>
          <w:sz w:val="21"/>
          <w:szCs w:val="21"/>
        </w:rPr>
      </w:pPr>
      <w:r>
        <w:rPr>
          <w:sz w:val="21"/>
          <w:szCs w:val="21"/>
          <w:lang w:val="en-US"/>
        </w:rPr>
        <w:t>13.5.4</w:t>
      </w:r>
      <w:r>
        <w:rPr>
          <w:rFonts w:hint="eastAsia"/>
          <w:sz w:val="21"/>
          <w:szCs w:val="21"/>
        </w:rPr>
        <w:t>承包人私自覆盖</w:t>
      </w:r>
    </w:p>
    <w:p w14:paraId="4974DEB7">
      <w:pPr>
        <w:pStyle w:val="319"/>
        <w:spacing w:after="120"/>
        <w:ind w:firstLine="440"/>
        <w:rPr>
          <w:rFonts w:cs="Times New Roman"/>
          <w:sz w:val="21"/>
          <w:szCs w:val="21"/>
        </w:rPr>
      </w:pPr>
      <w:r>
        <w:rPr>
          <w:rFonts w:hint="eastAsia"/>
          <w:sz w:val="21"/>
          <w:szCs w:val="21"/>
        </w:rPr>
        <w:t>承包人未通知监理人到场检查，私自将工程隐蔽部位覆盖的，监理人有权指示承包人钻孔探测或揭开检查，由此增加的费用和（或）工期延误由承包人承担。</w:t>
      </w:r>
    </w:p>
    <w:p w14:paraId="2B75BFED">
      <w:pPr>
        <w:pStyle w:val="318"/>
        <w:spacing w:line="360" w:lineRule="auto"/>
        <w:rPr>
          <w:rFonts w:ascii="宋体" w:cs="宋体"/>
          <w:sz w:val="21"/>
          <w:szCs w:val="21"/>
        </w:rPr>
      </w:pPr>
      <w:bookmarkStart w:id="1086" w:name="_Toc256000102"/>
      <w:bookmarkStart w:id="1087" w:name="bookmark1247"/>
      <w:bookmarkStart w:id="1088" w:name="bookmark1246"/>
      <w:bookmarkStart w:id="1089" w:name="_Toc4299"/>
      <w:bookmarkStart w:id="1090" w:name="_Toc256000352"/>
      <w:bookmarkStart w:id="1091" w:name="_Toc31851"/>
      <w:bookmarkStart w:id="1092" w:name="_Toc6096"/>
      <w:bookmarkStart w:id="1093" w:name="bookmark1248"/>
      <w:bookmarkStart w:id="1094" w:name="_Toc17861"/>
      <w:r>
        <w:rPr>
          <w:rFonts w:ascii="宋体" w:hAnsi="宋体" w:cs="宋体"/>
          <w:sz w:val="21"/>
          <w:szCs w:val="21"/>
        </w:rPr>
        <w:t>13.6</w:t>
      </w:r>
      <w:r>
        <w:rPr>
          <w:rFonts w:hint="eastAsia" w:ascii="宋体" w:hAnsi="宋体" w:cs="宋体"/>
          <w:sz w:val="21"/>
          <w:szCs w:val="21"/>
        </w:rPr>
        <w:t>清除不合格工程</w:t>
      </w:r>
      <w:bookmarkEnd w:id="1086"/>
      <w:bookmarkEnd w:id="1087"/>
      <w:bookmarkEnd w:id="1088"/>
      <w:bookmarkEnd w:id="1089"/>
      <w:bookmarkEnd w:id="1090"/>
      <w:bookmarkEnd w:id="1091"/>
      <w:bookmarkEnd w:id="1092"/>
      <w:bookmarkEnd w:id="1093"/>
      <w:bookmarkEnd w:id="1094"/>
    </w:p>
    <w:p w14:paraId="37F388C8">
      <w:pPr>
        <w:pStyle w:val="319"/>
        <w:ind w:firstLine="440"/>
        <w:rPr>
          <w:rFonts w:cs="Times New Roman"/>
          <w:sz w:val="21"/>
          <w:szCs w:val="21"/>
        </w:rPr>
      </w:pPr>
      <w:r>
        <w:rPr>
          <w:sz w:val="21"/>
          <w:szCs w:val="21"/>
          <w:lang w:val="en-US"/>
        </w:rPr>
        <w:t>13.6.1</w:t>
      </w:r>
      <w:r>
        <w:rPr>
          <w:rFonts w:hint="eastAsia"/>
          <w:sz w:val="21"/>
          <w:szCs w:val="21"/>
        </w:rPr>
        <w:t>承包人使用不合格材料、工程设备，或采用不适当的施工工艺，或施工不当，</w:t>
      </w:r>
      <w:r>
        <w:rPr>
          <w:sz w:val="21"/>
          <w:szCs w:val="21"/>
        </w:rPr>
        <w:t xml:space="preserve"> </w:t>
      </w:r>
      <w:r>
        <w:rPr>
          <w:rFonts w:hint="eastAsia"/>
          <w:sz w:val="21"/>
          <w:szCs w:val="21"/>
        </w:rPr>
        <w:t>造成工程不合格的，监理人可以随时发出指示，要求承包人立即采取措施进行补救，直至达到合同要求的质量标准，由此增加的费用和（或）工期延误由承包人承担。</w:t>
      </w:r>
    </w:p>
    <w:p w14:paraId="110FDD66">
      <w:pPr>
        <w:pStyle w:val="319"/>
        <w:ind w:firstLine="440"/>
        <w:rPr>
          <w:rFonts w:cs="Times New Roman"/>
          <w:sz w:val="21"/>
          <w:szCs w:val="21"/>
        </w:rPr>
      </w:pPr>
      <w:r>
        <w:rPr>
          <w:sz w:val="21"/>
          <w:szCs w:val="21"/>
          <w:lang w:val="en-US"/>
        </w:rPr>
        <w:t>13.6.2</w:t>
      </w:r>
      <w:r>
        <w:rPr>
          <w:rFonts w:hint="eastAsia"/>
          <w:sz w:val="21"/>
          <w:szCs w:val="21"/>
        </w:rPr>
        <w:t>由于发包人提供的材料或工程设备不合格造成的工程不合格，需要承包人采取措施补救的，发包人应承担由此增加的费用和（或）工期延误，并支付承包人合理利润。</w:t>
      </w:r>
    </w:p>
    <w:p w14:paraId="2D53F3DD">
      <w:pPr>
        <w:pStyle w:val="318"/>
        <w:spacing w:line="360" w:lineRule="auto"/>
        <w:rPr>
          <w:rFonts w:ascii="宋体" w:cs="宋体"/>
          <w:sz w:val="21"/>
          <w:szCs w:val="21"/>
        </w:rPr>
      </w:pPr>
      <w:bookmarkStart w:id="1095" w:name="_Toc14095"/>
      <w:bookmarkStart w:id="1096" w:name="_Toc13225"/>
      <w:bookmarkStart w:id="1097" w:name="_Toc256000103"/>
      <w:bookmarkStart w:id="1098" w:name="_Toc256000353"/>
      <w:bookmarkStart w:id="1099" w:name="_Toc29398"/>
      <w:bookmarkStart w:id="1100" w:name="_Toc3708"/>
      <w:r>
        <w:rPr>
          <w:rFonts w:ascii="宋体" w:hAnsi="宋体" w:cs="宋体"/>
          <w:sz w:val="21"/>
          <w:szCs w:val="21"/>
        </w:rPr>
        <w:t>13.7</w:t>
      </w:r>
      <w:r>
        <w:rPr>
          <w:rFonts w:hint="eastAsia" w:ascii="宋体" w:hAnsi="宋体" w:cs="宋体"/>
          <w:sz w:val="21"/>
          <w:szCs w:val="21"/>
        </w:rPr>
        <w:t>质量评定</w:t>
      </w:r>
      <w:bookmarkEnd w:id="1095"/>
      <w:bookmarkEnd w:id="1096"/>
      <w:bookmarkEnd w:id="1097"/>
      <w:bookmarkEnd w:id="1098"/>
      <w:bookmarkEnd w:id="1099"/>
      <w:bookmarkEnd w:id="1100"/>
    </w:p>
    <w:p w14:paraId="6D73A177">
      <w:pPr>
        <w:pStyle w:val="319"/>
        <w:ind w:firstLine="440"/>
        <w:rPr>
          <w:rFonts w:cs="Times New Roman"/>
          <w:sz w:val="21"/>
          <w:szCs w:val="21"/>
        </w:rPr>
      </w:pPr>
      <w:r>
        <w:rPr>
          <w:sz w:val="21"/>
          <w:szCs w:val="21"/>
          <w:lang w:val="en-US"/>
        </w:rPr>
        <w:t>13.7.1</w:t>
      </w:r>
      <w:r>
        <w:rPr>
          <w:rFonts w:hint="eastAsia"/>
          <w:sz w:val="21"/>
          <w:szCs w:val="21"/>
        </w:rPr>
        <w:t>发包人应组织承包人进行工程项目划分，并确定单位工程、主要分部工程、重要隐蔽单元工程和关键部位单元工程。</w:t>
      </w:r>
    </w:p>
    <w:p w14:paraId="1AD21683">
      <w:pPr>
        <w:pStyle w:val="319"/>
        <w:ind w:firstLine="440"/>
        <w:rPr>
          <w:rFonts w:cs="Times New Roman"/>
          <w:sz w:val="21"/>
          <w:szCs w:val="21"/>
        </w:rPr>
      </w:pPr>
      <w:r>
        <w:rPr>
          <w:sz w:val="21"/>
          <w:szCs w:val="21"/>
          <w:lang w:val="en-US"/>
        </w:rPr>
        <w:t>13.7.2</w:t>
      </w:r>
      <w:r>
        <w:rPr>
          <w:rFonts w:hint="eastAsia"/>
          <w:sz w:val="21"/>
          <w:szCs w:val="21"/>
        </w:rPr>
        <w:t>工程实施过程中，单位工程、主要分部工程、重要隐蔽单元工程和关键部位单元工程的项目划分需要调整时，承包人应报发包人确认。</w:t>
      </w:r>
    </w:p>
    <w:p w14:paraId="556D9564">
      <w:pPr>
        <w:pStyle w:val="319"/>
        <w:ind w:firstLine="440"/>
        <w:rPr>
          <w:rFonts w:cs="Times New Roman"/>
          <w:sz w:val="21"/>
          <w:szCs w:val="21"/>
        </w:rPr>
      </w:pPr>
      <w:r>
        <w:rPr>
          <w:sz w:val="21"/>
          <w:szCs w:val="21"/>
          <w:lang w:val="en-US"/>
        </w:rPr>
        <w:t>13.7.3</w:t>
      </w:r>
      <w:r>
        <w:rPr>
          <w:rFonts w:hint="eastAsia"/>
          <w:sz w:val="21"/>
          <w:szCs w:val="21"/>
        </w:rPr>
        <w:t>承包人应在单元（工序）工程质量自评合格后，报监理人核定质量等级并签证认可。</w:t>
      </w:r>
    </w:p>
    <w:p w14:paraId="436BDC20">
      <w:pPr>
        <w:pStyle w:val="319"/>
        <w:ind w:firstLine="440"/>
        <w:rPr>
          <w:rFonts w:cs="Times New Roman"/>
          <w:sz w:val="21"/>
          <w:szCs w:val="21"/>
        </w:rPr>
      </w:pPr>
      <w:r>
        <w:rPr>
          <w:sz w:val="21"/>
          <w:szCs w:val="21"/>
          <w:lang w:val="en-US"/>
        </w:rPr>
        <w:t>13.7.4</w:t>
      </w:r>
      <w:r>
        <w:rPr>
          <w:rFonts w:hint="eastAsia"/>
          <w:sz w:val="21"/>
          <w:szCs w:val="21"/>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01B90546">
      <w:pPr>
        <w:pStyle w:val="319"/>
        <w:ind w:firstLine="440"/>
        <w:rPr>
          <w:rFonts w:cs="Times New Roman"/>
          <w:sz w:val="21"/>
          <w:szCs w:val="21"/>
        </w:rPr>
      </w:pPr>
      <w:r>
        <w:rPr>
          <w:sz w:val="21"/>
          <w:szCs w:val="21"/>
          <w:lang w:val="en-US"/>
        </w:rPr>
        <w:t>13.7.5</w:t>
      </w:r>
      <w:r>
        <w:rPr>
          <w:rFonts w:hint="eastAsia"/>
          <w:sz w:val="21"/>
          <w:szCs w:val="21"/>
        </w:rPr>
        <w:t>承包人应在分部工程质量自评合格后，报监理人复核和发包人认定。发包人负责按有关规定完成分部工程质量结论报工程质量监督机构核备（核定）手续。</w:t>
      </w:r>
    </w:p>
    <w:p w14:paraId="31D9FCFE">
      <w:pPr>
        <w:pStyle w:val="319"/>
        <w:ind w:firstLine="440"/>
        <w:rPr>
          <w:rFonts w:cs="Times New Roman"/>
          <w:sz w:val="21"/>
          <w:szCs w:val="21"/>
        </w:rPr>
      </w:pPr>
      <w:r>
        <w:rPr>
          <w:sz w:val="21"/>
          <w:szCs w:val="21"/>
          <w:lang w:val="en-US"/>
        </w:rPr>
        <w:t>13.7.6</w:t>
      </w:r>
      <w:r>
        <w:rPr>
          <w:rFonts w:hint="eastAsia"/>
          <w:sz w:val="21"/>
          <w:szCs w:val="21"/>
        </w:rPr>
        <w:t>承包人应在单位工程质量自评合格后，报监理人复核和发包人认定。发包人负责按有关规定完成单位工程质量结论报工程质量监督机构核定手续。</w:t>
      </w:r>
    </w:p>
    <w:p w14:paraId="7C7A314C">
      <w:pPr>
        <w:pStyle w:val="319"/>
        <w:spacing w:after="120"/>
        <w:ind w:firstLine="440"/>
        <w:rPr>
          <w:rFonts w:cs="Times New Roman"/>
          <w:sz w:val="21"/>
          <w:szCs w:val="21"/>
        </w:rPr>
      </w:pPr>
      <w:r>
        <w:rPr>
          <w:sz w:val="21"/>
          <w:szCs w:val="21"/>
          <w:lang w:val="en-US"/>
        </w:rPr>
        <w:t>13.7.7</w:t>
      </w:r>
      <w:r>
        <w:rPr>
          <w:rFonts w:hint="eastAsia"/>
          <w:sz w:val="21"/>
          <w:szCs w:val="21"/>
        </w:rPr>
        <w:t>除专用合同条款另有约定外，工程质量等级分为合格和优良，应分别达到约定的标准。</w:t>
      </w:r>
    </w:p>
    <w:p w14:paraId="63241888">
      <w:pPr>
        <w:pStyle w:val="318"/>
        <w:spacing w:line="360" w:lineRule="auto"/>
        <w:rPr>
          <w:rFonts w:ascii="宋体" w:cs="宋体"/>
          <w:sz w:val="21"/>
          <w:szCs w:val="21"/>
        </w:rPr>
      </w:pPr>
      <w:bookmarkStart w:id="1101" w:name="_Toc19937"/>
      <w:bookmarkStart w:id="1102" w:name="bookmark1249"/>
      <w:bookmarkStart w:id="1103" w:name="bookmark1250"/>
      <w:bookmarkStart w:id="1104" w:name="_Toc19883"/>
      <w:bookmarkStart w:id="1105" w:name="_Toc6562"/>
      <w:bookmarkStart w:id="1106" w:name="_Toc256000354"/>
      <w:bookmarkStart w:id="1107" w:name="bookmark1251"/>
      <w:bookmarkStart w:id="1108" w:name="_Toc256000104"/>
      <w:bookmarkStart w:id="1109" w:name="_Toc21295"/>
      <w:r>
        <w:rPr>
          <w:rFonts w:ascii="宋体" w:hAnsi="宋体" w:cs="宋体"/>
          <w:sz w:val="21"/>
          <w:szCs w:val="21"/>
        </w:rPr>
        <w:t>13.8</w:t>
      </w:r>
      <w:r>
        <w:rPr>
          <w:rFonts w:hint="eastAsia" w:ascii="宋体" w:hAnsi="宋体" w:cs="宋体"/>
          <w:sz w:val="21"/>
          <w:szCs w:val="21"/>
        </w:rPr>
        <w:t>质量事故处理</w:t>
      </w:r>
      <w:bookmarkEnd w:id="1101"/>
      <w:bookmarkEnd w:id="1102"/>
      <w:bookmarkEnd w:id="1103"/>
      <w:bookmarkEnd w:id="1104"/>
      <w:bookmarkEnd w:id="1105"/>
      <w:bookmarkEnd w:id="1106"/>
      <w:bookmarkEnd w:id="1107"/>
      <w:bookmarkEnd w:id="1108"/>
      <w:bookmarkEnd w:id="1109"/>
    </w:p>
    <w:p w14:paraId="5CBC9E4F">
      <w:pPr>
        <w:pStyle w:val="319"/>
        <w:ind w:firstLine="420"/>
        <w:rPr>
          <w:rFonts w:cs="Times New Roman"/>
          <w:sz w:val="21"/>
          <w:szCs w:val="21"/>
        </w:rPr>
      </w:pPr>
      <w:r>
        <w:rPr>
          <w:sz w:val="21"/>
          <w:szCs w:val="21"/>
          <w:lang w:val="en-US"/>
        </w:rPr>
        <w:t>13.8.1</w:t>
      </w:r>
      <w:r>
        <w:rPr>
          <w:rFonts w:hint="eastAsia"/>
          <w:sz w:val="21"/>
          <w:szCs w:val="21"/>
        </w:rPr>
        <w:t>发生质量事故时，承包人应及时向发包人和监理人报告。</w:t>
      </w:r>
    </w:p>
    <w:p w14:paraId="49642C9C">
      <w:pPr>
        <w:pStyle w:val="319"/>
        <w:ind w:firstLine="420"/>
        <w:rPr>
          <w:rFonts w:cs="Times New Roman"/>
          <w:sz w:val="21"/>
          <w:szCs w:val="21"/>
        </w:rPr>
      </w:pPr>
      <w:r>
        <w:rPr>
          <w:sz w:val="21"/>
          <w:szCs w:val="21"/>
          <w:lang w:val="en-US"/>
        </w:rPr>
        <w:t>13.8.2</w:t>
      </w:r>
      <w:r>
        <w:rPr>
          <w:rFonts w:hint="eastAsia"/>
          <w:sz w:val="21"/>
          <w:szCs w:val="21"/>
        </w:rPr>
        <w:t>质量事故调查处理由发包人按相关规定履行手续，承包人应配合。</w:t>
      </w:r>
    </w:p>
    <w:p w14:paraId="23660209">
      <w:pPr>
        <w:pStyle w:val="319"/>
        <w:ind w:firstLine="440"/>
        <w:rPr>
          <w:rFonts w:cs="Times New Roman"/>
          <w:sz w:val="21"/>
          <w:szCs w:val="21"/>
        </w:rPr>
      </w:pPr>
      <w:r>
        <w:rPr>
          <w:sz w:val="21"/>
          <w:szCs w:val="21"/>
          <w:lang w:val="en-US"/>
        </w:rPr>
        <w:t>13.8.3</w:t>
      </w:r>
      <w:r>
        <w:rPr>
          <w:rFonts w:hint="eastAsia"/>
          <w:sz w:val="21"/>
          <w:szCs w:val="21"/>
        </w:rPr>
        <w:t>承包人应对质量缺陷进行备案。发包人委托监理人对质量缺陷备案情况进行监督检查并履行相关手续。</w:t>
      </w:r>
    </w:p>
    <w:p w14:paraId="15694778">
      <w:pPr>
        <w:pStyle w:val="319"/>
        <w:spacing w:after="240"/>
        <w:ind w:firstLine="440"/>
        <w:rPr>
          <w:rFonts w:cs="Times New Roman"/>
          <w:sz w:val="21"/>
          <w:szCs w:val="21"/>
        </w:rPr>
      </w:pPr>
      <w:r>
        <w:rPr>
          <w:sz w:val="21"/>
          <w:szCs w:val="21"/>
          <w:lang w:val="en-US"/>
        </w:rPr>
        <w:t>13.8.4</w:t>
      </w:r>
      <w:r>
        <w:rPr>
          <w:rFonts w:hint="eastAsia"/>
          <w:sz w:val="21"/>
          <w:szCs w:val="21"/>
        </w:rPr>
        <w:t>除专用合同条款另有约定外，工程竣工验收时，发包人负责向竣工验收委员会汇报并提交历次质量缺陷处理的备案资料。</w:t>
      </w:r>
    </w:p>
    <w:p w14:paraId="331EB381">
      <w:pPr>
        <w:pStyle w:val="318"/>
        <w:spacing w:line="360" w:lineRule="auto"/>
        <w:rPr>
          <w:rFonts w:ascii="宋体" w:cs="宋体"/>
          <w:sz w:val="21"/>
          <w:szCs w:val="21"/>
        </w:rPr>
      </w:pPr>
      <w:bookmarkStart w:id="1110" w:name="_Toc13215"/>
      <w:bookmarkStart w:id="1111" w:name="_Toc3911"/>
      <w:bookmarkStart w:id="1112" w:name="bookmark1252"/>
      <w:bookmarkStart w:id="1113" w:name="_Toc256000355"/>
      <w:bookmarkStart w:id="1114" w:name="_Toc256000105"/>
      <w:bookmarkStart w:id="1115" w:name="bookmark1254"/>
      <w:bookmarkStart w:id="1116" w:name="_Toc7588"/>
      <w:bookmarkStart w:id="1117" w:name="_Toc17645"/>
      <w:bookmarkStart w:id="1118" w:name="bookmark1253"/>
      <w:r>
        <w:rPr>
          <w:rFonts w:ascii="宋体" w:hAnsi="宋体" w:cs="宋体"/>
          <w:sz w:val="21"/>
          <w:szCs w:val="21"/>
        </w:rPr>
        <w:t>14 .</w:t>
      </w:r>
      <w:r>
        <w:rPr>
          <w:rFonts w:hint="eastAsia" w:ascii="宋体" w:hAnsi="宋体" w:cs="宋体"/>
          <w:sz w:val="21"/>
          <w:szCs w:val="21"/>
        </w:rPr>
        <w:t>试验和检验</w:t>
      </w:r>
      <w:bookmarkEnd w:id="1110"/>
      <w:bookmarkEnd w:id="1111"/>
      <w:bookmarkEnd w:id="1112"/>
      <w:bookmarkEnd w:id="1113"/>
      <w:bookmarkEnd w:id="1114"/>
      <w:bookmarkEnd w:id="1115"/>
      <w:bookmarkEnd w:id="1116"/>
      <w:bookmarkEnd w:id="1117"/>
      <w:bookmarkEnd w:id="1118"/>
    </w:p>
    <w:p w14:paraId="3C7DB714">
      <w:pPr>
        <w:pStyle w:val="318"/>
        <w:spacing w:line="360" w:lineRule="auto"/>
        <w:rPr>
          <w:rFonts w:ascii="宋体" w:cs="宋体"/>
          <w:sz w:val="21"/>
          <w:szCs w:val="21"/>
        </w:rPr>
      </w:pPr>
      <w:bookmarkStart w:id="1119" w:name="_Toc256000356"/>
      <w:bookmarkStart w:id="1120" w:name="_Toc19163"/>
      <w:bookmarkStart w:id="1121" w:name="bookmark1256"/>
      <w:bookmarkStart w:id="1122" w:name="_Toc11301"/>
      <w:bookmarkStart w:id="1123" w:name="_Toc256000106"/>
      <w:bookmarkStart w:id="1124" w:name="_Toc16875"/>
      <w:bookmarkStart w:id="1125" w:name="bookmark1255"/>
      <w:bookmarkStart w:id="1126" w:name="_Toc18503"/>
      <w:bookmarkStart w:id="1127" w:name="bookmark1257"/>
      <w:r>
        <w:rPr>
          <w:rFonts w:ascii="宋体" w:hAnsi="宋体" w:cs="宋体"/>
          <w:sz w:val="21"/>
          <w:szCs w:val="21"/>
        </w:rPr>
        <w:t>14.1</w:t>
      </w:r>
      <w:r>
        <w:rPr>
          <w:rFonts w:hint="eastAsia" w:ascii="宋体" w:hAnsi="宋体" w:cs="宋体"/>
          <w:sz w:val="21"/>
          <w:szCs w:val="21"/>
        </w:rPr>
        <w:t>材料、工程设备和工程的试验和检验</w:t>
      </w:r>
      <w:bookmarkEnd w:id="1119"/>
      <w:bookmarkEnd w:id="1120"/>
      <w:bookmarkEnd w:id="1121"/>
      <w:bookmarkEnd w:id="1122"/>
      <w:bookmarkEnd w:id="1123"/>
      <w:bookmarkEnd w:id="1124"/>
      <w:bookmarkEnd w:id="1125"/>
      <w:bookmarkEnd w:id="1126"/>
      <w:bookmarkEnd w:id="1127"/>
    </w:p>
    <w:p w14:paraId="063A3A2C">
      <w:pPr>
        <w:pStyle w:val="319"/>
        <w:ind w:firstLine="440"/>
        <w:rPr>
          <w:rFonts w:cs="Times New Roman"/>
          <w:sz w:val="21"/>
          <w:szCs w:val="21"/>
        </w:rPr>
      </w:pPr>
      <w:bookmarkStart w:id="1128" w:name="bookmark1258"/>
      <w:bookmarkEnd w:id="1128"/>
      <w:r>
        <w:rPr>
          <w:sz w:val="21"/>
          <w:szCs w:val="21"/>
        </w:rPr>
        <w:t>14.1.1</w:t>
      </w:r>
      <w:r>
        <w:rPr>
          <w:rFonts w:hint="eastAsia"/>
          <w:sz w:val="21"/>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EADFD58">
      <w:pPr>
        <w:pStyle w:val="319"/>
        <w:ind w:firstLine="440"/>
        <w:rPr>
          <w:rFonts w:cs="Times New Roman"/>
          <w:sz w:val="21"/>
          <w:szCs w:val="21"/>
        </w:rPr>
      </w:pPr>
      <w:r>
        <w:rPr>
          <w:sz w:val="21"/>
          <w:szCs w:val="21"/>
          <w:lang w:val="en-US"/>
        </w:rPr>
        <w:t>14.1.2</w:t>
      </w:r>
      <w:r>
        <w:rPr>
          <w:rFonts w:hint="eastAsia"/>
          <w:sz w:val="21"/>
          <w:szCs w:val="21"/>
        </w:rPr>
        <w:t>监理人未按合同约定派员参加试验和检验的，除监理人另有指示外，承包人可自行试验和检验，并应立即将试验和检验结果报送监理人，监理人应签字确认。</w:t>
      </w:r>
    </w:p>
    <w:p w14:paraId="334096C7">
      <w:pPr>
        <w:pStyle w:val="319"/>
        <w:ind w:firstLine="440"/>
        <w:rPr>
          <w:rFonts w:cs="Times New Roman"/>
          <w:sz w:val="21"/>
          <w:szCs w:val="21"/>
        </w:rPr>
      </w:pPr>
      <w:r>
        <w:rPr>
          <w:sz w:val="21"/>
          <w:szCs w:val="21"/>
          <w:lang w:val="en-US"/>
        </w:rPr>
        <w:t>14.1.3</w:t>
      </w:r>
      <w:r>
        <w:rPr>
          <w:rFonts w:hint="eastAsia"/>
          <w:sz w:val="21"/>
          <w:szCs w:val="21"/>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AD10D3C">
      <w:pPr>
        <w:pStyle w:val="319"/>
        <w:ind w:firstLine="440"/>
        <w:rPr>
          <w:rFonts w:cs="Times New Roman"/>
          <w:sz w:val="21"/>
          <w:szCs w:val="21"/>
        </w:rPr>
      </w:pPr>
      <w:r>
        <w:rPr>
          <w:sz w:val="21"/>
          <w:szCs w:val="21"/>
          <w:lang w:val="en-US"/>
        </w:rPr>
        <w:t>14.1.4</w:t>
      </w:r>
      <w:r>
        <w:rPr>
          <w:rFonts w:hint="eastAsia"/>
          <w:sz w:val="21"/>
          <w:szCs w:val="21"/>
        </w:rPr>
        <w:t>承包人应按相关规定和标准对水泥、钢材等原材料与中间产品质量进行检验</w:t>
      </w:r>
      <w:r>
        <w:rPr>
          <w:sz w:val="21"/>
          <w:szCs w:val="21"/>
        </w:rPr>
        <w:t xml:space="preserve">, </w:t>
      </w:r>
      <w:r>
        <w:rPr>
          <w:rFonts w:hint="eastAsia"/>
          <w:sz w:val="21"/>
          <w:szCs w:val="21"/>
        </w:rPr>
        <w:t>并报监理人复核。</w:t>
      </w:r>
    </w:p>
    <w:p w14:paraId="4C5AAD6B">
      <w:pPr>
        <w:pStyle w:val="319"/>
        <w:ind w:firstLine="440"/>
        <w:rPr>
          <w:rFonts w:cs="Times New Roman"/>
          <w:sz w:val="21"/>
          <w:szCs w:val="21"/>
        </w:rPr>
      </w:pPr>
      <w:r>
        <w:rPr>
          <w:sz w:val="21"/>
          <w:szCs w:val="21"/>
          <w:lang w:val="en-US"/>
        </w:rPr>
        <w:t>14.1.5</w:t>
      </w:r>
      <w:r>
        <w:rPr>
          <w:rFonts w:hint="eastAsia"/>
          <w:sz w:val="21"/>
          <w:szCs w:val="21"/>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30284E15">
      <w:pPr>
        <w:pStyle w:val="319"/>
        <w:spacing w:after="120"/>
        <w:ind w:firstLine="440"/>
        <w:rPr>
          <w:rFonts w:cs="Times New Roman"/>
          <w:sz w:val="21"/>
          <w:szCs w:val="21"/>
        </w:rPr>
      </w:pPr>
      <w:r>
        <w:rPr>
          <w:sz w:val="21"/>
          <w:szCs w:val="21"/>
          <w:lang w:val="en-US"/>
        </w:rPr>
        <w:t>14.1.6</w:t>
      </w:r>
      <w:r>
        <w:rPr>
          <w:rFonts w:hint="eastAsia"/>
          <w:sz w:val="21"/>
          <w:szCs w:val="21"/>
        </w:rPr>
        <w:t>对专用合同条款约定的试块、试件及有关材料，监理人实行见证取样。见证取样资料由承包人制备，记录应真实齐全，监理人、承包人等参与见证取样人员均应在相关文件上签字。</w:t>
      </w:r>
    </w:p>
    <w:p w14:paraId="18BDB1F8">
      <w:pPr>
        <w:pStyle w:val="318"/>
        <w:spacing w:line="360" w:lineRule="auto"/>
        <w:rPr>
          <w:rFonts w:ascii="宋体" w:cs="宋体"/>
          <w:sz w:val="21"/>
          <w:szCs w:val="21"/>
        </w:rPr>
      </w:pPr>
      <w:bookmarkStart w:id="1129" w:name="_Toc256000357"/>
      <w:bookmarkStart w:id="1130" w:name="_Toc28715"/>
      <w:bookmarkStart w:id="1131" w:name="_Toc14685"/>
      <w:bookmarkStart w:id="1132" w:name="bookmark1261"/>
      <w:bookmarkStart w:id="1133" w:name="_Toc256000107"/>
      <w:bookmarkStart w:id="1134" w:name="_Toc12417"/>
      <w:bookmarkStart w:id="1135" w:name="_Toc24338"/>
      <w:bookmarkStart w:id="1136" w:name="bookmark1259"/>
      <w:bookmarkStart w:id="1137" w:name="bookmark1260"/>
      <w:r>
        <w:rPr>
          <w:rFonts w:ascii="宋体" w:hAnsi="宋体" w:cs="宋体"/>
          <w:sz w:val="21"/>
          <w:szCs w:val="21"/>
        </w:rPr>
        <w:t>14.2</w:t>
      </w:r>
      <w:r>
        <w:rPr>
          <w:rFonts w:hint="eastAsia" w:ascii="宋体" w:hAnsi="宋体" w:cs="宋体"/>
          <w:sz w:val="21"/>
          <w:szCs w:val="21"/>
        </w:rPr>
        <w:t>现场材料试验</w:t>
      </w:r>
      <w:bookmarkEnd w:id="1129"/>
      <w:bookmarkEnd w:id="1130"/>
      <w:bookmarkEnd w:id="1131"/>
      <w:bookmarkEnd w:id="1132"/>
      <w:bookmarkEnd w:id="1133"/>
      <w:bookmarkEnd w:id="1134"/>
      <w:bookmarkEnd w:id="1135"/>
      <w:bookmarkEnd w:id="1136"/>
      <w:bookmarkEnd w:id="1137"/>
    </w:p>
    <w:p w14:paraId="01C786FC">
      <w:pPr>
        <w:pStyle w:val="319"/>
        <w:ind w:firstLine="440"/>
        <w:rPr>
          <w:rFonts w:cs="Times New Roman"/>
          <w:sz w:val="21"/>
          <w:szCs w:val="21"/>
        </w:rPr>
      </w:pPr>
      <w:bookmarkStart w:id="1138" w:name="bookmark1262"/>
      <w:bookmarkEnd w:id="1138"/>
      <w:r>
        <w:rPr>
          <w:sz w:val="21"/>
          <w:szCs w:val="21"/>
          <w:lang w:val="en-US"/>
        </w:rPr>
        <w:t>14.2.</w:t>
      </w:r>
      <w:r>
        <w:rPr>
          <w:sz w:val="21"/>
          <w:szCs w:val="21"/>
        </w:rPr>
        <w:t>1</w:t>
      </w:r>
      <w:r>
        <w:rPr>
          <w:rFonts w:hint="eastAsia"/>
          <w:sz w:val="21"/>
          <w:szCs w:val="21"/>
        </w:rPr>
        <w:t>承包人根据合同约定或监理人指示进行的现场材料试验，应由承包人提供试</w:t>
      </w:r>
      <w:r>
        <w:rPr>
          <w:sz w:val="21"/>
          <w:szCs w:val="21"/>
        </w:rPr>
        <w:t xml:space="preserve"> </w:t>
      </w:r>
      <w:r>
        <w:rPr>
          <w:rFonts w:hint="eastAsia"/>
          <w:sz w:val="21"/>
          <w:szCs w:val="21"/>
        </w:rPr>
        <w:t>验场所、试验人员、试验设备器材以及其他必要的试验条件。</w:t>
      </w:r>
    </w:p>
    <w:p w14:paraId="658CA951">
      <w:pPr>
        <w:pStyle w:val="319"/>
        <w:ind w:firstLine="440"/>
        <w:rPr>
          <w:rFonts w:cs="Times New Roman"/>
          <w:sz w:val="21"/>
          <w:szCs w:val="21"/>
        </w:rPr>
      </w:pPr>
      <w:bookmarkStart w:id="1139" w:name="bookmark1263"/>
      <w:bookmarkEnd w:id="1139"/>
      <w:r>
        <w:rPr>
          <w:sz w:val="21"/>
          <w:szCs w:val="21"/>
          <w:lang w:val="en-US"/>
        </w:rPr>
        <w:t>14.2.</w:t>
      </w:r>
      <w:r>
        <w:rPr>
          <w:sz w:val="21"/>
          <w:szCs w:val="21"/>
        </w:rPr>
        <w:t>2</w:t>
      </w:r>
      <w:r>
        <w:rPr>
          <w:rFonts w:hint="eastAsia"/>
          <w:sz w:val="21"/>
          <w:szCs w:val="21"/>
        </w:rPr>
        <w:t>监理人在必要时可以使用承包人的试验场所、试验设备器材以及其他试验条件，进行以工程质量检查为目的的复核性材料试验，承包人应予以协助。</w:t>
      </w:r>
    </w:p>
    <w:p w14:paraId="3AFBFC18">
      <w:pPr>
        <w:pStyle w:val="318"/>
        <w:spacing w:line="360" w:lineRule="auto"/>
        <w:rPr>
          <w:rFonts w:ascii="宋体" w:cs="宋体"/>
          <w:sz w:val="21"/>
          <w:szCs w:val="21"/>
        </w:rPr>
      </w:pPr>
      <w:bookmarkStart w:id="1140" w:name="_Toc22549"/>
      <w:bookmarkStart w:id="1141" w:name="_Toc256000108"/>
      <w:bookmarkStart w:id="1142" w:name="_Toc21991"/>
      <w:bookmarkStart w:id="1143" w:name="_Toc12109"/>
      <w:bookmarkStart w:id="1144" w:name="bookmark1264"/>
      <w:bookmarkStart w:id="1145" w:name="bookmark1266"/>
      <w:bookmarkStart w:id="1146" w:name="_Toc9735"/>
      <w:bookmarkStart w:id="1147" w:name="bookmark1265"/>
      <w:bookmarkStart w:id="1148" w:name="_Toc256000358"/>
      <w:r>
        <w:rPr>
          <w:rFonts w:ascii="宋体" w:hAnsi="宋体" w:cs="宋体"/>
          <w:sz w:val="21"/>
          <w:szCs w:val="21"/>
        </w:rPr>
        <w:t>14.3</w:t>
      </w:r>
      <w:r>
        <w:rPr>
          <w:rFonts w:hint="eastAsia" w:ascii="宋体" w:hAnsi="宋体" w:cs="宋体"/>
          <w:sz w:val="21"/>
          <w:szCs w:val="21"/>
        </w:rPr>
        <w:t>现场工艺试验</w:t>
      </w:r>
      <w:bookmarkEnd w:id="1140"/>
      <w:bookmarkEnd w:id="1141"/>
      <w:bookmarkEnd w:id="1142"/>
      <w:bookmarkEnd w:id="1143"/>
      <w:bookmarkEnd w:id="1144"/>
      <w:bookmarkEnd w:id="1145"/>
      <w:bookmarkEnd w:id="1146"/>
      <w:bookmarkEnd w:id="1147"/>
      <w:bookmarkEnd w:id="1148"/>
    </w:p>
    <w:p w14:paraId="454706BC">
      <w:pPr>
        <w:pStyle w:val="319"/>
        <w:spacing w:after="120"/>
        <w:ind w:firstLine="440"/>
        <w:rPr>
          <w:rFonts w:cs="Times New Roman"/>
          <w:sz w:val="21"/>
          <w:szCs w:val="21"/>
        </w:rPr>
      </w:pPr>
      <w:r>
        <w:rPr>
          <w:rFonts w:hint="eastAsia"/>
          <w:sz w:val="21"/>
          <w:szCs w:val="21"/>
        </w:rPr>
        <w:t>承包人应按合同约定或监理人指示进行现场工艺试验。对大型的现场工艺试验，监理人认为必要时，应由承包人根据监理人提出的工艺试验要求，编制工艺试验措施计划，报送监理人审批。</w:t>
      </w:r>
    </w:p>
    <w:p w14:paraId="25AB32CA">
      <w:pPr>
        <w:pStyle w:val="318"/>
        <w:spacing w:line="360" w:lineRule="auto"/>
        <w:rPr>
          <w:rFonts w:ascii="宋体" w:cs="宋体"/>
          <w:sz w:val="21"/>
          <w:szCs w:val="21"/>
        </w:rPr>
      </w:pPr>
      <w:bookmarkStart w:id="1149" w:name="_Toc5435"/>
      <w:bookmarkStart w:id="1150" w:name="_Toc739"/>
      <w:bookmarkStart w:id="1151" w:name="_Toc256000109"/>
      <w:bookmarkStart w:id="1152" w:name="bookmark1269"/>
      <w:bookmarkStart w:id="1153" w:name="_Toc256000359"/>
      <w:bookmarkStart w:id="1154" w:name="_Toc9858"/>
      <w:bookmarkStart w:id="1155" w:name="_Toc2060"/>
      <w:bookmarkStart w:id="1156" w:name="bookmark1268"/>
      <w:bookmarkStart w:id="1157" w:name="bookmark1267"/>
      <w:r>
        <w:rPr>
          <w:rFonts w:ascii="宋体" w:hAnsi="宋体" w:cs="宋体"/>
          <w:sz w:val="21"/>
          <w:szCs w:val="21"/>
        </w:rPr>
        <w:t>15.</w:t>
      </w:r>
      <w:r>
        <w:rPr>
          <w:rFonts w:hint="eastAsia" w:ascii="宋体" w:hAnsi="宋体" w:cs="宋体"/>
          <w:sz w:val="21"/>
          <w:szCs w:val="21"/>
        </w:rPr>
        <w:t>变更</w:t>
      </w:r>
      <w:bookmarkEnd w:id="1149"/>
      <w:bookmarkEnd w:id="1150"/>
      <w:bookmarkEnd w:id="1151"/>
      <w:bookmarkEnd w:id="1152"/>
      <w:bookmarkEnd w:id="1153"/>
      <w:bookmarkEnd w:id="1154"/>
      <w:bookmarkEnd w:id="1155"/>
    </w:p>
    <w:p w14:paraId="7F2A3A81">
      <w:pPr>
        <w:pStyle w:val="318"/>
        <w:spacing w:line="360" w:lineRule="auto"/>
        <w:rPr>
          <w:rFonts w:ascii="宋体" w:cs="宋体"/>
          <w:sz w:val="21"/>
          <w:szCs w:val="21"/>
        </w:rPr>
      </w:pPr>
      <w:bookmarkStart w:id="1158" w:name="bookmark1270"/>
      <w:bookmarkStart w:id="1159" w:name="_Toc30097"/>
      <w:bookmarkStart w:id="1160" w:name="_Toc256000110"/>
      <w:bookmarkStart w:id="1161" w:name="_Toc15008"/>
      <w:bookmarkStart w:id="1162" w:name="_Toc8153"/>
      <w:bookmarkStart w:id="1163" w:name="_Toc256000360"/>
      <w:bookmarkStart w:id="1164" w:name="_Toc30204"/>
      <w:r>
        <w:rPr>
          <w:rFonts w:ascii="宋体" w:hAnsi="宋体" w:cs="宋体"/>
          <w:sz w:val="21"/>
          <w:szCs w:val="21"/>
        </w:rPr>
        <w:t>15.1</w:t>
      </w:r>
      <w:r>
        <w:rPr>
          <w:rFonts w:hint="eastAsia" w:ascii="宋体" w:hAnsi="宋体" w:cs="宋体"/>
          <w:sz w:val="21"/>
          <w:szCs w:val="21"/>
        </w:rPr>
        <w:t>变更的范围和内容</w:t>
      </w:r>
      <w:bookmarkEnd w:id="1156"/>
      <w:bookmarkEnd w:id="1157"/>
      <w:bookmarkEnd w:id="1158"/>
      <w:bookmarkEnd w:id="1159"/>
      <w:bookmarkEnd w:id="1160"/>
      <w:bookmarkEnd w:id="1161"/>
      <w:bookmarkEnd w:id="1162"/>
      <w:bookmarkEnd w:id="1163"/>
      <w:bookmarkEnd w:id="1164"/>
    </w:p>
    <w:p w14:paraId="0370B8FA">
      <w:pPr>
        <w:pStyle w:val="319"/>
        <w:ind w:firstLine="440"/>
        <w:rPr>
          <w:rFonts w:cs="Times New Roman"/>
          <w:sz w:val="21"/>
          <w:szCs w:val="21"/>
        </w:rPr>
      </w:pPr>
      <w:r>
        <w:rPr>
          <w:rFonts w:hint="eastAsia"/>
          <w:sz w:val="21"/>
          <w:szCs w:val="21"/>
        </w:rPr>
        <w:t>在履行合同中发生以下情形之一，应按照本条规定进行变更。</w:t>
      </w:r>
    </w:p>
    <w:p w14:paraId="25614784">
      <w:pPr>
        <w:pStyle w:val="319"/>
        <w:numPr>
          <w:ilvl w:val="0"/>
          <w:numId w:val="8"/>
        </w:numPr>
        <w:tabs>
          <w:tab w:val="left" w:pos="923"/>
        </w:tabs>
        <w:ind w:firstLine="440"/>
        <w:rPr>
          <w:rFonts w:cs="Times New Roman"/>
          <w:sz w:val="21"/>
          <w:szCs w:val="21"/>
        </w:rPr>
      </w:pPr>
      <w:bookmarkStart w:id="1165" w:name="bookmark1271"/>
      <w:bookmarkEnd w:id="1165"/>
      <w:r>
        <w:rPr>
          <w:rFonts w:hint="eastAsia"/>
          <w:sz w:val="21"/>
          <w:szCs w:val="21"/>
        </w:rPr>
        <w:t>取消合同中任何一项工作，但被取消的工作不能转由发包人或其它人实施；</w:t>
      </w:r>
    </w:p>
    <w:p w14:paraId="54367558">
      <w:pPr>
        <w:pStyle w:val="319"/>
        <w:numPr>
          <w:ilvl w:val="0"/>
          <w:numId w:val="8"/>
        </w:numPr>
        <w:tabs>
          <w:tab w:val="left" w:pos="923"/>
        </w:tabs>
        <w:ind w:firstLine="440"/>
        <w:rPr>
          <w:rFonts w:cs="Times New Roman"/>
          <w:sz w:val="21"/>
          <w:szCs w:val="21"/>
        </w:rPr>
      </w:pPr>
      <w:bookmarkStart w:id="1166" w:name="bookmark1272"/>
      <w:bookmarkEnd w:id="1166"/>
      <w:r>
        <w:rPr>
          <w:rFonts w:hint="eastAsia"/>
          <w:sz w:val="21"/>
          <w:szCs w:val="21"/>
        </w:rPr>
        <w:t>改变合同中任何一项工作的质量或其它特性；</w:t>
      </w:r>
    </w:p>
    <w:p w14:paraId="1B55C969">
      <w:pPr>
        <w:pStyle w:val="319"/>
        <w:numPr>
          <w:ilvl w:val="0"/>
          <w:numId w:val="8"/>
        </w:numPr>
        <w:tabs>
          <w:tab w:val="left" w:pos="923"/>
        </w:tabs>
        <w:ind w:firstLine="440"/>
        <w:rPr>
          <w:rFonts w:cs="Times New Roman"/>
          <w:sz w:val="21"/>
          <w:szCs w:val="21"/>
        </w:rPr>
      </w:pPr>
      <w:bookmarkStart w:id="1167" w:name="bookmark1273"/>
      <w:bookmarkEnd w:id="1167"/>
      <w:r>
        <w:rPr>
          <w:rFonts w:hint="eastAsia"/>
          <w:sz w:val="21"/>
          <w:szCs w:val="21"/>
        </w:rPr>
        <w:t>改变合同工程的基线、标高、位置或尺寸；</w:t>
      </w:r>
    </w:p>
    <w:p w14:paraId="4F42E009">
      <w:pPr>
        <w:pStyle w:val="319"/>
        <w:numPr>
          <w:ilvl w:val="0"/>
          <w:numId w:val="8"/>
        </w:numPr>
        <w:tabs>
          <w:tab w:val="left" w:pos="923"/>
        </w:tabs>
        <w:ind w:firstLine="440"/>
        <w:rPr>
          <w:rFonts w:cs="Times New Roman"/>
          <w:sz w:val="21"/>
          <w:szCs w:val="21"/>
        </w:rPr>
      </w:pPr>
      <w:bookmarkStart w:id="1168" w:name="bookmark1274"/>
      <w:bookmarkEnd w:id="1168"/>
      <w:r>
        <w:rPr>
          <w:rFonts w:hint="eastAsia"/>
          <w:sz w:val="21"/>
          <w:szCs w:val="21"/>
        </w:rPr>
        <w:t>改变合同中任何一项工作的施工时间或改变已批准的施工工艺或顺序；</w:t>
      </w:r>
    </w:p>
    <w:p w14:paraId="4C2B0A55">
      <w:pPr>
        <w:pStyle w:val="319"/>
        <w:numPr>
          <w:ilvl w:val="0"/>
          <w:numId w:val="8"/>
        </w:numPr>
        <w:tabs>
          <w:tab w:val="left" w:pos="923"/>
        </w:tabs>
        <w:ind w:firstLine="440"/>
        <w:rPr>
          <w:rFonts w:cs="Times New Roman"/>
          <w:sz w:val="21"/>
          <w:szCs w:val="21"/>
        </w:rPr>
      </w:pPr>
      <w:bookmarkStart w:id="1169" w:name="bookmark1275"/>
      <w:bookmarkEnd w:id="1169"/>
      <w:r>
        <w:rPr>
          <w:rFonts w:hint="eastAsia"/>
          <w:sz w:val="21"/>
          <w:szCs w:val="21"/>
        </w:rPr>
        <w:t>为完成工程需要追加的额外工作；</w:t>
      </w:r>
    </w:p>
    <w:p w14:paraId="0742EC86">
      <w:pPr>
        <w:pStyle w:val="319"/>
        <w:numPr>
          <w:ilvl w:val="0"/>
          <w:numId w:val="8"/>
        </w:numPr>
        <w:tabs>
          <w:tab w:val="left" w:pos="920"/>
        </w:tabs>
        <w:ind w:firstLine="440"/>
        <w:rPr>
          <w:rFonts w:cs="Times New Roman"/>
          <w:sz w:val="21"/>
          <w:szCs w:val="21"/>
        </w:rPr>
      </w:pPr>
      <w:bookmarkStart w:id="1170" w:name="bookmark1276"/>
      <w:bookmarkEnd w:id="1170"/>
      <w:r>
        <w:rPr>
          <w:rFonts w:hint="eastAsia"/>
          <w:sz w:val="21"/>
          <w:szCs w:val="21"/>
        </w:rPr>
        <w:t>增加或减少专用合同条款中约定的关键项目工程量超过其工程总量的一定数量的百分比。</w:t>
      </w:r>
    </w:p>
    <w:p w14:paraId="099D01F3">
      <w:pPr>
        <w:pStyle w:val="319"/>
        <w:ind w:firstLine="440"/>
        <w:rPr>
          <w:rFonts w:cs="Times New Roman"/>
          <w:sz w:val="21"/>
          <w:szCs w:val="21"/>
        </w:rPr>
      </w:pPr>
      <w:r>
        <w:rPr>
          <w:rFonts w:hint="eastAsia"/>
          <w:sz w:val="21"/>
          <w:szCs w:val="21"/>
        </w:rPr>
        <w:t>上述第</w:t>
      </w:r>
      <w:r>
        <w:rPr>
          <w:sz w:val="21"/>
          <w:szCs w:val="21"/>
        </w:rPr>
        <w:t>(1)~ (6)</w:t>
      </w:r>
      <w:r>
        <w:rPr>
          <w:rFonts w:hint="eastAsia"/>
          <w:sz w:val="21"/>
          <w:szCs w:val="21"/>
        </w:rPr>
        <w:t>目的变更内容引起工程施工组织和进度计划发生实质性变动和影响其原定的价格时，才予调整该项目的单价。第</w:t>
      </w:r>
      <w:r>
        <w:rPr>
          <w:sz w:val="21"/>
          <w:szCs w:val="21"/>
        </w:rPr>
        <w:t>(6)</w:t>
      </w:r>
      <w:r>
        <w:rPr>
          <w:rFonts w:hint="eastAsia"/>
          <w:sz w:val="21"/>
          <w:szCs w:val="21"/>
        </w:rPr>
        <w:t>目情形下单价调整方式在专用合同条款中约定。</w:t>
      </w:r>
    </w:p>
    <w:p w14:paraId="660E0D90">
      <w:pPr>
        <w:pStyle w:val="318"/>
        <w:spacing w:line="360" w:lineRule="auto"/>
        <w:rPr>
          <w:rFonts w:ascii="宋体" w:cs="宋体"/>
          <w:sz w:val="21"/>
          <w:szCs w:val="21"/>
        </w:rPr>
      </w:pPr>
      <w:bookmarkStart w:id="1171" w:name="_Toc256000111"/>
      <w:bookmarkStart w:id="1172" w:name="bookmark1278"/>
      <w:bookmarkStart w:id="1173" w:name="_Toc25903"/>
      <w:bookmarkStart w:id="1174" w:name="_Toc7390"/>
      <w:bookmarkStart w:id="1175" w:name="_Toc256000361"/>
      <w:bookmarkStart w:id="1176" w:name="bookmark1279"/>
      <w:bookmarkStart w:id="1177" w:name="bookmark1277"/>
      <w:bookmarkStart w:id="1178" w:name="_Toc17873"/>
      <w:bookmarkStart w:id="1179" w:name="_Toc2969"/>
      <w:r>
        <w:rPr>
          <w:rFonts w:ascii="宋体" w:hAnsi="宋体" w:cs="宋体"/>
          <w:sz w:val="21"/>
          <w:szCs w:val="21"/>
        </w:rPr>
        <w:t>15.2</w:t>
      </w:r>
      <w:r>
        <w:rPr>
          <w:rFonts w:hint="eastAsia" w:ascii="宋体" w:hAnsi="宋体" w:cs="宋体"/>
          <w:sz w:val="21"/>
          <w:szCs w:val="21"/>
        </w:rPr>
        <w:t>变更权</w:t>
      </w:r>
      <w:bookmarkEnd w:id="1171"/>
      <w:bookmarkEnd w:id="1172"/>
      <w:bookmarkEnd w:id="1173"/>
      <w:bookmarkEnd w:id="1174"/>
      <w:bookmarkEnd w:id="1175"/>
      <w:bookmarkEnd w:id="1176"/>
      <w:bookmarkEnd w:id="1177"/>
      <w:bookmarkEnd w:id="1178"/>
      <w:bookmarkEnd w:id="1179"/>
    </w:p>
    <w:p w14:paraId="285D31EE">
      <w:pPr>
        <w:pStyle w:val="319"/>
        <w:spacing w:after="240"/>
        <w:ind w:firstLine="440"/>
        <w:rPr>
          <w:rFonts w:cs="Times New Roman"/>
          <w:sz w:val="21"/>
          <w:szCs w:val="21"/>
        </w:rPr>
      </w:pPr>
      <w:r>
        <w:rPr>
          <w:rFonts w:hint="eastAsia"/>
          <w:sz w:val="21"/>
          <w:szCs w:val="21"/>
        </w:rPr>
        <w:t>在履行合同过程中，经发包人同意，监理人可按第</w:t>
      </w:r>
      <w:r>
        <w:rPr>
          <w:sz w:val="21"/>
          <w:szCs w:val="21"/>
          <w:lang w:val="en-US"/>
        </w:rPr>
        <w:t xml:space="preserve">15. </w:t>
      </w:r>
      <w:r>
        <w:rPr>
          <w:sz w:val="21"/>
          <w:szCs w:val="21"/>
        </w:rPr>
        <w:t>3</w:t>
      </w:r>
      <w:r>
        <w:rPr>
          <w:rFonts w:hint="eastAsia"/>
          <w:sz w:val="21"/>
          <w:szCs w:val="21"/>
        </w:rPr>
        <w:t>款约定的变更程序向承包人作出变更指示，承包人应遵照执行。没有监理人的变更指示，承包人不得擅自变更。</w:t>
      </w:r>
    </w:p>
    <w:p w14:paraId="10B9C285">
      <w:pPr>
        <w:pStyle w:val="318"/>
        <w:spacing w:line="360" w:lineRule="auto"/>
        <w:rPr>
          <w:rFonts w:ascii="宋体" w:cs="宋体"/>
          <w:sz w:val="21"/>
          <w:szCs w:val="21"/>
        </w:rPr>
      </w:pPr>
      <w:bookmarkStart w:id="1180" w:name="bookmark1281"/>
      <w:bookmarkStart w:id="1181" w:name="_Toc24991"/>
      <w:bookmarkStart w:id="1182" w:name="_Toc6368"/>
      <w:bookmarkStart w:id="1183" w:name="_Toc256000112"/>
      <w:bookmarkStart w:id="1184" w:name="_Toc22420"/>
      <w:bookmarkStart w:id="1185" w:name="_Toc256000362"/>
      <w:bookmarkStart w:id="1186" w:name="_Toc16656"/>
      <w:bookmarkStart w:id="1187" w:name="bookmark1282"/>
      <w:bookmarkStart w:id="1188" w:name="bookmark1280"/>
      <w:r>
        <w:rPr>
          <w:rFonts w:ascii="宋体" w:hAnsi="宋体" w:cs="宋体"/>
          <w:sz w:val="21"/>
          <w:szCs w:val="21"/>
        </w:rPr>
        <w:t>15.3</w:t>
      </w:r>
      <w:r>
        <w:rPr>
          <w:rFonts w:hint="eastAsia" w:ascii="宋体" w:hAnsi="宋体" w:cs="宋体"/>
          <w:sz w:val="21"/>
          <w:szCs w:val="21"/>
        </w:rPr>
        <w:t>变更程序</w:t>
      </w:r>
      <w:bookmarkEnd w:id="1180"/>
      <w:bookmarkEnd w:id="1181"/>
      <w:bookmarkEnd w:id="1182"/>
      <w:bookmarkEnd w:id="1183"/>
      <w:bookmarkEnd w:id="1184"/>
      <w:bookmarkEnd w:id="1185"/>
      <w:bookmarkEnd w:id="1186"/>
      <w:bookmarkEnd w:id="1187"/>
      <w:bookmarkEnd w:id="1188"/>
    </w:p>
    <w:p w14:paraId="0AB5053A">
      <w:pPr>
        <w:pStyle w:val="319"/>
        <w:ind w:firstLine="420"/>
        <w:rPr>
          <w:rFonts w:cs="Times New Roman"/>
          <w:sz w:val="21"/>
          <w:szCs w:val="21"/>
        </w:rPr>
      </w:pPr>
      <w:r>
        <w:rPr>
          <w:sz w:val="21"/>
          <w:szCs w:val="21"/>
          <w:lang w:val="en-US" w:eastAsia="en-US"/>
        </w:rPr>
        <w:t>15.3.1</w:t>
      </w:r>
      <w:r>
        <w:rPr>
          <w:rFonts w:hint="eastAsia"/>
          <w:sz w:val="21"/>
          <w:szCs w:val="21"/>
        </w:rPr>
        <w:t>变更的提出</w:t>
      </w:r>
    </w:p>
    <w:p w14:paraId="71B22423">
      <w:pPr>
        <w:pStyle w:val="319"/>
        <w:numPr>
          <w:ilvl w:val="0"/>
          <w:numId w:val="9"/>
        </w:numPr>
        <w:tabs>
          <w:tab w:val="left" w:pos="918"/>
        </w:tabs>
        <w:ind w:firstLine="440"/>
        <w:rPr>
          <w:rFonts w:cs="Times New Roman"/>
          <w:sz w:val="21"/>
          <w:szCs w:val="21"/>
        </w:rPr>
      </w:pPr>
      <w:bookmarkStart w:id="1189" w:name="bookmark1283"/>
      <w:bookmarkEnd w:id="1189"/>
      <w:r>
        <w:rPr>
          <w:rFonts w:hint="eastAsia"/>
          <w:sz w:val="21"/>
          <w:szCs w:val="21"/>
        </w:rPr>
        <w:t>在合同履行过程中，可能发生第</w:t>
      </w:r>
      <w:r>
        <w:rPr>
          <w:sz w:val="21"/>
          <w:szCs w:val="21"/>
          <w:lang w:val="en-US"/>
        </w:rPr>
        <w:t>15.1</w:t>
      </w:r>
      <w:r>
        <w:rPr>
          <w:rFonts w:hint="eastAsia"/>
          <w:sz w:val="21"/>
          <w:szCs w:val="21"/>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sz w:val="21"/>
          <w:szCs w:val="21"/>
          <w:lang w:val="en-US"/>
        </w:rPr>
        <w:t xml:space="preserve">15. </w:t>
      </w:r>
      <w:r>
        <w:rPr>
          <w:sz w:val="21"/>
          <w:szCs w:val="21"/>
          <w:lang w:val="en-US" w:eastAsia="en-US"/>
        </w:rPr>
        <w:t xml:space="preserve">3. </w:t>
      </w:r>
      <w:r>
        <w:rPr>
          <w:sz w:val="21"/>
          <w:szCs w:val="21"/>
        </w:rPr>
        <w:t>3</w:t>
      </w:r>
      <w:r>
        <w:rPr>
          <w:rFonts w:hint="eastAsia"/>
          <w:sz w:val="21"/>
          <w:szCs w:val="21"/>
        </w:rPr>
        <w:t>项约定发出变更指示。</w:t>
      </w:r>
    </w:p>
    <w:p w14:paraId="6C34756E">
      <w:pPr>
        <w:pStyle w:val="319"/>
        <w:numPr>
          <w:ilvl w:val="0"/>
          <w:numId w:val="9"/>
        </w:numPr>
        <w:tabs>
          <w:tab w:val="left" w:pos="901"/>
        </w:tabs>
        <w:ind w:firstLine="440"/>
        <w:rPr>
          <w:rFonts w:cs="Times New Roman"/>
          <w:sz w:val="21"/>
          <w:szCs w:val="21"/>
        </w:rPr>
      </w:pPr>
      <w:bookmarkStart w:id="1190" w:name="bookmark1284"/>
      <w:bookmarkEnd w:id="1190"/>
      <w:r>
        <w:rPr>
          <w:rFonts w:hint="eastAsia"/>
          <w:sz w:val="21"/>
          <w:szCs w:val="21"/>
        </w:rPr>
        <w:t>在合同履行过程中，发生第</w:t>
      </w:r>
      <w:r>
        <w:rPr>
          <w:sz w:val="21"/>
          <w:szCs w:val="21"/>
          <w:lang w:val="en-US"/>
        </w:rPr>
        <w:t xml:space="preserve">15. </w:t>
      </w:r>
      <w:r>
        <w:rPr>
          <w:sz w:val="21"/>
          <w:szCs w:val="21"/>
        </w:rPr>
        <w:t>1</w:t>
      </w:r>
      <w:r>
        <w:rPr>
          <w:rFonts w:hint="eastAsia"/>
          <w:sz w:val="21"/>
          <w:szCs w:val="21"/>
        </w:rPr>
        <w:t>款约定情形的，监理人应按照第</w:t>
      </w:r>
      <w:r>
        <w:rPr>
          <w:sz w:val="21"/>
          <w:szCs w:val="21"/>
          <w:lang w:val="en-US"/>
        </w:rPr>
        <w:t xml:space="preserve">15. 3. </w:t>
      </w:r>
      <w:r>
        <w:rPr>
          <w:sz w:val="21"/>
          <w:szCs w:val="21"/>
        </w:rPr>
        <w:t>3</w:t>
      </w:r>
      <w:r>
        <w:rPr>
          <w:rFonts w:hint="eastAsia"/>
          <w:sz w:val="21"/>
          <w:szCs w:val="21"/>
        </w:rPr>
        <w:t>项约定向承包人发出变更指示。</w:t>
      </w:r>
    </w:p>
    <w:p w14:paraId="436EF848">
      <w:pPr>
        <w:pStyle w:val="319"/>
        <w:numPr>
          <w:ilvl w:val="0"/>
          <w:numId w:val="9"/>
        </w:numPr>
        <w:tabs>
          <w:tab w:val="left" w:pos="922"/>
        </w:tabs>
        <w:ind w:firstLine="440"/>
        <w:rPr>
          <w:rFonts w:cs="Times New Roman"/>
          <w:sz w:val="21"/>
          <w:szCs w:val="21"/>
        </w:rPr>
      </w:pPr>
      <w:bookmarkStart w:id="1191" w:name="bookmark1285"/>
      <w:bookmarkEnd w:id="1191"/>
      <w:r>
        <w:rPr>
          <w:rFonts w:hint="eastAsia"/>
          <w:sz w:val="21"/>
          <w:szCs w:val="21"/>
        </w:rPr>
        <w:t>承包人收到监理人按合同约定发出的图纸和文件，经检查认为其中存在第</w:t>
      </w:r>
      <w:r>
        <w:rPr>
          <w:sz w:val="21"/>
          <w:szCs w:val="21"/>
          <w:lang w:val="en-US"/>
        </w:rPr>
        <w:t xml:space="preserve">15. </w:t>
      </w:r>
      <w:r>
        <w:rPr>
          <w:sz w:val="21"/>
          <w:szCs w:val="21"/>
        </w:rPr>
        <w:t>1</w:t>
      </w:r>
      <w:r>
        <w:rPr>
          <w:rFonts w:hint="eastAsia"/>
          <w:sz w:val="21"/>
          <w:szCs w:val="21"/>
        </w:rPr>
        <w:t>款</w:t>
      </w:r>
      <w:r>
        <w:rPr>
          <w:sz w:val="21"/>
          <w:szCs w:val="21"/>
        </w:rPr>
        <w:t xml:space="preserve"> </w:t>
      </w:r>
      <w:r>
        <w:rPr>
          <w:rFonts w:hint="eastAsia"/>
          <w:sz w:val="21"/>
          <w:szCs w:val="21"/>
        </w:rPr>
        <w:t>约定情形的，可向监理人提出书面变更建议。变更建议应阐明要求变更的依据，并附必要的图纸和说明。监理人收到承包人书面建议后，应与发包人共同研究，确认存在变更的，应在收到承包人书面建议后的</w:t>
      </w:r>
      <w:r>
        <w:rPr>
          <w:sz w:val="21"/>
          <w:szCs w:val="21"/>
        </w:rPr>
        <w:t>14</w:t>
      </w:r>
      <w:r>
        <w:rPr>
          <w:rFonts w:hint="eastAsia"/>
          <w:sz w:val="21"/>
          <w:szCs w:val="21"/>
        </w:rPr>
        <w:t>天内作出变更指示。经研究后不同意作为变更的，应由监理人书面答复承包人。</w:t>
      </w:r>
    </w:p>
    <w:p w14:paraId="765517A1">
      <w:pPr>
        <w:pStyle w:val="319"/>
        <w:numPr>
          <w:ilvl w:val="0"/>
          <w:numId w:val="9"/>
        </w:numPr>
        <w:tabs>
          <w:tab w:val="left" w:pos="922"/>
        </w:tabs>
        <w:spacing w:after="80"/>
        <w:ind w:firstLine="440"/>
        <w:rPr>
          <w:rFonts w:cs="Times New Roman"/>
          <w:sz w:val="21"/>
          <w:szCs w:val="21"/>
        </w:rPr>
      </w:pPr>
      <w:bookmarkStart w:id="1192" w:name="bookmark1286"/>
      <w:bookmarkEnd w:id="1192"/>
      <w:r>
        <w:rPr>
          <w:rFonts w:hint="eastAsia"/>
          <w:sz w:val="21"/>
          <w:szCs w:val="21"/>
        </w:rPr>
        <w:t>若承包人收到监理人的变更意向书后认为难以实施此项变更，应立即通知监理人</w:t>
      </w:r>
      <w:r>
        <w:rPr>
          <w:sz w:val="21"/>
          <w:szCs w:val="21"/>
        </w:rPr>
        <w:t xml:space="preserve">, </w:t>
      </w:r>
      <w:r>
        <w:rPr>
          <w:rFonts w:hint="eastAsia"/>
          <w:sz w:val="21"/>
          <w:szCs w:val="21"/>
        </w:rPr>
        <w:t>说明原因并附详细依据。监理人与承包人和发包人协商后确定撤销、改变或不改变原变更</w:t>
      </w:r>
      <w:r>
        <w:rPr>
          <w:sz w:val="21"/>
          <w:szCs w:val="21"/>
        </w:rPr>
        <w:t xml:space="preserve"> </w:t>
      </w:r>
      <w:r>
        <w:rPr>
          <w:rFonts w:hint="eastAsia"/>
          <w:sz w:val="21"/>
          <w:szCs w:val="21"/>
        </w:rPr>
        <w:t>意向书。</w:t>
      </w:r>
    </w:p>
    <w:p w14:paraId="4042C81F">
      <w:pPr>
        <w:pStyle w:val="320"/>
        <w:spacing w:after="0" w:line="360" w:lineRule="auto"/>
        <w:ind w:firstLine="440"/>
        <w:rPr>
          <w:rFonts w:ascii="宋体" w:cs="宋体"/>
          <w:sz w:val="21"/>
          <w:szCs w:val="21"/>
        </w:rPr>
      </w:pPr>
      <w:r>
        <w:rPr>
          <w:rFonts w:ascii="宋体" w:hAnsi="宋体" w:cs="宋体"/>
          <w:sz w:val="21"/>
          <w:szCs w:val="21"/>
        </w:rPr>
        <w:t>15.3.2</w:t>
      </w:r>
      <w:r>
        <w:rPr>
          <w:rFonts w:hint="eastAsia" w:ascii="宋体" w:hAnsi="宋体" w:cs="宋体"/>
          <w:sz w:val="21"/>
          <w:szCs w:val="21"/>
          <w:lang w:val="zh-CN"/>
        </w:rPr>
        <w:t>变更估价</w:t>
      </w:r>
    </w:p>
    <w:p w14:paraId="261E372E">
      <w:pPr>
        <w:pStyle w:val="319"/>
        <w:numPr>
          <w:ilvl w:val="0"/>
          <w:numId w:val="10"/>
        </w:numPr>
        <w:ind w:firstLine="440"/>
        <w:rPr>
          <w:rFonts w:cs="Times New Roman"/>
          <w:sz w:val="21"/>
          <w:szCs w:val="21"/>
        </w:rPr>
      </w:pPr>
      <w:bookmarkStart w:id="1193" w:name="bookmark1287"/>
      <w:bookmarkEnd w:id="1193"/>
      <w:r>
        <w:rPr>
          <w:rFonts w:hint="eastAsia"/>
          <w:sz w:val="21"/>
          <w:szCs w:val="21"/>
        </w:rPr>
        <w:t>除专用合同条款对期限另有约定外，承包人应在收到变更指示或变更意向书后的</w:t>
      </w:r>
      <w:r>
        <w:rPr>
          <w:sz w:val="21"/>
          <w:szCs w:val="21"/>
        </w:rPr>
        <w:t>14</w:t>
      </w:r>
      <w:r>
        <w:rPr>
          <w:rFonts w:hint="eastAsia"/>
          <w:sz w:val="21"/>
          <w:szCs w:val="21"/>
        </w:rPr>
        <w:t>天内，向监理人提交变更报价书，报价内容应根据第</w:t>
      </w:r>
      <w:r>
        <w:rPr>
          <w:sz w:val="21"/>
          <w:szCs w:val="21"/>
          <w:lang w:val="en-US"/>
        </w:rPr>
        <w:t xml:space="preserve">15. </w:t>
      </w:r>
      <w:r>
        <w:rPr>
          <w:sz w:val="21"/>
          <w:szCs w:val="21"/>
        </w:rPr>
        <w:t>4</w:t>
      </w:r>
      <w:r>
        <w:rPr>
          <w:rFonts w:hint="eastAsia"/>
          <w:sz w:val="21"/>
          <w:szCs w:val="21"/>
        </w:rPr>
        <w:t>款约定的估价原则，详细开列变更工作的价格组成及其依据，并附必要的施工方法说明和有关图纸。</w:t>
      </w:r>
    </w:p>
    <w:p w14:paraId="49384E01">
      <w:pPr>
        <w:pStyle w:val="319"/>
        <w:numPr>
          <w:ilvl w:val="0"/>
          <w:numId w:val="10"/>
        </w:numPr>
        <w:tabs>
          <w:tab w:val="left" w:pos="915"/>
        </w:tabs>
        <w:ind w:firstLine="440"/>
        <w:rPr>
          <w:rFonts w:cs="Times New Roman"/>
          <w:sz w:val="21"/>
          <w:szCs w:val="21"/>
        </w:rPr>
      </w:pPr>
      <w:bookmarkStart w:id="1194" w:name="bookmark1288"/>
      <w:bookmarkEnd w:id="1194"/>
      <w:r>
        <w:rPr>
          <w:rFonts w:hint="eastAsia"/>
          <w:sz w:val="21"/>
          <w:szCs w:val="21"/>
        </w:rPr>
        <w:t>变更工作影响工期的，承包人应提出调整工期的具体细节。监理人认为有必要时</w:t>
      </w:r>
      <w:r>
        <w:rPr>
          <w:sz w:val="21"/>
          <w:szCs w:val="21"/>
        </w:rPr>
        <w:t xml:space="preserve">, </w:t>
      </w:r>
      <w:r>
        <w:rPr>
          <w:rFonts w:hint="eastAsia"/>
          <w:sz w:val="21"/>
          <w:szCs w:val="21"/>
        </w:rPr>
        <w:t>可要求承包人提交要求提前或延长工期的施工进度计划及相应施工措施等详细资料。</w:t>
      </w:r>
    </w:p>
    <w:p w14:paraId="44641291">
      <w:pPr>
        <w:pStyle w:val="319"/>
        <w:numPr>
          <w:ilvl w:val="0"/>
          <w:numId w:val="10"/>
        </w:numPr>
        <w:tabs>
          <w:tab w:val="left" w:pos="920"/>
        </w:tabs>
        <w:spacing w:after="120"/>
        <w:ind w:firstLine="440"/>
        <w:rPr>
          <w:rFonts w:cs="Times New Roman"/>
          <w:sz w:val="21"/>
          <w:szCs w:val="21"/>
        </w:rPr>
      </w:pPr>
      <w:bookmarkStart w:id="1195" w:name="bookmark1289"/>
      <w:bookmarkEnd w:id="1195"/>
      <w:r>
        <w:rPr>
          <w:rFonts w:hint="eastAsia"/>
          <w:sz w:val="21"/>
          <w:szCs w:val="21"/>
        </w:rPr>
        <w:t>除专用合同条款对期限另有约定外，监理人收到承包人变更报价书后的</w:t>
      </w:r>
      <w:r>
        <w:rPr>
          <w:sz w:val="21"/>
          <w:szCs w:val="21"/>
        </w:rPr>
        <w:t>14</w:t>
      </w:r>
      <w:r>
        <w:rPr>
          <w:rFonts w:hint="eastAsia"/>
          <w:sz w:val="21"/>
          <w:szCs w:val="21"/>
        </w:rPr>
        <w:t>天内，根据第</w:t>
      </w:r>
      <w:r>
        <w:rPr>
          <w:sz w:val="21"/>
          <w:szCs w:val="21"/>
          <w:lang w:val="en-US"/>
        </w:rPr>
        <w:t xml:space="preserve">15. </w:t>
      </w:r>
      <w:r>
        <w:rPr>
          <w:sz w:val="21"/>
          <w:szCs w:val="21"/>
        </w:rPr>
        <w:t>4</w:t>
      </w:r>
      <w:r>
        <w:rPr>
          <w:rFonts w:hint="eastAsia"/>
          <w:sz w:val="21"/>
          <w:szCs w:val="21"/>
        </w:rPr>
        <w:t>款约定的估价原则，按照第</w:t>
      </w:r>
      <w:r>
        <w:rPr>
          <w:sz w:val="21"/>
          <w:szCs w:val="21"/>
          <w:lang w:val="en-US"/>
        </w:rPr>
        <w:t xml:space="preserve">3. </w:t>
      </w:r>
      <w:r>
        <w:rPr>
          <w:sz w:val="21"/>
          <w:szCs w:val="21"/>
        </w:rPr>
        <w:t>5</w:t>
      </w:r>
      <w:r>
        <w:rPr>
          <w:rFonts w:hint="eastAsia"/>
          <w:sz w:val="21"/>
          <w:szCs w:val="21"/>
        </w:rPr>
        <w:t>款商定或确定变更价格。</w:t>
      </w:r>
    </w:p>
    <w:p w14:paraId="23942A3E">
      <w:pPr>
        <w:pStyle w:val="320"/>
        <w:spacing w:after="0" w:line="360" w:lineRule="auto"/>
        <w:ind w:firstLine="440"/>
        <w:rPr>
          <w:rFonts w:ascii="宋体" w:cs="宋体"/>
          <w:sz w:val="21"/>
          <w:szCs w:val="21"/>
        </w:rPr>
      </w:pPr>
      <w:r>
        <w:rPr>
          <w:rFonts w:ascii="宋体" w:hAnsi="宋体" w:cs="宋体"/>
          <w:sz w:val="21"/>
          <w:szCs w:val="21"/>
        </w:rPr>
        <w:t>15.3.3</w:t>
      </w:r>
      <w:r>
        <w:rPr>
          <w:rFonts w:hint="eastAsia" w:ascii="宋体" w:hAnsi="宋体" w:cs="宋体"/>
          <w:sz w:val="21"/>
          <w:szCs w:val="21"/>
          <w:lang w:val="zh-CN"/>
        </w:rPr>
        <w:t>变更指示</w:t>
      </w:r>
    </w:p>
    <w:p w14:paraId="01B1FF7C">
      <w:pPr>
        <w:pStyle w:val="319"/>
        <w:numPr>
          <w:ilvl w:val="0"/>
          <w:numId w:val="11"/>
        </w:numPr>
        <w:tabs>
          <w:tab w:val="left" w:pos="923"/>
        </w:tabs>
        <w:ind w:firstLine="440"/>
        <w:rPr>
          <w:rFonts w:cs="Times New Roman"/>
          <w:sz w:val="21"/>
          <w:szCs w:val="21"/>
        </w:rPr>
      </w:pPr>
      <w:bookmarkStart w:id="1196" w:name="bookmark1290"/>
      <w:bookmarkEnd w:id="1196"/>
      <w:r>
        <w:rPr>
          <w:rFonts w:hint="eastAsia"/>
          <w:sz w:val="21"/>
          <w:szCs w:val="21"/>
        </w:rPr>
        <w:t>变更指示只能由监理人发出。</w:t>
      </w:r>
    </w:p>
    <w:p w14:paraId="5F3EB386">
      <w:pPr>
        <w:pStyle w:val="319"/>
        <w:numPr>
          <w:ilvl w:val="0"/>
          <w:numId w:val="11"/>
        </w:numPr>
        <w:tabs>
          <w:tab w:val="left" w:pos="922"/>
        </w:tabs>
        <w:spacing w:after="120"/>
        <w:ind w:firstLine="440"/>
        <w:rPr>
          <w:rFonts w:cs="Times New Roman"/>
          <w:sz w:val="21"/>
          <w:szCs w:val="21"/>
        </w:rPr>
      </w:pPr>
      <w:bookmarkStart w:id="1197" w:name="bookmark1291"/>
      <w:bookmarkEnd w:id="1197"/>
      <w:r>
        <w:rPr>
          <w:rFonts w:hint="eastAsia"/>
          <w:sz w:val="21"/>
          <w:szCs w:val="21"/>
        </w:rPr>
        <w:t>变更指示应说明变更的目的、范围、变更内容以及变更的工程量及其进度和技术要求，并附有关图纸和文件。承包人收到变更指示后，应按变更指示进行变更工作。</w:t>
      </w:r>
    </w:p>
    <w:p w14:paraId="5FD94CAB">
      <w:pPr>
        <w:pStyle w:val="318"/>
        <w:spacing w:line="360" w:lineRule="auto"/>
        <w:rPr>
          <w:rFonts w:ascii="宋体" w:cs="宋体"/>
          <w:sz w:val="21"/>
          <w:szCs w:val="21"/>
        </w:rPr>
      </w:pPr>
      <w:bookmarkStart w:id="1198" w:name="bookmark1294"/>
      <w:bookmarkStart w:id="1199" w:name="_Toc256000363"/>
      <w:bookmarkStart w:id="1200" w:name="_Toc21778"/>
      <w:bookmarkStart w:id="1201" w:name="bookmark1292"/>
      <w:bookmarkStart w:id="1202" w:name="_Toc13493"/>
      <w:bookmarkStart w:id="1203" w:name="_Toc19837"/>
      <w:bookmarkStart w:id="1204" w:name="_Toc256000113"/>
      <w:bookmarkStart w:id="1205" w:name="bookmark1293"/>
      <w:bookmarkStart w:id="1206" w:name="_Toc9569"/>
      <w:r>
        <w:rPr>
          <w:rFonts w:ascii="宋体" w:hAnsi="宋体" w:cs="宋体"/>
          <w:sz w:val="21"/>
          <w:szCs w:val="21"/>
        </w:rPr>
        <w:t>15.4</w:t>
      </w:r>
      <w:r>
        <w:rPr>
          <w:rFonts w:hint="eastAsia" w:ascii="宋体" w:hAnsi="宋体" w:cs="宋体"/>
          <w:sz w:val="21"/>
          <w:szCs w:val="21"/>
        </w:rPr>
        <w:t>变更的估价原则</w:t>
      </w:r>
      <w:bookmarkEnd w:id="1198"/>
      <w:bookmarkEnd w:id="1199"/>
      <w:bookmarkEnd w:id="1200"/>
      <w:bookmarkEnd w:id="1201"/>
      <w:bookmarkEnd w:id="1202"/>
      <w:bookmarkEnd w:id="1203"/>
      <w:bookmarkEnd w:id="1204"/>
      <w:bookmarkEnd w:id="1205"/>
      <w:bookmarkEnd w:id="1206"/>
    </w:p>
    <w:p w14:paraId="0E88CE0D">
      <w:pPr>
        <w:pStyle w:val="319"/>
        <w:spacing w:after="120"/>
        <w:ind w:firstLine="420"/>
        <w:rPr>
          <w:rFonts w:cs="Times New Roman"/>
          <w:sz w:val="21"/>
          <w:szCs w:val="21"/>
        </w:rPr>
      </w:pPr>
      <w:r>
        <w:rPr>
          <w:rFonts w:hint="eastAsia"/>
          <w:sz w:val="21"/>
          <w:szCs w:val="21"/>
        </w:rPr>
        <w:t>除专用合同条款另有约定外，因变更引起的价格调整按照本款约定处理。</w:t>
      </w:r>
    </w:p>
    <w:p w14:paraId="0873EAD3">
      <w:pPr>
        <w:pStyle w:val="319"/>
        <w:ind w:firstLine="420"/>
        <w:rPr>
          <w:rFonts w:cs="Times New Roman"/>
          <w:sz w:val="21"/>
          <w:szCs w:val="21"/>
        </w:rPr>
      </w:pPr>
      <w:r>
        <w:rPr>
          <w:sz w:val="21"/>
          <w:szCs w:val="21"/>
          <w:lang w:val="en-US"/>
        </w:rPr>
        <w:t>15.4.1</w:t>
      </w:r>
      <w:r>
        <w:rPr>
          <w:rFonts w:hint="eastAsia"/>
          <w:sz w:val="21"/>
          <w:szCs w:val="21"/>
        </w:rPr>
        <w:t>已标价工程量清单中有适用于变更工作的子目的，采用该子目的单价。</w:t>
      </w:r>
    </w:p>
    <w:p w14:paraId="0835408C">
      <w:pPr>
        <w:pStyle w:val="319"/>
        <w:ind w:firstLine="440"/>
        <w:rPr>
          <w:rFonts w:cs="Times New Roman"/>
          <w:sz w:val="21"/>
          <w:szCs w:val="21"/>
        </w:rPr>
      </w:pPr>
      <w:r>
        <w:rPr>
          <w:sz w:val="21"/>
          <w:szCs w:val="21"/>
          <w:lang w:val="en-US"/>
        </w:rPr>
        <w:t>15.4.2</w:t>
      </w:r>
      <w:r>
        <w:rPr>
          <w:rFonts w:hint="eastAsia"/>
          <w:sz w:val="21"/>
          <w:szCs w:val="21"/>
        </w:rPr>
        <w:t>已标价工程量清单中无适用于变更工作的子目，但有类似子目的，可在合理范围内参照类似子目的单价，由监理人按第</w:t>
      </w:r>
      <w:r>
        <w:rPr>
          <w:sz w:val="21"/>
          <w:szCs w:val="21"/>
          <w:lang w:val="en-US"/>
        </w:rPr>
        <w:t xml:space="preserve">3. </w:t>
      </w:r>
      <w:r>
        <w:rPr>
          <w:sz w:val="21"/>
          <w:szCs w:val="21"/>
        </w:rPr>
        <w:t>5</w:t>
      </w:r>
      <w:r>
        <w:rPr>
          <w:rFonts w:hint="eastAsia"/>
          <w:sz w:val="21"/>
          <w:szCs w:val="21"/>
        </w:rPr>
        <w:t>款商定或确定变更工作的单价。</w:t>
      </w:r>
    </w:p>
    <w:p w14:paraId="1DB68E56">
      <w:pPr>
        <w:pStyle w:val="319"/>
        <w:spacing w:after="120"/>
        <w:ind w:firstLine="440"/>
        <w:rPr>
          <w:rFonts w:cs="Times New Roman"/>
          <w:sz w:val="21"/>
          <w:szCs w:val="21"/>
        </w:rPr>
      </w:pPr>
      <w:r>
        <w:rPr>
          <w:sz w:val="21"/>
          <w:szCs w:val="21"/>
          <w:lang w:val="en-US"/>
        </w:rPr>
        <w:t>15.4.3</w:t>
      </w:r>
      <w:r>
        <w:rPr>
          <w:rFonts w:hint="eastAsia"/>
          <w:sz w:val="21"/>
          <w:szCs w:val="21"/>
        </w:rPr>
        <w:t>已标价工程量清单中无适用或类似子目的单价，可按照成本加利润的原则，由监理人按第</w:t>
      </w:r>
      <w:r>
        <w:rPr>
          <w:sz w:val="21"/>
          <w:szCs w:val="21"/>
          <w:lang w:val="en-US"/>
        </w:rPr>
        <w:t>3.</w:t>
      </w:r>
      <w:r>
        <w:rPr>
          <w:sz w:val="21"/>
          <w:szCs w:val="21"/>
        </w:rPr>
        <w:t>5</w:t>
      </w:r>
      <w:r>
        <w:rPr>
          <w:rFonts w:hint="eastAsia"/>
          <w:sz w:val="21"/>
          <w:szCs w:val="21"/>
        </w:rPr>
        <w:t>款商定或确定变更工作的单价。</w:t>
      </w:r>
    </w:p>
    <w:p w14:paraId="7D09CA5A">
      <w:pPr>
        <w:pStyle w:val="318"/>
        <w:spacing w:line="360" w:lineRule="auto"/>
        <w:rPr>
          <w:rFonts w:ascii="宋体" w:cs="宋体"/>
          <w:sz w:val="21"/>
          <w:szCs w:val="21"/>
        </w:rPr>
      </w:pPr>
      <w:bookmarkStart w:id="1207" w:name="_Toc28730"/>
      <w:bookmarkStart w:id="1208" w:name="_Toc256000364"/>
      <w:bookmarkStart w:id="1209" w:name="bookmark1297"/>
      <w:bookmarkStart w:id="1210" w:name="bookmark1296"/>
      <w:bookmarkStart w:id="1211" w:name="_Toc24748"/>
      <w:bookmarkStart w:id="1212" w:name="bookmark1295"/>
      <w:bookmarkStart w:id="1213" w:name="_Toc13844"/>
      <w:bookmarkStart w:id="1214" w:name="_Toc256000114"/>
      <w:r>
        <w:rPr>
          <w:rFonts w:ascii="宋体" w:hAnsi="宋体" w:cs="宋体"/>
          <w:sz w:val="21"/>
          <w:szCs w:val="21"/>
        </w:rPr>
        <w:t>15.5</w:t>
      </w:r>
      <w:r>
        <w:rPr>
          <w:rFonts w:hint="eastAsia" w:ascii="宋体" w:hAnsi="宋体" w:cs="宋体"/>
          <w:sz w:val="21"/>
          <w:szCs w:val="21"/>
        </w:rPr>
        <w:t>承包人的合理化建议</w:t>
      </w:r>
      <w:bookmarkEnd w:id="1207"/>
      <w:bookmarkEnd w:id="1208"/>
      <w:bookmarkEnd w:id="1209"/>
      <w:bookmarkEnd w:id="1210"/>
      <w:bookmarkEnd w:id="1211"/>
      <w:bookmarkEnd w:id="1212"/>
      <w:bookmarkEnd w:id="1213"/>
      <w:bookmarkEnd w:id="1214"/>
    </w:p>
    <w:p w14:paraId="7D5CF6B5">
      <w:pPr>
        <w:pStyle w:val="319"/>
        <w:tabs>
          <w:tab w:val="left" w:pos="854"/>
        </w:tabs>
        <w:ind w:left="440" w:firstLine="0"/>
        <w:rPr>
          <w:rFonts w:cs="Times New Roman"/>
          <w:sz w:val="21"/>
          <w:szCs w:val="21"/>
        </w:rPr>
      </w:pPr>
      <w:bookmarkStart w:id="1215" w:name="bookmark1298"/>
      <w:bookmarkEnd w:id="1215"/>
      <w:r>
        <w:rPr>
          <w:sz w:val="21"/>
          <w:szCs w:val="21"/>
          <w:lang w:val="en-US"/>
        </w:rPr>
        <w:t xml:space="preserve">15.5. </w:t>
      </w:r>
      <w:r>
        <w:rPr>
          <w:sz w:val="21"/>
          <w:szCs w:val="21"/>
        </w:rPr>
        <w:t>1</w:t>
      </w:r>
      <w:r>
        <w:rPr>
          <w:rFonts w:hint="eastAsia"/>
          <w:sz w:val="21"/>
          <w:szCs w:val="21"/>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sz w:val="21"/>
          <w:szCs w:val="21"/>
          <w:lang w:val="en-US"/>
        </w:rPr>
        <w:t xml:space="preserve">15. 3. </w:t>
      </w:r>
      <w:r>
        <w:rPr>
          <w:sz w:val="21"/>
          <w:szCs w:val="21"/>
        </w:rPr>
        <w:t>3</w:t>
      </w:r>
      <w:r>
        <w:rPr>
          <w:rFonts w:hint="eastAsia"/>
          <w:sz w:val="21"/>
          <w:szCs w:val="21"/>
        </w:rPr>
        <w:t>项约定向承包人发出变更指示。</w:t>
      </w:r>
    </w:p>
    <w:p w14:paraId="35D22D20">
      <w:pPr>
        <w:pStyle w:val="319"/>
        <w:spacing w:after="120"/>
        <w:ind w:firstLine="440"/>
        <w:rPr>
          <w:rFonts w:cs="Times New Roman"/>
          <w:sz w:val="21"/>
          <w:szCs w:val="21"/>
        </w:rPr>
      </w:pPr>
      <w:r>
        <w:rPr>
          <w:sz w:val="21"/>
          <w:szCs w:val="21"/>
          <w:lang w:val="en-US"/>
        </w:rPr>
        <w:t>15.5.2</w:t>
      </w:r>
      <w:r>
        <w:rPr>
          <w:rFonts w:hint="eastAsia"/>
          <w:sz w:val="21"/>
          <w:szCs w:val="21"/>
        </w:rPr>
        <w:t>承包人提出的合理化建议降低了合同价格、缩短了工期或者提高了工程经济效益的，发包人可按国家有关规定在专用合同条款中约定给予奖励。</w:t>
      </w:r>
    </w:p>
    <w:p w14:paraId="7740F49C">
      <w:pPr>
        <w:pStyle w:val="318"/>
        <w:spacing w:line="360" w:lineRule="auto"/>
        <w:rPr>
          <w:rFonts w:ascii="宋体" w:cs="宋体"/>
          <w:sz w:val="21"/>
          <w:szCs w:val="21"/>
        </w:rPr>
      </w:pPr>
      <w:bookmarkStart w:id="1216" w:name="bookmark1299"/>
      <w:bookmarkStart w:id="1217" w:name="bookmark1301"/>
      <w:bookmarkStart w:id="1218" w:name="bookmark1300"/>
      <w:bookmarkStart w:id="1219" w:name="_Toc256000365"/>
      <w:bookmarkStart w:id="1220" w:name="_Toc10362"/>
      <w:bookmarkStart w:id="1221" w:name="_Toc256000115"/>
      <w:bookmarkStart w:id="1222" w:name="_Toc5054"/>
      <w:bookmarkStart w:id="1223" w:name="_Toc19151"/>
      <w:bookmarkStart w:id="1224" w:name="_Toc7702"/>
      <w:r>
        <w:rPr>
          <w:rFonts w:ascii="宋体" w:hAnsi="宋体" w:cs="宋体"/>
          <w:sz w:val="21"/>
          <w:szCs w:val="21"/>
        </w:rPr>
        <w:t>15.6</w:t>
      </w:r>
      <w:r>
        <w:rPr>
          <w:rFonts w:hint="eastAsia" w:ascii="宋体" w:hAnsi="宋体" w:cs="宋体"/>
          <w:sz w:val="21"/>
          <w:szCs w:val="21"/>
        </w:rPr>
        <w:t>暂列金额</w:t>
      </w:r>
      <w:bookmarkEnd w:id="1216"/>
      <w:bookmarkEnd w:id="1217"/>
      <w:bookmarkEnd w:id="1218"/>
      <w:bookmarkEnd w:id="1219"/>
      <w:bookmarkEnd w:id="1220"/>
      <w:bookmarkEnd w:id="1221"/>
      <w:bookmarkEnd w:id="1222"/>
      <w:bookmarkEnd w:id="1223"/>
      <w:bookmarkEnd w:id="1224"/>
    </w:p>
    <w:p w14:paraId="104F0388">
      <w:pPr>
        <w:pStyle w:val="319"/>
        <w:spacing w:after="120"/>
        <w:ind w:firstLine="420"/>
        <w:rPr>
          <w:rFonts w:cs="Times New Roman"/>
          <w:sz w:val="21"/>
          <w:szCs w:val="21"/>
        </w:rPr>
      </w:pPr>
      <w:r>
        <w:rPr>
          <w:rFonts w:hint="eastAsia"/>
          <w:sz w:val="21"/>
          <w:szCs w:val="21"/>
        </w:rPr>
        <w:t>暂列金额只能按照监理人的指示使用，并对合同价格进行相应调整。</w:t>
      </w:r>
    </w:p>
    <w:p w14:paraId="141CED33">
      <w:pPr>
        <w:pStyle w:val="318"/>
        <w:spacing w:line="360" w:lineRule="auto"/>
        <w:rPr>
          <w:rFonts w:ascii="宋体" w:cs="宋体"/>
          <w:sz w:val="21"/>
          <w:szCs w:val="21"/>
        </w:rPr>
      </w:pPr>
      <w:bookmarkStart w:id="1225" w:name="_Toc14275"/>
      <w:bookmarkStart w:id="1226" w:name="bookmark1303"/>
      <w:bookmarkStart w:id="1227" w:name="bookmark1302"/>
      <w:bookmarkStart w:id="1228" w:name="_Toc256000116"/>
      <w:bookmarkStart w:id="1229" w:name="bookmark1304"/>
      <w:bookmarkStart w:id="1230" w:name="_Toc23039"/>
      <w:bookmarkStart w:id="1231" w:name="_Toc12638"/>
      <w:bookmarkStart w:id="1232" w:name="_Toc23161"/>
      <w:bookmarkStart w:id="1233" w:name="_Toc256000366"/>
      <w:r>
        <w:rPr>
          <w:rFonts w:ascii="宋体" w:hAnsi="宋体" w:cs="宋体"/>
          <w:sz w:val="21"/>
          <w:szCs w:val="21"/>
        </w:rPr>
        <w:t>15.7</w:t>
      </w:r>
      <w:r>
        <w:rPr>
          <w:rFonts w:hint="eastAsia" w:ascii="宋体" w:hAnsi="宋体" w:cs="宋体"/>
          <w:sz w:val="21"/>
          <w:szCs w:val="21"/>
        </w:rPr>
        <w:t>计日工</w:t>
      </w:r>
      <w:bookmarkEnd w:id="1225"/>
      <w:bookmarkEnd w:id="1226"/>
      <w:bookmarkEnd w:id="1227"/>
      <w:bookmarkEnd w:id="1228"/>
      <w:bookmarkEnd w:id="1229"/>
      <w:bookmarkEnd w:id="1230"/>
      <w:bookmarkEnd w:id="1231"/>
      <w:bookmarkEnd w:id="1232"/>
      <w:bookmarkEnd w:id="1233"/>
    </w:p>
    <w:p w14:paraId="7480A745">
      <w:pPr>
        <w:pStyle w:val="319"/>
        <w:ind w:firstLine="440"/>
        <w:rPr>
          <w:rFonts w:cs="Times New Roman"/>
          <w:sz w:val="21"/>
          <w:szCs w:val="21"/>
        </w:rPr>
      </w:pPr>
      <w:r>
        <w:rPr>
          <w:sz w:val="21"/>
          <w:szCs w:val="21"/>
          <w:lang w:val="en-US"/>
        </w:rPr>
        <w:t>15.7.1</w:t>
      </w:r>
      <w:r>
        <w:rPr>
          <w:rFonts w:hint="eastAsia"/>
          <w:sz w:val="21"/>
          <w:szCs w:val="21"/>
        </w:rPr>
        <w:t>发包人认为有必要时，由监理人通知承包人以计日工方式实施变更的零星工作。其价款按列入已标价工程量清单中的计日工计价子目及其单价进行计算。</w:t>
      </w:r>
    </w:p>
    <w:p w14:paraId="39BB4696">
      <w:pPr>
        <w:pStyle w:val="319"/>
        <w:ind w:firstLine="440"/>
        <w:rPr>
          <w:rFonts w:cs="Times New Roman"/>
          <w:sz w:val="21"/>
          <w:szCs w:val="21"/>
        </w:rPr>
      </w:pPr>
      <w:r>
        <w:rPr>
          <w:sz w:val="21"/>
          <w:szCs w:val="21"/>
          <w:lang w:val="en-US"/>
        </w:rPr>
        <w:t>15.7.2</w:t>
      </w:r>
      <w:r>
        <w:rPr>
          <w:rFonts w:hint="eastAsia"/>
          <w:sz w:val="21"/>
          <w:szCs w:val="21"/>
        </w:rPr>
        <w:t>采用计日工计价的任何一项变更工作，应从暂列金额中支付，承包人应在该项变更的实施过程中，每天提交以下报表和有关凭证报送监理人审批：</w:t>
      </w:r>
    </w:p>
    <w:p w14:paraId="40154941">
      <w:pPr>
        <w:pStyle w:val="319"/>
        <w:numPr>
          <w:ilvl w:val="0"/>
          <w:numId w:val="12"/>
        </w:numPr>
        <w:tabs>
          <w:tab w:val="left" w:pos="903"/>
        </w:tabs>
        <w:ind w:firstLine="420"/>
        <w:rPr>
          <w:rFonts w:cs="Times New Roman"/>
          <w:sz w:val="21"/>
          <w:szCs w:val="21"/>
        </w:rPr>
      </w:pPr>
      <w:bookmarkStart w:id="1234" w:name="bookmark1305"/>
      <w:bookmarkEnd w:id="1234"/>
      <w:r>
        <w:rPr>
          <w:rFonts w:hint="eastAsia"/>
          <w:sz w:val="21"/>
          <w:szCs w:val="21"/>
        </w:rPr>
        <w:t>工作名称、内容和数量；</w:t>
      </w:r>
    </w:p>
    <w:p w14:paraId="77707075">
      <w:pPr>
        <w:pStyle w:val="319"/>
        <w:numPr>
          <w:ilvl w:val="0"/>
          <w:numId w:val="12"/>
        </w:numPr>
        <w:tabs>
          <w:tab w:val="left" w:pos="903"/>
        </w:tabs>
        <w:ind w:firstLine="420"/>
        <w:rPr>
          <w:rFonts w:cs="Times New Roman"/>
          <w:sz w:val="21"/>
          <w:szCs w:val="21"/>
        </w:rPr>
      </w:pPr>
      <w:bookmarkStart w:id="1235" w:name="bookmark1306"/>
      <w:bookmarkEnd w:id="1235"/>
      <w:r>
        <w:rPr>
          <w:rFonts w:hint="eastAsia"/>
          <w:sz w:val="21"/>
          <w:szCs w:val="21"/>
        </w:rPr>
        <w:t>投入该工作所有人员的姓名、工种、级别和耗用工时；</w:t>
      </w:r>
    </w:p>
    <w:p w14:paraId="2737E440">
      <w:pPr>
        <w:pStyle w:val="319"/>
        <w:numPr>
          <w:ilvl w:val="0"/>
          <w:numId w:val="12"/>
        </w:numPr>
        <w:tabs>
          <w:tab w:val="left" w:pos="903"/>
        </w:tabs>
        <w:ind w:firstLine="420"/>
        <w:rPr>
          <w:rFonts w:cs="Times New Roman"/>
          <w:sz w:val="21"/>
          <w:szCs w:val="21"/>
        </w:rPr>
      </w:pPr>
      <w:bookmarkStart w:id="1236" w:name="bookmark1307"/>
      <w:bookmarkEnd w:id="1236"/>
      <w:r>
        <w:rPr>
          <w:rFonts w:hint="eastAsia"/>
          <w:sz w:val="21"/>
          <w:szCs w:val="21"/>
        </w:rPr>
        <w:t>投入该工作的材料类别和数量；</w:t>
      </w:r>
    </w:p>
    <w:p w14:paraId="7CA12A97">
      <w:pPr>
        <w:pStyle w:val="319"/>
        <w:numPr>
          <w:ilvl w:val="0"/>
          <w:numId w:val="12"/>
        </w:numPr>
        <w:tabs>
          <w:tab w:val="left" w:pos="903"/>
        </w:tabs>
        <w:ind w:firstLine="420"/>
        <w:rPr>
          <w:rFonts w:cs="Times New Roman"/>
          <w:sz w:val="21"/>
          <w:szCs w:val="21"/>
        </w:rPr>
      </w:pPr>
      <w:bookmarkStart w:id="1237" w:name="bookmark1308"/>
      <w:bookmarkEnd w:id="1237"/>
      <w:r>
        <w:rPr>
          <w:rFonts w:hint="eastAsia"/>
          <w:sz w:val="21"/>
          <w:szCs w:val="21"/>
        </w:rPr>
        <w:t>投入该工作的施工设备型号、台数和耗用台时；</w:t>
      </w:r>
    </w:p>
    <w:p w14:paraId="363E1D60">
      <w:pPr>
        <w:pStyle w:val="319"/>
        <w:numPr>
          <w:ilvl w:val="0"/>
          <w:numId w:val="12"/>
        </w:numPr>
        <w:tabs>
          <w:tab w:val="left" w:pos="903"/>
        </w:tabs>
        <w:ind w:firstLine="420"/>
        <w:rPr>
          <w:rFonts w:cs="Times New Roman"/>
          <w:sz w:val="21"/>
          <w:szCs w:val="21"/>
        </w:rPr>
      </w:pPr>
      <w:bookmarkStart w:id="1238" w:name="bookmark1309"/>
      <w:bookmarkEnd w:id="1238"/>
      <w:r>
        <w:rPr>
          <w:rFonts w:hint="eastAsia"/>
          <w:sz w:val="21"/>
          <w:szCs w:val="21"/>
        </w:rPr>
        <w:t>监理人要求提交的其他资料和凭证。</w:t>
      </w:r>
    </w:p>
    <w:p w14:paraId="0B6A10D8">
      <w:pPr>
        <w:pStyle w:val="319"/>
        <w:spacing w:after="80"/>
        <w:ind w:firstLine="440"/>
        <w:rPr>
          <w:rFonts w:cs="Times New Roman"/>
          <w:sz w:val="21"/>
          <w:szCs w:val="21"/>
        </w:rPr>
      </w:pPr>
      <w:r>
        <w:rPr>
          <w:sz w:val="21"/>
          <w:szCs w:val="21"/>
          <w:lang w:val="en-US"/>
        </w:rPr>
        <w:t>15.7.3</w:t>
      </w:r>
      <w:r>
        <w:rPr>
          <w:rFonts w:hint="eastAsia"/>
          <w:sz w:val="21"/>
          <w:szCs w:val="21"/>
        </w:rPr>
        <w:t>计日工由承包人汇总后，按第</w:t>
      </w:r>
      <w:r>
        <w:rPr>
          <w:sz w:val="21"/>
          <w:szCs w:val="21"/>
          <w:lang w:val="en-US"/>
        </w:rPr>
        <w:t>17.3.2</w:t>
      </w:r>
      <w:r>
        <w:rPr>
          <w:rFonts w:hint="eastAsia"/>
          <w:sz w:val="21"/>
          <w:szCs w:val="21"/>
        </w:rPr>
        <w:t>项的约定列入进度付款申请单，由监理人复核并经发包人同意后列入进度付款。</w:t>
      </w:r>
    </w:p>
    <w:p w14:paraId="0F1A845F">
      <w:pPr>
        <w:pStyle w:val="318"/>
        <w:spacing w:line="360" w:lineRule="auto"/>
        <w:rPr>
          <w:rFonts w:ascii="宋体" w:cs="宋体"/>
          <w:sz w:val="21"/>
          <w:szCs w:val="21"/>
        </w:rPr>
      </w:pPr>
      <w:bookmarkStart w:id="1239" w:name="_Toc6776"/>
      <w:bookmarkStart w:id="1240" w:name="_Toc256000117"/>
      <w:bookmarkStart w:id="1241" w:name="bookmark1310"/>
      <w:bookmarkStart w:id="1242" w:name="_Toc256000367"/>
      <w:bookmarkStart w:id="1243" w:name="bookmark1311"/>
      <w:bookmarkStart w:id="1244" w:name="bookmark1312"/>
      <w:bookmarkStart w:id="1245" w:name="_Toc24789"/>
      <w:bookmarkStart w:id="1246" w:name="_Toc9812"/>
      <w:bookmarkStart w:id="1247" w:name="_Toc21886"/>
      <w:r>
        <w:rPr>
          <w:rFonts w:ascii="宋体" w:hAnsi="宋体" w:cs="宋体"/>
          <w:sz w:val="21"/>
          <w:szCs w:val="21"/>
        </w:rPr>
        <w:t>15.8</w:t>
      </w:r>
      <w:r>
        <w:rPr>
          <w:rFonts w:hint="eastAsia" w:ascii="宋体" w:hAnsi="宋体" w:cs="宋体"/>
          <w:sz w:val="21"/>
          <w:szCs w:val="21"/>
        </w:rPr>
        <w:t>暂估价</w:t>
      </w:r>
      <w:bookmarkEnd w:id="1239"/>
      <w:bookmarkEnd w:id="1240"/>
      <w:bookmarkEnd w:id="1241"/>
      <w:bookmarkEnd w:id="1242"/>
      <w:bookmarkEnd w:id="1243"/>
      <w:bookmarkEnd w:id="1244"/>
      <w:bookmarkEnd w:id="1245"/>
      <w:bookmarkEnd w:id="1246"/>
      <w:bookmarkEnd w:id="1247"/>
    </w:p>
    <w:p w14:paraId="175A672B">
      <w:pPr>
        <w:pStyle w:val="319"/>
        <w:spacing w:after="80"/>
        <w:ind w:firstLine="440"/>
        <w:rPr>
          <w:rFonts w:cs="Times New Roman"/>
          <w:sz w:val="21"/>
          <w:szCs w:val="21"/>
        </w:rPr>
      </w:pPr>
      <w:bookmarkStart w:id="1248" w:name="bookmark1313"/>
      <w:bookmarkEnd w:id="1248"/>
      <w:r>
        <w:rPr>
          <w:sz w:val="21"/>
          <w:szCs w:val="21"/>
        </w:rPr>
        <w:t>15.8.1</w:t>
      </w:r>
      <w:r>
        <w:rPr>
          <w:rFonts w:hint="eastAsia"/>
          <w:sz w:val="21"/>
          <w:szCs w:val="21"/>
        </w:rPr>
        <w:t>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14:paraId="191E9BC6">
      <w:pPr>
        <w:pStyle w:val="319"/>
        <w:spacing w:after="80"/>
        <w:ind w:firstLine="440"/>
        <w:rPr>
          <w:rFonts w:cs="Times New Roman"/>
          <w:sz w:val="21"/>
          <w:szCs w:val="21"/>
        </w:rPr>
      </w:pPr>
      <w:bookmarkStart w:id="1249" w:name="bookmark1314"/>
      <w:bookmarkEnd w:id="1249"/>
      <w:r>
        <w:rPr>
          <w:sz w:val="21"/>
          <w:szCs w:val="21"/>
        </w:rPr>
        <w:t>15.8.2</w:t>
      </w:r>
      <w:r>
        <w:rPr>
          <w:rFonts w:hint="eastAsia"/>
          <w:sz w:val="21"/>
          <w:szCs w:val="21"/>
        </w:rPr>
        <w:t>发包人在工程量清单中给定暂估价的材料和工程设备不属于依法必须招标的范围或未达到规定的规模标准的，应由承包人按第</w:t>
      </w:r>
      <w:r>
        <w:rPr>
          <w:sz w:val="21"/>
          <w:szCs w:val="21"/>
        </w:rPr>
        <w:t>5.1</w:t>
      </w:r>
      <w:r>
        <w:rPr>
          <w:rFonts w:hint="eastAsia"/>
          <w:sz w:val="21"/>
          <w:szCs w:val="21"/>
        </w:rPr>
        <w:t>款的约定提供。经监理人确认的材料、工程设备的价格与工程量清单中所列的暂估价的金额差以及相应的税金等其他费用列入合同价格。</w:t>
      </w:r>
    </w:p>
    <w:p w14:paraId="6C73AF98">
      <w:pPr>
        <w:pStyle w:val="319"/>
        <w:spacing w:after="80"/>
        <w:ind w:firstLine="440"/>
        <w:rPr>
          <w:rFonts w:cs="Times New Roman"/>
          <w:sz w:val="21"/>
          <w:szCs w:val="21"/>
        </w:rPr>
      </w:pPr>
      <w:bookmarkStart w:id="1250" w:name="bookmark1315"/>
      <w:bookmarkEnd w:id="1250"/>
      <w:r>
        <w:rPr>
          <w:sz w:val="21"/>
          <w:szCs w:val="21"/>
        </w:rPr>
        <w:t>15.8.3</w:t>
      </w:r>
      <w:r>
        <w:rPr>
          <w:rFonts w:hint="eastAsia"/>
          <w:sz w:val="21"/>
          <w:szCs w:val="21"/>
        </w:rPr>
        <w:t>发包人在工程量清单中给定暂估价的专业工程不属于依法必须招标的范围或未达到规定的规模标准的，由监理人按照第</w:t>
      </w:r>
      <w:r>
        <w:rPr>
          <w:sz w:val="21"/>
          <w:szCs w:val="21"/>
        </w:rPr>
        <w:t>15.4</w:t>
      </w:r>
      <w:r>
        <w:rPr>
          <w:rFonts w:hint="eastAsia"/>
          <w:sz w:val="21"/>
          <w:szCs w:val="21"/>
        </w:rPr>
        <w:t>款进行估价，但专用合同条款另有约定的除外。经估价的专业工程与工程量清单中所列的暂估价的金额差以及相应的税金等其他费用列入合同价格。</w:t>
      </w:r>
    </w:p>
    <w:p w14:paraId="0C188824">
      <w:pPr>
        <w:pStyle w:val="318"/>
        <w:spacing w:line="360" w:lineRule="auto"/>
        <w:rPr>
          <w:rFonts w:ascii="宋体" w:cs="宋体"/>
          <w:sz w:val="21"/>
          <w:szCs w:val="21"/>
        </w:rPr>
      </w:pPr>
      <w:bookmarkStart w:id="1251" w:name="bookmark1317"/>
      <w:bookmarkStart w:id="1252" w:name="bookmark1316"/>
      <w:bookmarkStart w:id="1253" w:name="_Toc256000118"/>
      <w:bookmarkStart w:id="1254" w:name="bookmark1318"/>
      <w:bookmarkStart w:id="1255" w:name="_Toc32383"/>
      <w:bookmarkStart w:id="1256" w:name="_Toc27543"/>
      <w:bookmarkStart w:id="1257" w:name="_Toc256000368"/>
      <w:bookmarkStart w:id="1258" w:name="_Toc29914"/>
      <w:r>
        <w:rPr>
          <w:rFonts w:ascii="宋体" w:hAnsi="宋体" w:cs="宋体"/>
          <w:sz w:val="21"/>
          <w:szCs w:val="21"/>
        </w:rPr>
        <w:t>16 .</w:t>
      </w:r>
      <w:r>
        <w:rPr>
          <w:rFonts w:hint="eastAsia" w:ascii="宋体" w:hAnsi="宋体" w:cs="宋体"/>
          <w:sz w:val="21"/>
          <w:szCs w:val="21"/>
        </w:rPr>
        <w:t>价格调整</w:t>
      </w:r>
      <w:bookmarkEnd w:id="1251"/>
      <w:bookmarkEnd w:id="1252"/>
      <w:bookmarkEnd w:id="1253"/>
      <w:bookmarkEnd w:id="1254"/>
      <w:bookmarkEnd w:id="1255"/>
      <w:bookmarkEnd w:id="1256"/>
      <w:bookmarkEnd w:id="1257"/>
      <w:bookmarkEnd w:id="1258"/>
    </w:p>
    <w:p w14:paraId="37EB9640">
      <w:pPr>
        <w:pStyle w:val="318"/>
        <w:spacing w:line="360" w:lineRule="auto"/>
        <w:rPr>
          <w:rFonts w:ascii="宋体" w:cs="宋体"/>
          <w:sz w:val="21"/>
          <w:szCs w:val="21"/>
        </w:rPr>
      </w:pPr>
      <w:bookmarkStart w:id="1259" w:name="_Toc2131"/>
      <w:bookmarkStart w:id="1260" w:name="_Toc884"/>
      <w:bookmarkStart w:id="1261" w:name="bookmark1319"/>
      <w:bookmarkStart w:id="1262" w:name="_Toc256000369"/>
      <w:bookmarkStart w:id="1263" w:name="_Toc3602"/>
      <w:bookmarkStart w:id="1264" w:name="bookmark1320"/>
      <w:bookmarkStart w:id="1265" w:name="_Toc24388"/>
      <w:bookmarkStart w:id="1266" w:name="bookmark1321"/>
      <w:bookmarkStart w:id="1267" w:name="_Toc256000119"/>
      <w:r>
        <w:rPr>
          <w:rFonts w:ascii="宋体" w:hAnsi="宋体" w:cs="宋体"/>
          <w:sz w:val="21"/>
          <w:szCs w:val="21"/>
        </w:rPr>
        <w:t>16.1</w:t>
      </w:r>
      <w:r>
        <w:rPr>
          <w:rFonts w:hint="eastAsia" w:ascii="宋体" w:hAnsi="宋体" w:cs="宋体"/>
          <w:sz w:val="21"/>
          <w:szCs w:val="21"/>
        </w:rPr>
        <w:t>物价波动引起的价格调整</w:t>
      </w:r>
      <w:bookmarkEnd w:id="1259"/>
      <w:bookmarkEnd w:id="1260"/>
      <w:bookmarkEnd w:id="1261"/>
      <w:bookmarkEnd w:id="1262"/>
      <w:bookmarkEnd w:id="1263"/>
      <w:bookmarkEnd w:id="1264"/>
      <w:bookmarkEnd w:id="1265"/>
      <w:bookmarkEnd w:id="1266"/>
      <w:bookmarkEnd w:id="1267"/>
    </w:p>
    <w:p w14:paraId="6353052A">
      <w:pPr>
        <w:pStyle w:val="319"/>
        <w:ind w:firstLine="420"/>
        <w:rPr>
          <w:rFonts w:cs="Times New Roman"/>
          <w:sz w:val="21"/>
          <w:szCs w:val="21"/>
        </w:rPr>
      </w:pPr>
      <w:r>
        <w:rPr>
          <w:rFonts w:hint="eastAsia"/>
          <w:sz w:val="21"/>
          <w:szCs w:val="21"/>
        </w:rPr>
        <w:t>由于物价波动原因引起合同价格需要调整的，其价格调整方式在专用合同条款中约定；除专用合同条款另有约定外，因物价波动引起的价格调整按照本款约定处理。</w:t>
      </w:r>
    </w:p>
    <w:p w14:paraId="6105D1CA">
      <w:pPr>
        <w:pStyle w:val="319"/>
        <w:tabs>
          <w:tab w:val="left" w:pos="839"/>
        </w:tabs>
        <w:ind w:left="420" w:firstLine="0"/>
        <w:rPr>
          <w:rFonts w:cs="Times New Roman"/>
          <w:sz w:val="21"/>
          <w:szCs w:val="21"/>
        </w:rPr>
      </w:pPr>
      <w:bookmarkStart w:id="1268" w:name="bookmark1322"/>
      <w:bookmarkEnd w:id="1268"/>
      <w:r>
        <w:rPr>
          <w:sz w:val="21"/>
          <w:szCs w:val="21"/>
          <w:lang w:val="en-US"/>
        </w:rPr>
        <w:t xml:space="preserve">16.1. </w:t>
      </w:r>
      <w:r>
        <w:rPr>
          <w:sz w:val="21"/>
          <w:szCs w:val="21"/>
        </w:rPr>
        <w:t>1</w:t>
      </w:r>
      <w:r>
        <w:rPr>
          <w:rFonts w:hint="eastAsia"/>
          <w:sz w:val="21"/>
          <w:szCs w:val="21"/>
        </w:rPr>
        <w:t>采用价格指数调整价格差额</w:t>
      </w:r>
    </w:p>
    <w:p w14:paraId="15792273">
      <w:pPr>
        <w:pStyle w:val="320"/>
        <w:tabs>
          <w:tab w:val="left" w:pos="839"/>
        </w:tabs>
        <w:spacing w:after="0" w:line="360" w:lineRule="auto"/>
        <w:ind w:left="420" w:firstLine="0"/>
        <w:rPr>
          <w:rFonts w:ascii="宋体" w:cs="宋体"/>
          <w:sz w:val="21"/>
          <w:szCs w:val="21"/>
        </w:rPr>
      </w:pPr>
      <w:bookmarkStart w:id="1269" w:name="bookmark1323"/>
      <w:bookmarkEnd w:id="1269"/>
      <w:r>
        <w:rPr>
          <w:rFonts w:ascii="宋体" w:hAnsi="宋体" w:cs="宋体"/>
          <w:sz w:val="21"/>
          <w:szCs w:val="21"/>
        </w:rPr>
        <w:t xml:space="preserve">16. 1. 1. </w:t>
      </w:r>
      <w:r>
        <w:rPr>
          <w:rFonts w:ascii="宋体" w:hAnsi="宋体" w:cs="宋体"/>
          <w:sz w:val="21"/>
          <w:szCs w:val="21"/>
          <w:lang w:val="zh-CN"/>
        </w:rPr>
        <w:t>1</w:t>
      </w:r>
      <w:r>
        <w:rPr>
          <w:rFonts w:hint="eastAsia" w:ascii="宋体" w:hAnsi="宋体" w:cs="宋体"/>
          <w:sz w:val="21"/>
          <w:szCs w:val="21"/>
          <w:lang w:val="zh-CN"/>
        </w:rPr>
        <w:t>价格调整公式</w:t>
      </w:r>
    </w:p>
    <w:p w14:paraId="5C8028C7">
      <w:pPr>
        <w:pStyle w:val="319"/>
        <w:spacing w:after="140"/>
        <w:ind w:firstLine="420"/>
        <w:rPr>
          <w:rFonts w:cs="Times New Roman"/>
          <w:sz w:val="21"/>
          <w:szCs w:val="21"/>
        </w:rPr>
      </w:pPr>
      <w:r>
        <w:rPr>
          <w:rFonts w:hint="eastAsia"/>
          <w:sz w:val="21"/>
          <w:szCs w:val="21"/>
        </w:rPr>
        <w:t>因人工、材料和设备等价格波动影响合同价格时，根据磋商函附录中的价格指数和权重表约定的数据，按以下公式计算差额并调整合同价格。</w:t>
      </w:r>
    </w:p>
    <w:p w14:paraId="2885BB94">
      <w:pPr>
        <w:pStyle w:val="319"/>
        <w:ind w:firstLine="420"/>
        <w:rPr>
          <w:rFonts w:cs="Times New Roman"/>
          <w:sz w:val="21"/>
          <w:szCs w:val="21"/>
          <w:lang w:val="en-US"/>
        </w:rPr>
      </w:pPr>
      <w:r>
        <w:rPr>
          <w:rFonts w:cs="Times New Roman"/>
          <w:position w:val="-34"/>
          <w:sz w:val="21"/>
          <w:szCs w:val="21"/>
        </w:rPr>
        <w:object>
          <v:shape id="_x0000_i1025" o:spt="75" type="#_x0000_t75" style="height:49pt;width:321.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14:paraId="44CDCB9D">
      <w:pPr>
        <w:pStyle w:val="319"/>
        <w:ind w:firstLine="420"/>
        <w:rPr>
          <w:rFonts w:cs="Times New Roman"/>
          <w:sz w:val="21"/>
          <w:szCs w:val="21"/>
          <w:lang w:val="en-US"/>
        </w:rPr>
      </w:pPr>
    </w:p>
    <w:p w14:paraId="1CB6E271">
      <w:pPr>
        <w:pStyle w:val="319"/>
        <w:ind w:firstLine="420"/>
        <w:rPr>
          <w:rFonts w:cs="Times New Roman"/>
          <w:sz w:val="21"/>
          <w:szCs w:val="21"/>
          <w:lang w:val="en-US"/>
        </w:rPr>
      </w:pPr>
      <w:r>
        <w:rPr>
          <w:rFonts w:hint="eastAsia"/>
          <w:sz w:val="21"/>
          <w:szCs w:val="21"/>
          <w:lang w:val="en-US"/>
        </w:rPr>
        <w:t>式中：</w:t>
      </w:r>
      <w:r>
        <w:rPr>
          <w:sz w:val="21"/>
          <w:szCs w:val="21"/>
          <w:lang w:val="en-US"/>
        </w:rPr>
        <w:t xml:space="preserve"> </w:t>
      </w:r>
      <w:r>
        <w:rPr>
          <w:rFonts w:hint="eastAsia"/>
          <w:sz w:val="21"/>
          <w:szCs w:val="21"/>
          <w:lang w:val="en-US"/>
        </w:rPr>
        <w:t>△</w:t>
      </w:r>
      <w:r>
        <w:rPr>
          <w:sz w:val="21"/>
          <w:szCs w:val="21"/>
          <w:lang w:val="en-US"/>
        </w:rPr>
        <w:t xml:space="preserve">P -- </w:t>
      </w:r>
      <w:r>
        <w:rPr>
          <w:rFonts w:hint="eastAsia"/>
          <w:sz w:val="21"/>
          <w:szCs w:val="21"/>
          <w:lang w:val="en-US"/>
        </w:rPr>
        <w:t>需调整的价格差额；</w:t>
      </w:r>
    </w:p>
    <w:p w14:paraId="2039C88A">
      <w:pPr>
        <w:pStyle w:val="319"/>
        <w:ind w:firstLine="420"/>
        <w:rPr>
          <w:rFonts w:cs="Times New Roman"/>
          <w:sz w:val="21"/>
          <w:szCs w:val="21"/>
          <w:lang w:val="en-US"/>
        </w:rPr>
      </w:pPr>
      <w:r>
        <w:rPr>
          <w:sz w:val="21"/>
          <w:szCs w:val="21"/>
          <w:lang w:val="en-US"/>
        </w:rPr>
        <w:t xml:space="preserve">P0 -- </w:t>
      </w:r>
      <w:r>
        <w:rPr>
          <w:rFonts w:hint="eastAsia"/>
          <w:sz w:val="21"/>
          <w:szCs w:val="21"/>
          <w:lang w:val="en-US"/>
        </w:rPr>
        <w:t>第</w:t>
      </w:r>
      <w:r>
        <w:rPr>
          <w:sz w:val="21"/>
          <w:szCs w:val="21"/>
          <w:lang w:val="en-US"/>
        </w:rPr>
        <w:t>17.3.3</w:t>
      </w:r>
      <w:r>
        <w:rPr>
          <w:rFonts w:hint="eastAsia"/>
          <w:sz w:val="21"/>
          <w:szCs w:val="21"/>
          <w:lang w:val="en-US"/>
        </w:rPr>
        <w:t>项、第</w:t>
      </w:r>
      <w:r>
        <w:rPr>
          <w:sz w:val="21"/>
          <w:szCs w:val="21"/>
          <w:lang w:val="en-US"/>
        </w:rPr>
        <w:t>17.5.2</w:t>
      </w:r>
      <w:r>
        <w:rPr>
          <w:rFonts w:hint="eastAsia"/>
          <w:sz w:val="21"/>
          <w:szCs w:val="21"/>
          <w:lang w:val="en-US"/>
        </w:rPr>
        <w:t>项和第</w:t>
      </w:r>
      <w:r>
        <w:rPr>
          <w:sz w:val="21"/>
          <w:szCs w:val="21"/>
          <w:lang w:val="en-US"/>
        </w:rPr>
        <w:t>17.6.2</w:t>
      </w:r>
      <w:r>
        <w:rPr>
          <w:rFonts w:hint="eastAsia"/>
          <w:sz w:val="21"/>
          <w:szCs w:val="21"/>
          <w:lang w:val="en-US"/>
        </w:rPr>
        <w:t>项约定的付款证书中承包人应得到的已完成工程量的金额。此项金额应不包括价格调整、不计质量保证金的扣留和支付、预付款的支付和扣回。第</w:t>
      </w:r>
      <w:r>
        <w:rPr>
          <w:sz w:val="21"/>
          <w:szCs w:val="21"/>
          <w:lang w:val="en-US"/>
        </w:rPr>
        <w:t>15</w:t>
      </w:r>
      <w:r>
        <w:rPr>
          <w:rFonts w:hint="eastAsia"/>
          <w:sz w:val="21"/>
          <w:szCs w:val="21"/>
          <w:lang w:val="en-US"/>
        </w:rPr>
        <w:t>条约定的变更及其他金额已按现行价格计价的，也不计在内；</w:t>
      </w:r>
    </w:p>
    <w:p w14:paraId="4C795B26">
      <w:pPr>
        <w:pStyle w:val="319"/>
        <w:ind w:firstLine="420"/>
        <w:rPr>
          <w:rFonts w:cs="Times New Roman"/>
          <w:sz w:val="21"/>
          <w:szCs w:val="21"/>
          <w:lang w:val="en-US"/>
        </w:rPr>
      </w:pPr>
      <w:bookmarkStart w:id="1270" w:name="_Toc152042495"/>
      <w:bookmarkStart w:id="1271" w:name="_Toc144974686"/>
      <w:r>
        <w:rPr>
          <w:sz w:val="21"/>
          <w:szCs w:val="21"/>
          <w:lang w:val="en-US"/>
        </w:rPr>
        <w:t xml:space="preserve">A -- </w:t>
      </w:r>
      <w:r>
        <w:rPr>
          <w:rFonts w:hint="eastAsia"/>
          <w:sz w:val="21"/>
          <w:szCs w:val="21"/>
          <w:lang w:val="en-US"/>
        </w:rPr>
        <w:t>定值权重</w:t>
      </w:r>
      <w:r>
        <w:rPr>
          <w:sz w:val="21"/>
          <w:szCs w:val="21"/>
          <w:lang w:val="en-US"/>
        </w:rPr>
        <w:t>(</w:t>
      </w:r>
      <w:r>
        <w:rPr>
          <w:rFonts w:hint="eastAsia"/>
          <w:sz w:val="21"/>
          <w:szCs w:val="21"/>
          <w:lang w:val="en-US"/>
        </w:rPr>
        <w:t>即不调部分的权重</w:t>
      </w:r>
      <w:r>
        <w:rPr>
          <w:sz w:val="21"/>
          <w:szCs w:val="21"/>
          <w:lang w:val="en-US"/>
        </w:rPr>
        <w:t>)</w:t>
      </w:r>
      <w:r>
        <w:rPr>
          <w:rFonts w:hint="eastAsia"/>
          <w:sz w:val="21"/>
          <w:szCs w:val="21"/>
          <w:lang w:val="en-US"/>
        </w:rPr>
        <w:t>；</w:t>
      </w:r>
      <w:bookmarkEnd w:id="1270"/>
      <w:bookmarkEnd w:id="1271"/>
    </w:p>
    <w:p w14:paraId="686F5B61">
      <w:pPr>
        <w:pStyle w:val="319"/>
        <w:ind w:firstLine="420"/>
        <w:rPr>
          <w:rFonts w:cs="Times New Roman"/>
          <w:sz w:val="21"/>
          <w:szCs w:val="21"/>
          <w:lang w:val="en-US"/>
        </w:rPr>
      </w:pPr>
      <w:r>
        <w:rPr>
          <w:sz w:val="21"/>
          <w:szCs w:val="21"/>
          <w:lang w:val="en-US"/>
        </w:rPr>
        <w:t>B1</w:t>
      </w:r>
      <w:r>
        <w:rPr>
          <w:rFonts w:hint="eastAsia"/>
          <w:sz w:val="21"/>
          <w:szCs w:val="21"/>
          <w:lang w:val="en-US"/>
        </w:rPr>
        <w:t>；</w:t>
      </w:r>
      <w:r>
        <w:rPr>
          <w:sz w:val="21"/>
          <w:szCs w:val="21"/>
          <w:lang w:val="en-US"/>
        </w:rPr>
        <w:t>B2</w:t>
      </w:r>
      <w:r>
        <w:rPr>
          <w:rFonts w:hint="eastAsia"/>
          <w:sz w:val="21"/>
          <w:szCs w:val="21"/>
          <w:lang w:val="en-US"/>
        </w:rPr>
        <w:t>；</w:t>
      </w:r>
      <w:r>
        <w:rPr>
          <w:sz w:val="21"/>
          <w:szCs w:val="21"/>
          <w:lang w:val="en-US"/>
        </w:rPr>
        <w:t>B3</w:t>
      </w:r>
      <w:r>
        <w:rPr>
          <w:rFonts w:hint="eastAsia"/>
          <w:sz w:val="21"/>
          <w:szCs w:val="21"/>
          <w:lang w:val="en-US"/>
        </w:rPr>
        <w:t>·····</w:t>
      </w:r>
      <w:r>
        <w:rPr>
          <w:sz w:val="21"/>
          <w:szCs w:val="21"/>
          <w:lang w:val="en-US"/>
        </w:rPr>
        <w:t xml:space="preserve">Bn -- </w:t>
      </w:r>
      <w:r>
        <w:rPr>
          <w:rFonts w:hint="eastAsia"/>
          <w:sz w:val="21"/>
          <w:szCs w:val="21"/>
          <w:lang w:val="en-US"/>
        </w:rPr>
        <w:t>各可调因子的变值权重</w:t>
      </w:r>
      <w:r>
        <w:rPr>
          <w:sz w:val="21"/>
          <w:szCs w:val="21"/>
          <w:lang w:val="en-US"/>
        </w:rPr>
        <w:t>(</w:t>
      </w:r>
      <w:r>
        <w:rPr>
          <w:rFonts w:hint="eastAsia"/>
          <w:sz w:val="21"/>
          <w:szCs w:val="21"/>
          <w:lang w:val="en-US"/>
        </w:rPr>
        <w:t>即可调部分的权重</w:t>
      </w:r>
      <w:r>
        <w:rPr>
          <w:sz w:val="21"/>
          <w:szCs w:val="21"/>
          <w:lang w:val="en-US"/>
        </w:rPr>
        <w:t>)</w:t>
      </w:r>
      <w:r>
        <w:rPr>
          <w:rFonts w:hint="eastAsia"/>
          <w:sz w:val="21"/>
          <w:szCs w:val="21"/>
          <w:lang w:val="en-US"/>
        </w:rPr>
        <w:t>为各可调因子在磋商函磋商总报价中所占的比例；</w:t>
      </w:r>
    </w:p>
    <w:p w14:paraId="616FDBFF">
      <w:pPr>
        <w:pStyle w:val="319"/>
        <w:ind w:firstLine="420"/>
        <w:rPr>
          <w:rFonts w:cs="Times New Roman"/>
          <w:sz w:val="21"/>
          <w:szCs w:val="21"/>
          <w:lang w:val="en-US"/>
        </w:rPr>
      </w:pPr>
      <w:r>
        <w:rPr>
          <w:sz w:val="21"/>
          <w:szCs w:val="21"/>
          <w:lang w:val="en-US"/>
        </w:rPr>
        <w:t>Ft1</w:t>
      </w:r>
      <w:r>
        <w:rPr>
          <w:rFonts w:hint="eastAsia"/>
          <w:sz w:val="21"/>
          <w:szCs w:val="21"/>
          <w:lang w:val="en-US"/>
        </w:rPr>
        <w:t>；</w:t>
      </w:r>
      <w:r>
        <w:rPr>
          <w:sz w:val="21"/>
          <w:szCs w:val="21"/>
          <w:lang w:val="en-US"/>
        </w:rPr>
        <w:t>Ft2</w:t>
      </w:r>
      <w:r>
        <w:rPr>
          <w:rFonts w:hint="eastAsia"/>
          <w:sz w:val="21"/>
          <w:szCs w:val="21"/>
          <w:lang w:val="en-US"/>
        </w:rPr>
        <w:t>；</w:t>
      </w:r>
      <w:r>
        <w:rPr>
          <w:sz w:val="21"/>
          <w:szCs w:val="21"/>
          <w:lang w:val="en-US"/>
        </w:rPr>
        <w:t>Ft3</w:t>
      </w:r>
      <w:r>
        <w:rPr>
          <w:rFonts w:hint="eastAsia"/>
          <w:sz w:val="21"/>
          <w:szCs w:val="21"/>
          <w:lang w:val="en-US"/>
        </w:rPr>
        <w:t>·····</w:t>
      </w:r>
      <w:r>
        <w:rPr>
          <w:sz w:val="21"/>
          <w:szCs w:val="21"/>
          <w:lang w:val="en-US"/>
        </w:rPr>
        <w:t xml:space="preserve">Ftn -- </w:t>
      </w:r>
      <w:r>
        <w:rPr>
          <w:rFonts w:hint="eastAsia"/>
          <w:sz w:val="21"/>
          <w:szCs w:val="21"/>
          <w:lang w:val="en-US"/>
        </w:rPr>
        <w:t>各可调因子的现行价格指数，指第</w:t>
      </w:r>
      <w:r>
        <w:rPr>
          <w:sz w:val="21"/>
          <w:szCs w:val="21"/>
          <w:lang w:val="en-US"/>
        </w:rPr>
        <w:t>17.3.3</w:t>
      </w:r>
      <w:r>
        <w:rPr>
          <w:rFonts w:hint="eastAsia"/>
          <w:sz w:val="21"/>
          <w:szCs w:val="21"/>
          <w:lang w:val="en-US"/>
        </w:rPr>
        <w:t>项、第</w:t>
      </w:r>
      <w:r>
        <w:rPr>
          <w:sz w:val="21"/>
          <w:szCs w:val="21"/>
          <w:lang w:val="en-US"/>
        </w:rPr>
        <w:t>17.5.2</w:t>
      </w:r>
      <w:r>
        <w:rPr>
          <w:rFonts w:hint="eastAsia"/>
          <w:sz w:val="21"/>
          <w:szCs w:val="21"/>
          <w:lang w:val="en-US"/>
        </w:rPr>
        <w:t>项和第</w:t>
      </w:r>
      <w:r>
        <w:rPr>
          <w:sz w:val="21"/>
          <w:szCs w:val="21"/>
          <w:lang w:val="en-US"/>
        </w:rPr>
        <w:t>17.6.2</w:t>
      </w:r>
      <w:r>
        <w:rPr>
          <w:rFonts w:hint="eastAsia"/>
          <w:sz w:val="21"/>
          <w:szCs w:val="21"/>
          <w:lang w:val="en-US"/>
        </w:rPr>
        <w:t>项约定的付款证书相关周期最后一天的前</w:t>
      </w:r>
      <w:r>
        <w:rPr>
          <w:sz w:val="21"/>
          <w:szCs w:val="21"/>
          <w:lang w:val="en-US"/>
        </w:rPr>
        <w:t>42</w:t>
      </w:r>
      <w:r>
        <w:rPr>
          <w:rFonts w:hint="eastAsia"/>
          <w:sz w:val="21"/>
          <w:szCs w:val="21"/>
          <w:lang w:val="en-US"/>
        </w:rPr>
        <w:t>天的各可调因子的价格指数；</w:t>
      </w:r>
    </w:p>
    <w:p w14:paraId="4B88FDE7">
      <w:pPr>
        <w:pStyle w:val="319"/>
        <w:ind w:firstLine="420"/>
        <w:rPr>
          <w:rFonts w:cs="Times New Roman"/>
          <w:sz w:val="21"/>
          <w:szCs w:val="21"/>
          <w:lang w:val="en-US"/>
        </w:rPr>
      </w:pPr>
      <w:r>
        <w:rPr>
          <w:sz w:val="21"/>
          <w:szCs w:val="21"/>
          <w:lang w:val="en-US"/>
        </w:rPr>
        <w:t>Fo1</w:t>
      </w:r>
      <w:r>
        <w:rPr>
          <w:rFonts w:hint="eastAsia"/>
          <w:sz w:val="21"/>
          <w:szCs w:val="21"/>
          <w:lang w:val="en-US"/>
        </w:rPr>
        <w:t>；</w:t>
      </w:r>
      <w:r>
        <w:rPr>
          <w:sz w:val="21"/>
          <w:szCs w:val="21"/>
          <w:lang w:val="en-US"/>
        </w:rPr>
        <w:t>Fo2; Fo3</w:t>
      </w:r>
      <w:r>
        <w:rPr>
          <w:rFonts w:hint="eastAsia"/>
          <w:sz w:val="21"/>
          <w:szCs w:val="21"/>
          <w:lang w:val="en-US"/>
        </w:rPr>
        <w:t>·····</w:t>
      </w:r>
      <w:r>
        <w:rPr>
          <w:sz w:val="21"/>
          <w:szCs w:val="21"/>
          <w:lang w:val="en-US"/>
        </w:rPr>
        <w:t xml:space="preserve">Fon -- </w:t>
      </w:r>
      <w:r>
        <w:rPr>
          <w:rFonts w:hint="eastAsia"/>
          <w:sz w:val="21"/>
          <w:szCs w:val="21"/>
          <w:lang w:val="en-US"/>
        </w:rPr>
        <w:t>各可调因子的基本价格指数，指基准日期的各可调因子的价格指数。</w:t>
      </w:r>
    </w:p>
    <w:p w14:paraId="59B72615">
      <w:pPr>
        <w:pStyle w:val="319"/>
        <w:spacing w:after="120"/>
        <w:ind w:firstLine="420"/>
        <w:rPr>
          <w:rFonts w:cs="Times New Roman"/>
          <w:sz w:val="21"/>
          <w:szCs w:val="21"/>
        </w:rPr>
      </w:pPr>
      <w:r>
        <w:rPr>
          <w:rFonts w:hint="eastAsia"/>
          <w:sz w:val="21"/>
          <w:szCs w:val="21"/>
        </w:rPr>
        <w:t>以上价格调整公式中的各可调因子、定值和变值权重，以及基本价格指数及其来源在磋商函附录价格指数和权重表中约定。价格指数应首先采用有关部门提供的价格指数，缺乏上述价格指数时，可采用有关部门提供的价格代替。</w:t>
      </w:r>
    </w:p>
    <w:p w14:paraId="4603BA58">
      <w:pPr>
        <w:pStyle w:val="319"/>
        <w:ind w:firstLine="420"/>
        <w:rPr>
          <w:rFonts w:cs="Times New Roman"/>
          <w:sz w:val="21"/>
          <w:szCs w:val="21"/>
        </w:rPr>
      </w:pPr>
      <w:r>
        <w:rPr>
          <w:sz w:val="21"/>
          <w:szCs w:val="21"/>
          <w:lang w:val="en-US"/>
        </w:rPr>
        <w:t>16.1.1.2</w:t>
      </w:r>
      <w:r>
        <w:rPr>
          <w:rFonts w:hint="eastAsia"/>
          <w:sz w:val="21"/>
          <w:szCs w:val="21"/>
        </w:rPr>
        <w:t>暂时确定调整差额</w:t>
      </w:r>
    </w:p>
    <w:p w14:paraId="118AE41D">
      <w:pPr>
        <w:pStyle w:val="319"/>
        <w:spacing w:after="120"/>
        <w:ind w:firstLine="440"/>
        <w:rPr>
          <w:rFonts w:cs="Times New Roman"/>
          <w:sz w:val="21"/>
          <w:szCs w:val="21"/>
        </w:rPr>
      </w:pPr>
      <w:r>
        <w:rPr>
          <w:rFonts w:hint="eastAsia"/>
          <w:sz w:val="21"/>
          <w:szCs w:val="21"/>
        </w:rPr>
        <w:t>在计算调整差额时得不到现行价格指数的，可暂用上一次价格指数计算，并在以后的付款中再按实际价格指数进行调整。</w:t>
      </w:r>
    </w:p>
    <w:p w14:paraId="1EA8D31C">
      <w:pPr>
        <w:pStyle w:val="320"/>
        <w:spacing w:after="0" w:line="360" w:lineRule="auto"/>
        <w:ind w:firstLine="440"/>
        <w:rPr>
          <w:rFonts w:ascii="宋体" w:cs="宋体"/>
          <w:sz w:val="21"/>
          <w:szCs w:val="21"/>
        </w:rPr>
      </w:pPr>
      <w:r>
        <w:rPr>
          <w:rFonts w:ascii="宋体" w:hAnsi="宋体" w:cs="宋体"/>
          <w:sz w:val="21"/>
          <w:szCs w:val="21"/>
        </w:rPr>
        <w:t>16.1.1.3</w:t>
      </w:r>
      <w:r>
        <w:rPr>
          <w:rFonts w:hint="eastAsia" w:ascii="宋体" w:hAnsi="宋体" w:cs="宋体"/>
          <w:sz w:val="21"/>
          <w:szCs w:val="21"/>
          <w:lang w:val="zh-CN"/>
        </w:rPr>
        <w:t>权重的调整</w:t>
      </w:r>
    </w:p>
    <w:p w14:paraId="7E445E01">
      <w:pPr>
        <w:pStyle w:val="319"/>
        <w:spacing w:after="120"/>
        <w:ind w:firstLine="440"/>
        <w:rPr>
          <w:rFonts w:cs="Times New Roman"/>
          <w:sz w:val="21"/>
          <w:szCs w:val="21"/>
        </w:rPr>
      </w:pPr>
      <w:r>
        <w:rPr>
          <w:rFonts w:hint="eastAsia"/>
          <w:sz w:val="21"/>
          <w:szCs w:val="21"/>
        </w:rPr>
        <w:t>按第</w:t>
      </w:r>
      <w:r>
        <w:rPr>
          <w:sz w:val="21"/>
          <w:szCs w:val="21"/>
          <w:lang w:val="en-US"/>
        </w:rPr>
        <w:t xml:space="preserve">15. </w:t>
      </w:r>
      <w:r>
        <w:rPr>
          <w:sz w:val="21"/>
          <w:szCs w:val="21"/>
        </w:rPr>
        <w:t>1</w:t>
      </w:r>
      <w:r>
        <w:rPr>
          <w:rFonts w:hint="eastAsia"/>
          <w:sz w:val="21"/>
          <w:szCs w:val="21"/>
        </w:rPr>
        <w:t>款约定的变更导致原定合同中的权重不合理时，由监理人与承包人和发包人协商后进行调整。</w:t>
      </w:r>
    </w:p>
    <w:p w14:paraId="479F04B7">
      <w:pPr>
        <w:pStyle w:val="319"/>
        <w:ind w:firstLine="420"/>
        <w:rPr>
          <w:rFonts w:cs="Times New Roman"/>
          <w:sz w:val="21"/>
          <w:szCs w:val="21"/>
        </w:rPr>
      </w:pPr>
      <w:r>
        <w:rPr>
          <w:sz w:val="21"/>
          <w:szCs w:val="21"/>
          <w:lang w:val="en-US"/>
        </w:rPr>
        <w:t>16.1.1.4</w:t>
      </w:r>
      <w:r>
        <w:rPr>
          <w:rFonts w:hint="eastAsia"/>
          <w:sz w:val="21"/>
          <w:szCs w:val="21"/>
        </w:rPr>
        <w:t>承包人工期延误后的价格调整</w:t>
      </w:r>
    </w:p>
    <w:p w14:paraId="3911C8D4">
      <w:pPr>
        <w:pStyle w:val="319"/>
        <w:spacing w:after="120"/>
        <w:ind w:firstLine="440"/>
        <w:rPr>
          <w:rFonts w:cs="Times New Roman"/>
          <w:sz w:val="21"/>
          <w:szCs w:val="21"/>
        </w:rPr>
      </w:pPr>
      <w:r>
        <w:rPr>
          <w:rFonts w:hint="eastAsia"/>
          <w:sz w:val="21"/>
          <w:szCs w:val="21"/>
        </w:rPr>
        <w:t>由于承包人原因未在约定的工期内竣工的，则对原约定竣工日期后继续施工的工程</w:t>
      </w:r>
      <w:r>
        <w:rPr>
          <w:sz w:val="21"/>
          <w:szCs w:val="21"/>
        </w:rPr>
        <w:t xml:space="preserve">, </w:t>
      </w:r>
      <w:r>
        <w:rPr>
          <w:rFonts w:hint="eastAsia"/>
          <w:sz w:val="21"/>
          <w:szCs w:val="21"/>
        </w:rPr>
        <w:t>在使用第</w:t>
      </w:r>
      <w:r>
        <w:rPr>
          <w:sz w:val="21"/>
          <w:szCs w:val="21"/>
          <w:lang w:val="en-US"/>
        </w:rPr>
        <w:t xml:space="preserve">16. 1. 1. </w:t>
      </w:r>
      <w:r>
        <w:rPr>
          <w:sz w:val="21"/>
          <w:szCs w:val="21"/>
        </w:rPr>
        <w:t>1</w:t>
      </w:r>
      <w:r>
        <w:rPr>
          <w:rFonts w:hint="eastAsia"/>
          <w:sz w:val="21"/>
          <w:szCs w:val="21"/>
        </w:rPr>
        <w:t>目价格调整公式时，应采用原约定竣工日期与实际竣工日期的两个价格指数中较低的一个作为现行价格指数。</w:t>
      </w:r>
    </w:p>
    <w:p w14:paraId="115E3158">
      <w:pPr>
        <w:pStyle w:val="319"/>
        <w:tabs>
          <w:tab w:val="left" w:pos="861"/>
        </w:tabs>
        <w:ind w:firstLine="0"/>
        <w:rPr>
          <w:rFonts w:cs="Times New Roman"/>
          <w:sz w:val="21"/>
          <w:szCs w:val="21"/>
        </w:rPr>
      </w:pPr>
      <w:bookmarkStart w:id="1272" w:name="bookmark1325"/>
      <w:bookmarkEnd w:id="1272"/>
      <w:r>
        <w:rPr>
          <w:sz w:val="21"/>
          <w:szCs w:val="21"/>
          <w:lang w:val="en-US"/>
        </w:rPr>
        <w:t>16.1.2</w:t>
      </w:r>
      <w:r>
        <w:rPr>
          <w:rFonts w:hint="eastAsia"/>
          <w:sz w:val="21"/>
          <w:szCs w:val="21"/>
        </w:rPr>
        <w:t>采用造价信息调整价格差额</w:t>
      </w:r>
    </w:p>
    <w:p w14:paraId="281E810F">
      <w:pPr>
        <w:pStyle w:val="319"/>
        <w:ind w:firstLine="440"/>
        <w:rPr>
          <w:rFonts w:cs="Times New Roman"/>
          <w:sz w:val="21"/>
          <w:szCs w:val="21"/>
        </w:rPr>
      </w:pPr>
      <w:r>
        <w:rPr>
          <w:rFonts w:hint="eastAsia"/>
          <w:sz w:val="21"/>
          <w:szCs w:val="21"/>
        </w:rPr>
        <w:t>施工期内，因人工、材料、设备和机械台班价格波动影响合同价格时，人工、机械使用费按照国家或省</w:t>
      </w:r>
      <w:r>
        <w:rPr>
          <w:sz w:val="21"/>
          <w:szCs w:val="21"/>
        </w:rPr>
        <w:t>(</w:t>
      </w:r>
      <w:r>
        <w:rPr>
          <w:rFonts w:hint="eastAsia"/>
          <w:sz w:val="21"/>
          <w:szCs w:val="21"/>
        </w:rPr>
        <w:t>自治区、直辖市</w:t>
      </w:r>
      <w:r>
        <w:rPr>
          <w:sz w:val="21"/>
          <w:szCs w:val="21"/>
        </w:rPr>
        <w:t>)</w:t>
      </w:r>
      <w:r>
        <w:rPr>
          <w:rFonts w:hint="eastAsia"/>
          <w:sz w:val="21"/>
          <w:szCs w:val="21"/>
        </w:rPr>
        <w:t>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w:t>
      </w:r>
      <w:r>
        <w:rPr>
          <w:sz w:val="21"/>
          <w:szCs w:val="21"/>
        </w:rPr>
        <w:t xml:space="preserve"> </w:t>
      </w:r>
      <w:r>
        <w:rPr>
          <w:rFonts w:hint="eastAsia"/>
          <w:sz w:val="21"/>
          <w:szCs w:val="21"/>
        </w:rPr>
        <w:t>数量，作为调整工程合同价格差额的依据。</w:t>
      </w:r>
    </w:p>
    <w:p w14:paraId="363D29B4">
      <w:pPr>
        <w:pStyle w:val="319"/>
        <w:spacing w:after="160"/>
        <w:ind w:firstLine="420"/>
        <w:rPr>
          <w:rFonts w:cs="Times New Roman"/>
          <w:sz w:val="21"/>
          <w:szCs w:val="21"/>
        </w:rPr>
      </w:pPr>
      <w:r>
        <w:rPr>
          <w:rFonts w:hint="eastAsia"/>
          <w:sz w:val="21"/>
          <w:szCs w:val="21"/>
        </w:rPr>
        <w:t>工程造价信息的来源以及价格调整的项目和系数在专用合同条款中约定。</w:t>
      </w:r>
    </w:p>
    <w:p w14:paraId="481D7FE5">
      <w:pPr>
        <w:pStyle w:val="318"/>
        <w:spacing w:line="360" w:lineRule="auto"/>
        <w:rPr>
          <w:rFonts w:ascii="宋体" w:cs="宋体"/>
          <w:sz w:val="21"/>
          <w:szCs w:val="21"/>
        </w:rPr>
      </w:pPr>
      <w:bookmarkStart w:id="1273" w:name="bookmark1327"/>
      <w:bookmarkStart w:id="1274" w:name="bookmark1328"/>
      <w:bookmarkStart w:id="1275" w:name="_Toc256000370"/>
      <w:bookmarkStart w:id="1276" w:name="_Toc30516"/>
      <w:bookmarkStart w:id="1277" w:name="_Toc17290"/>
      <w:bookmarkStart w:id="1278" w:name="bookmark1326"/>
      <w:bookmarkStart w:id="1279" w:name="_Toc12560"/>
      <w:bookmarkStart w:id="1280" w:name="_Toc256000120"/>
      <w:bookmarkStart w:id="1281" w:name="_Toc19456"/>
      <w:r>
        <w:rPr>
          <w:rFonts w:ascii="宋体" w:hAnsi="宋体" w:cs="宋体"/>
          <w:sz w:val="21"/>
          <w:szCs w:val="21"/>
        </w:rPr>
        <w:t>16.2</w:t>
      </w:r>
      <w:r>
        <w:rPr>
          <w:rFonts w:hint="eastAsia" w:ascii="宋体" w:hAnsi="宋体" w:cs="宋体"/>
          <w:sz w:val="21"/>
          <w:szCs w:val="21"/>
        </w:rPr>
        <w:t>法律变化引起的价格调整</w:t>
      </w:r>
      <w:bookmarkEnd w:id="1273"/>
      <w:bookmarkEnd w:id="1274"/>
      <w:bookmarkEnd w:id="1275"/>
      <w:bookmarkEnd w:id="1276"/>
      <w:bookmarkEnd w:id="1277"/>
      <w:bookmarkEnd w:id="1278"/>
      <w:bookmarkEnd w:id="1279"/>
      <w:bookmarkEnd w:id="1280"/>
      <w:bookmarkEnd w:id="1281"/>
    </w:p>
    <w:p w14:paraId="6E5F2C0B">
      <w:pPr>
        <w:pStyle w:val="319"/>
        <w:spacing w:after="300"/>
        <w:ind w:firstLine="440"/>
        <w:rPr>
          <w:rFonts w:cs="Times New Roman"/>
          <w:sz w:val="21"/>
          <w:szCs w:val="21"/>
        </w:rPr>
      </w:pPr>
      <w:r>
        <w:rPr>
          <w:rFonts w:hint="eastAsia"/>
          <w:sz w:val="21"/>
          <w:szCs w:val="21"/>
        </w:rPr>
        <w:t>在基准日后，因法律变化导致承包人在合同履行中所需要的工程费用发生除第</w:t>
      </w:r>
      <w:r>
        <w:rPr>
          <w:sz w:val="21"/>
          <w:szCs w:val="21"/>
          <w:lang w:val="en-US"/>
        </w:rPr>
        <w:t xml:space="preserve">16. </w:t>
      </w:r>
      <w:r>
        <w:rPr>
          <w:sz w:val="21"/>
          <w:szCs w:val="21"/>
        </w:rPr>
        <w:t>1</w:t>
      </w:r>
      <w:r>
        <w:rPr>
          <w:rFonts w:hint="eastAsia"/>
          <w:sz w:val="21"/>
          <w:szCs w:val="21"/>
        </w:rPr>
        <w:t>款约定以外的增减时，监理人应根据法律、国家或省、自治区、直辖市有关部门的规定，按第</w:t>
      </w:r>
      <w:r>
        <w:rPr>
          <w:sz w:val="21"/>
          <w:szCs w:val="21"/>
          <w:lang w:val="en-US"/>
        </w:rPr>
        <w:t xml:space="preserve">3. </w:t>
      </w:r>
      <w:r>
        <w:rPr>
          <w:sz w:val="21"/>
          <w:szCs w:val="21"/>
        </w:rPr>
        <w:t>5</w:t>
      </w:r>
      <w:r>
        <w:rPr>
          <w:rFonts w:hint="eastAsia"/>
          <w:sz w:val="21"/>
          <w:szCs w:val="21"/>
        </w:rPr>
        <w:t>款商定或确定需调整的合同价款。</w:t>
      </w:r>
    </w:p>
    <w:p w14:paraId="75219104">
      <w:pPr>
        <w:pStyle w:val="318"/>
        <w:spacing w:line="360" w:lineRule="auto"/>
        <w:rPr>
          <w:rFonts w:ascii="宋体" w:cs="宋体"/>
          <w:sz w:val="21"/>
          <w:szCs w:val="21"/>
        </w:rPr>
      </w:pPr>
      <w:bookmarkStart w:id="1282" w:name="_Toc15158"/>
      <w:bookmarkStart w:id="1283" w:name="_Toc10071"/>
      <w:bookmarkStart w:id="1284" w:name="_Toc256000121"/>
      <w:bookmarkStart w:id="1285" w:name="_Toc21074"/>
      <w:bookmarkStart w:id="1286" w:name="_Toc256000371"/>
      <w:bookmarkStart w:id="1287" w:name="bookmark1329"/>
      <w:bookmarkStart w:id="1288" w:name="bookmark1330"/>
      <w:bookmarkStart w:id="1289" w:name="_Toc26355"/>
      <w:bookmarkStart w:id="1290" w:name="bookmark1331"/>
      <w:r>
        <w:rPr>
          <w:rFonts w:ascii="宋体" w:hAnsi="宋体" w:cs="宋体"/>
          <w:sz w:val="21"/>
          <w:szCs w:val="21"/>
        </w:rPr>
        <w:t>17.</w:t>
      </w:r>
      <w:r>
        <w:rPr>
          <w:rFonts w:hint="eastAsia" w:ascii="宋体" w:hAnsi="宋体" w:cs="宋体"/>
          <w:sz w:val="21"/>
          <w:szCs w:val="21"/>
        </w:rPr>
        <w:t>计量与支付</w:t>
      </w:r>
      <w:bookmarkEnd w:id="1282"/>
      <w:bookmarkEnd w:id="1283"/>
      <w:bookmarkEnd w:id="1284"/>
      <w:bookmarkEnd w:id="1285"/>
      <w:bookmarkEnd w:id="1286"/>
      <w:bookmarkEnd w:id="1287"/>
      <w:bookmarkEnd w:id="1288"/>
      <w:bookmarkEnd w:id="1289"/>
      <w:bookmarkEnd w:id="1290"/>
    </w:p>
    <w:p w14:paraId="1E158A4B">
      <w:pPr>
        <w:pStyle w:val="318"/>
        <w:spacing w:line="360" w:lineRule="auto"/>
        <w:rPr>
          <w:rFonts w:ascii="宋体" w:cs="宋体"/>
          <w:sz w:val="21"/>
          <w:szCs w:val="21"/>
        </w:rPr>
      </w:pPr>
      <w:bookmarkStart w:id="1291" w:name="bookmark1333"/>
      <w:bookmarkStart w:id="1292" w:name="_Toc6270"/>
      <w:bookmarkStart w:id="1293" w:name="bookmark1334"/>
      <w:bookmarkStart w:id="1294" w:name="_Toc30580"/>
      <w:bookmarkStart w:id="1295" w:name="_Toc256000372"/>
      <w:bookmarkStart w:id="1296" w:name="_Toc2006"/>
      <w:bookmarkStart w:id="1297" w:name="_Toc256000122"/>
      <w:bookmarkStart w:id="1298" w:name="bookmark1332"/>
      <w:bookmarkStart w:id="1299" w:name="_Toc7733"/>
      <w:r>
        <w:rPr>
          <w:rFonts w:ascii="宋体" w:hAnsi="宋体" w:cs="宋体"/>
          <w:sz w:val="21"/>
          <w:szCs w:val="21"/>
        </w:rPr>
        <w:t>17.1</w:t>
      </w:r>
      <w:r>
        <w:rPr>
          <w:rFonts w:hint="eastAsia" w:ascii="宋体" w:hAnsi="宋体" w:cs="宋体"/>
          <w:sz w:val="21"/>
          <w:szCs w:val="21"/>
        </w:rPr>
        <w:t>计量</w:t>
      </w:r>
      <w:bookmarkEnd w:id="1291"/>
      <w:bookmarkEnd w:id="1292"/>
      <w:bookmarkEnd w:id="1293"/>
      <w:bookmarkEnd w:id="1294"/>
      <w:bookmarkEnd w:id="1295"/>
      <w:bookmarkEnd w:id="1296"/>
      <w:bookmarkEnd w:id="1297"/>
      <w:bookmarkEnd w:id="1298"/>
      <w:bookmarkEnd w:id="1299"/>
    </w:p>
    <w:p w14:paraId="2DA02EAA">
      <w:pPr>
        <w:pStyle w:val="320"/>
        <w:tabs>
          <w:tab w:val="left" w:pos="841"/>
        </w:tabs>
        <w:spacing w:after="0" w:line="360" w:lineRule="auto"/>
        <w:ind w:firstLine="0"/>
        <w:rPr>
          <w:rFonts w:ascii="宋体" w:cs="宋体"/>
          <w:sz w:val="21"/>
          <w:szCs w:val="21"/>
        </w:rPr>
      </w:pPr>
      <w:bookmarkStart w:id="1300" w:name="bookmark1335"/>
      <w:bookmarkEnd w:id="1300"/>
      <w:r>
        <w:rPr>
          <w:rFonts w:ascii="宋体" w:hAnsi="宋体" w:cs="宋体"/>
          <w:sz w:val="21"/>
          <w:szCs w:val="21"/>
        </w:rPr>
        <w:t xml:space="preserve">        17.1. </w:t>
      </w:r>
      <w:r>
        <w:rPr>
          <w:rFonts w:ascii="宋体" w:hAnsi="宋体" w:cs="宋体"/>
          <w:sz w:val="21"/>
          <w:szCs w:val="21"/>
          <w:lang w:val="zh-CN"/>
        </w:rPr>
        <w:t>1</w:t>
      </w:r>
      <w:r>
        <w:rPr>
          <w:rFonts w:hint="eastAsia" w:ascii="宋体" w:hAnsi="宋体" w:cs="宋体"/>
          <w:sz w:val="21"/>
          <w:szCs w:val="21"/>
          <w:lang w:val="zh-CN"/>
        </w:rPr>
        <w:t>计量单位</w:t>
      </w:r>
    </w:p>
    <w:p w14:paraId="35C8702C">
      <w:pPr>
        <w:pStyle w:val="319"/>
        <w:spacing w:after="120"/>
        <w:ind w:firstLine="420"/>
        <w:rPr>
          <w:rFonts w:cs="Times New Roman"/>
          <w:sz w:val="21"/>
          <w:szCs w:val="21"/>
        </w:rPr>
      </w:pPr>
      <w:r>
        <w:rPr>
          <w:rFonts w:hint="eastAsia"/>
          <w:sz w:val="21"/>
          <w:szCs w:val="21"/>
        </w:rPr>
        <w:t>计量采用国家法定的计量单位。</w:t>
      </w:r>
    </w:p>
    <w:p w14:paraId="25187C3F">
      <w:pPr>
        <w:pStyle w:val="319"/>
        <w:tabs>
          <w:tab w:val="left" w:pos="841"/>
        </w:tabs>
        <w:ind w:left="420" w:firstLine="0"/>
        <w:rPr>
          <w:rFonts w:cs="Times New Roman"/>
          <w:sz w:val="21"/>
          <w:szCs w:val="21"/>
        </w:rPr>
      </w:pPr>
      <w:bookmarkStart w:id="1301" w:name="bookmark1336"/>
      <w:bookmarkEnd w:id="1301"/>
      <w:r>
        <w:rPr>
          <w:sz w:val="21"/>
          <w:szCs w:val="21"/>
          <w:lang w:val="en-US"/>
        </w:rPr>
        <w:t>17.1.2</w:t>
      </w:r>
      <w:r>
        <w:rPr>
          <w:rFonts w:hint="eastAsia"/>
          <w:sz w:val="21"/>
          <w:szCs w:val="21"/>
        </w:rPr>
        <w:t>计量方法</w:t>
      </w:r>
    </w:p>
    <w:p w14:paraId="75C733B5">
      <w:pPr>
        <w:pStyle w:val="319"/>
        <w:spacing w:after="120"/>
        <w:ind w:firstLine="420"/>
        <w:rPr>
          <w:rFonts w:cs="Times New Roman"/>
          <w:sz w:val="21"/>
          <w:szCs w:val="21"/>
        </w:rPr>
      </w:pPr>
      <w:r>
        <w:rPr>
          <w:rFonts w:hint="eastAsia"/>
          <w:sz w:val="21"/>
          <w:szCs w:val="21"/>
        </w:rPr>
        <w:t>结算工程量应按工程量清单中约定的方法计算。</w:t>
      </w:r>
    </w:p>
    <w:p w14:paraId="0F87202A">
      <w:pPr>
        <w:pStyle w:val="320"/>
        <w:spacing w:after="0" w:line="360" w:lineRule="auto"/>
        <w:rPr>
          <w:rFonts w:ascii="宋体" w:cs="宋体"/>
          <w:sz w:val="21"/>
          <w:szCs w:val="21"/>
        </w:rPr>
      </w:pPr>
      <w:r>
        <w:rPr>
          <w:rFonts w:ascii="宋体" w:hAnsi="宋体" w:cs="宋体"/>
          <w:sz w:val="21"/>
          <w:szCs w:val="21"/>
        </w:rPr>
        <w:t>17.1.</w:t>
      </w:r>
      <w:r>
        <w:rPr>
          <w:rFonts w:ascii="宋体" w:hAnsi="宋体" w:cs="宋体"/>
          <w:sz w:val="21"/>
          <w:szCs w:val="21"/>
          <w:lang w:val="zh-CN"/>
        </w:rPr>
        <w:t>3</w:t>
      </w:r>
      <w:r>
        <w:rPr>
          <w:rFonts w:hint="eastAsia" w:ascii="宋体" w:hAnsi="宋体" w:cs="宋体"/>
          <w:sz w:val="21"/>
          <w:szCs w:val="21"/>
          <w:lang w:val="zh-CN"/>
        </w:rPr>
        <w:t>计量周期</w:t>
      </w:r>
    </w:p>
    <w:p w14:paraId="2F82C940">
      <w:pPr>
        <w:pStyle w:val="319"/>
        <w:spacing w:after="120"/>
        <w:ind w:firstLine="440"/>
        <w:rPr>
          <w:rFonts w:cs="Times New Roman"/>
          <w:sz w:val="21"/>
          <w:szCs w:val="21"/>
        </w:rPr>
      </w:pPr>
      <w:r>
        <w:rPr>
          <w:rFonts w:hint="eastAsia"/>
          <w:sz w:val="21"/>
          <w:szCs w:val="21"/>
        </w:rPr>
        <w:t>除专用合同条款另有约定外，单价子目已完成工程量按月计量，总价子目的计量周期</w:t>
      </w:r>
      <w:r>
        <w:rPr>
          <w:sz w:val="21"/>
          <w:szCs w:val="21"/>
        </w:rPr>
        <w:t xml:space="preserve"> </w:t>
      </w:r>
      <w:r>
        <w:rPr>
          <w:rFonts w:hint="eastAsia"/>
          <w:sz w:val="21"/>
          <w:szCs w:val="21"/>
        </w:rPr>
        <w:t>按批准的支付分解报告确定。</w:t>
      </w:r>
    </w:p>
    <w:p w14:paraId="294CDB52">
      <w:pPr>
        <w:pStyle w:val="319"/>
        <w:ind w:firstLine="440"/>
        <w:rPr>
          <w:rFonts w:cs="Times New Roman"/>
          <w:sz w:val="21"/>
          <w:szCs w:val="21"/>
        </w:rPr>
      </w:pPr>
      <w:r>
        <w:rPr>
          <w:sz w:val="21"/>
          <w:szCs w:val="21"/>
          <w:lang w:val="en-US" w:eastAsia="en-US"/>
        </w:rPr>
        <w:t>17.1.4</w:t>
      </w:r>
      <w:r>
        <w:rPr>
          <w:rFonts w:hint="eastAsia"/>
          <w:sz w:val="21"/>
          <w:szCs w:val="21"/>
        </w:rPr>
        <w:t>单价子目的计量</w:t>
      </w:r>
    </w:p>
    <w:p w14:paraId="626E5E48">
      <w:pPr>
        <w:pStyle w:val="319"/>
        <w:numPr>
          <w:ilvl w:val="0"/>
          <w:numId w:val="13"/>
        </w:numPr>
        <w:tabs>
          <w:tab w:val="left" w:pos="920"/>
        </w:tabs>
        <w:ind w:firstLine="440"/>
        <w:rPr>
          <w:rFonts w:cs="Times New Roman"/>
          <w:sz w:val="21"/>
          <w:szCs w:val="21"/>
        </w:rPr>
      </w:pPr>
      <w:bookmarkStart w:id="1302" w:name="bookmark1337"/>
      <w:bookmarkEnd w:id="1302"/>
      <w:r>
        <w:rPr>
          <w:rFonts w:hint="eastAsia"/>
          <w:sz w:val="21"/>
          <w:szCs w:val="21"/>
        </w:rPr>
        <w:t>已标价工程量清单中的单价子目工程量为估算工程量。结算工程量是承包人实际完成的，并按合同约定的计量方法进行计量的工程量。</w:t>
      </w:r>
    </w:p>
    <w:p w14:paraId="39A1116A">
      <w:pPr>
        <w:pStyle w:val="319"/>
        <w:numPr>
          <w:ilvl w:val="0"/>
          <w:numId w:val="13"/>
        </w:numPr>
        <w:tabs>
          <w:tab w:val="left" w:pos="920"/>
        </w:tabs>
        <w:ind w:firstLine="440"/>
        <w:rPr>
          <w:rFonts w:cs="Times New Roman"/>
          <w:sz w:val="21"/>
          <w:szCs w:val="21"/>
        </w:rPr>
      </w:pPr>
      <w:bookmarkStart w:id="1303" w:name="bookmark1338"/>
      <w:bookmarkEnd w:id="1303"/>
      <w:r>
        <w:rPr>
          <w:rFonts w:hint="eastAsia"/>
          <w:sz w:val="21"/>
          <w:szCs w:val="21"/>
        </w:rPr>
        <w:t>承包人对已完成的工程进行计量，向监理人提交进度付款申请单、已完成工程量报表和有关计量资料。</w:t>
      </w:r>
    </w:p>
    <w:p w14:paraId="5E7ACD0F">
      <w:pPr>
        <w:pStyle w:val="319"/>
        <w:numPr>
          <w:ilvl w:val="0"/>
          <w:numId w:val="13"/>
        </w:numPr>
        <w:tabs>
          <w:tab w:val="left" w:pos="483"/>
        </w:tabs>
        <w:ind w:firstLine="440"/>
        <w:rPr>
          <w:rFonts w:cs="Times New Roman"/>
          <w:sz w:val="21"/>
          <w:szCs w:val="21"/>
        </w:rPr>
      </w:pPr>
      <w:r>
        <w:rPr>
          <w:rFonts w:hint="eastAsia"/>
          <w:sz w:val="21"/>
          <w:szCs w:val="21"/>
        </w:rPr>
        <w:t>监理人对承包人提交的工程量报表进行复核，以确定实际完成的工程量。对数量</w:t>
      </w:r>
      <w:bookmarkStart w:id="1304" w:name="bookmark1339"/>
      <w:bookmarkEnd w:id="1304"/>
      <w:r>
        <w:rPr>
          <w:rFonts w:hint="eastAsia"/>
          <w:sz w:val="21"/>
          <w:szCs w:val="21"/>
        </w:rPr>
        <w:t>有异议的，可要求承包人按第</w:t>
      </w:r>
      <w:r>
        <w:rPr>
          <w:sz w:val="21"/>
          <w:szCs w:val="21"/>
          <w:lang w:val="en-US"/>
        </w:rPr>
        <w:t>8.2</w:t>
      </w:r>
      <w:r>
        <w:rPr>
          <w:rFonts w:hint="eastAsia"/>
          <w:sz w:val="21"/>
          <w:szCs w:val="21"/>
        </w:rPr>
        <w:t>款约定进行共同复核和抽样复测。承包人应协助监理人进行复核并按监理人要求提供补充计量资料。承包人未按监理人要求参加复核，监理人复核或修正的工程量视为承包人实际完成的工程量。</w:t>
      </w:r>
    </w:p>
    <w:p w14:paraId="0B3DFE69">
      <w:pPr>
        <w:pStyle w:val="319"/>
        <w:numPr>
          <w:ilvl w:val="0"/>
          <w:numId w:val="13"/>
        </w:numPr>
        <w:tabs>
          <w:tab w:val="left" w:pos="899"/>
        </w:tabs>
        <w:ind w:firstLine="440"/>
        <w:rPr>
          <w:rFonts w:cs="Times New Roman"/>
          <w:sz w:val="21"/>
          <w:szCs w:val="21"/>
        </w:rPr>
      </w:pPr>
      <w:bookmarkStart w:id="1305" w:name="bookmark1340"/>
      <w:bookmarkEnd w:id="1305"/>
      <w:r>
        <w:rPr>
          <w:rFonts w:hint="eastAsia"/>
          <w:sz w:val="21"/>
          <w:szCs w:val="21"/>
        </w:rPr>
        <w:t>监理人认为有必要时，可通知承包人共同进行联合测量、计量，承包人应遵照执行。</w:t>
      </w:r>
    </w:p>
    <w:p w14:paraId="75A0FE18">
      <w:pPr>
        <w:pStyle w:val="319"/>
        <w:numPr>
          <w:ilvl w:val="0"/>
          <w:numId w:val="13"/>
        </w:numPr>
        <w:tabs>
          <w:tab w:val="left" w:pos="902"/>
        </w:tabs>
        <w:ind w:firstLine="440"/>
        <w:rPr>
          <w:rFonts w:cs="Times New Roman"/>
          <w:sz w:val="21"/>
          <w:szCs w:val="21"/>
        </w:rPr>
      </w:pPr>
      <w:bookmarkStart w:id="1306" w:name="bookmark1341"/>
      <w:bookmarkEnd w:id="1306"/>
      <w:r>
        <w:rPr>
          <w:rFonts w:hint="eastAsia"/>
          <w:sz w:val="21"/>
          <w:szCs w:val="21"/>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2990BC1A">
      <w:pPr>
        <w:pStyle w:val="319"/>
        <w:numPr>
          <w:ilvl w:val="0"/>
          <w:numId w:val="13"/>
        </w:numPr>
        <w:tabs>
          <w:tab w:val="left" w:pos="902"/>
        </w:tabs>
        <w:ind w:firstLine="440"/>
        <w:rPr>
          <w:rFonts w:cs="Times New Roman"/>
          <w:sz w:val="21"/>
          <w:szCs w:val="21"/>
        </w:rPr>
      </w:pPr>
      <w:bookmarkStart w:id="1307" w:name="bookmark1342"/>
      <w:bookmarkEnd w:id="1307"/>
      <w:r>
        <w:rPr>
          <w:rFonts w:hint="eastAsia"/>
          <w:sz w:val="21"/>
          <w:szCs w:val="21"/>
        </w:rPr>
        <w:t>监理人应在收到承包人提交的工程量报表后的</w:t>
      </w:r>
      <w:r>
        <w:rPr>
          <w:sz w:val="21"/>
          <w:szCs w:val="21"/>
        </w:rPr>
        <w:t>7</w:t>
      </w:r>
      <w:r>
        <w:rPr>
          <w:rFonts w:hint="eastAsia"/>
          <w:sz w:val="21"/>
          <w:szCs w:val="21"/>
        </w:rPr>
        <w:t>天内进行复核，监理人未在约定时间内复核的，承包人提交的工程量报表中的工程量视为承包人实际完成的工程量，据此计算工程价款。</w:t>
      </w:r>
    </w:p>
    <w:p w14:paraId="0FD972D3">
      <w:pPr>
        <w:pStyle w:val="319"/>
        <w:ind w:firstLine="440"/>
        <w:rPr>
          <w:rFonts w:cs="Times New Roman"/>
          <w:sz w:val="21"/>
          <w:szCs w:val="21"/>
        </w:rPr>
      </w:pPr>
      <w:r>
        <w:rPr>
          <w:sz w:val="21"/>
          <w:szCs w:val="21"/>
          <w:lang w:val="en-US"/>
        </w:rPr>
        <w:t>17.1.5</w:t>
      </w:r>
      <w:r>
        <w:rPr>
          <w:rFonts w:hint="eastAsia"/>
          <w:sz w:val="21"/>
          <w:szCs w:val="21"/>
        </w:rPr>
        <w:t>总价子目的计量</w:t>
      </w:r>
    </w:p>
    <w:p w14:paraId="7A07EED5">
      <w:pPr>
        <w:pStyle w:val="319"/>
        <w:ind w:firstLine="420"/>
        <w:rPr>
          <w:rFonts w:cs="Times New Roman"/>
          <w:sz w:val="21"/>
          <w:szCs w:val="21"/>
        </w:rPr>
      </w:pPr>
      <w:r>
        <w:rPr>
          <w:rFonts w:hint="eastAsia"/>
          <w:sz w:val="21"/>
          <w:szCs w:val="21"/>
        </w:rPr>
        <w:t>总价子目的分解和计量按照下述约定进行。</w:t>
      </w:r>
    </w:p>
    <w:p w14:paraId="48A51822">
      <w:pPr>
        <w:pStyle w:val="319"/>
        <w:numPr>
          <w:ilvl w:val="0"/>
          <w:numId w:val="14"/>
        </w:numPr>
        <w:tabs>
          <w:tab w:val="left" w:pos="899"/>
        </w:tabs>
        <w:ind w:firstLine="440"/>
        <w:rPr>
          <w:rFonts w:cs="Times New Roman"/>
          <w:sz w:val="21"/>
          <w:szCs w:val="21"/>
        </w:rPr>
      </w:pPr>
      <w:bookmarkStart w:id="1308" w:name="bookmark1343"/>
      <w:bookmarkEnd w:id="1308"/>
      <w:r>
        <w:rPr>
          <w:rFonts w:hint="eastAsia"/>
          <w:sz w:val="21"/>
          <w:szCs w:val="21"/>
        </w:rPr>
        <w:t>总价子目的计量和支付应以总价为基础，不因第</w:t>
      </w:r>
      <w:r>
        <w:rPr>
          <w:sz w:val="21"/>
          <w:szCs w:val="21"/>
          <w:lang w:val="en-US"/>
        </w:rPr>
        <w:t>16.1</w:t>
      </w:r>
      <w:r>
        <w:rPr>
          <w:rFonts w:hint="eastAsia"/>
          <w:sz w:val="21"/>
          <w:szCs w:val="21"/>
        </w:rPr>
        <w:t>款中的因素而进行调整。承包人实际完成的工程量，是进行工程目标管理和控制进度支付的依据。</w:t>
      </w:r>
    </w:p>
    <w:p w14:paraId="48D5BBCC">
      <w:pPr>
        <w:pStyle w:val="319"/>
        <w:numPr>
          <w:ilvl w:val="0"/>
          <w:numId w:val="14"/>
        </w:numPr>
        <w:tabs>
          <w:tab w:val="left" w:pos="899"/>
        </w:tabs>
        <w:ind w:firstLine="440"/>
        <w:rPr>
          <w:rFonts w:cs="Times New Roman"/>
          <w:sz w:val="21"/>
          <w:szCs w:val="21"/>
        </w:rPr>
      </w:pPr>
      <w:bookmarkStart w:id="1309" w:name="bookmark1344"/>
      <w:bookmarkEnd w:id="1309"/>
      <w:r>
        <w:rPr>
          <w:rFonts w:hint="eastAsia"/>
          <w:sz w:val="21"/>
          <w:szCs w:val="21"/>
        </w:rPr>
        <w:t>承包人应按工程量清单的要求对总价子目进行分解，并在签订协议书后的</w:t>
      </w:r>
      <w:r>
        <w:rPr>
          <w:sz w:val="21"/>
          <w:szCs w:val="21"/>
        </w:rPr>
        <w:t>28</w:t>
      </w:r>
      <w:r>
        <w:rPr>
          <w:rFonts w:hint="eastAsia"/>
          <w:sz w:val="21"/>
          <w:szCs w:val="21"/>
        </w:rPr>
        <w:t>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20AA0561">
      <w:pPr>
        <w:pStyle w:val="319"/>
        <w:numPr>
          <w:ilvl w:val="0"/>
          <w:numId w:val="14"/>
        </w:numPr>
        <w:tabs>
          <w:tab w:val="left" w:pos="899"/>
        </w:tabs>
        <w:ind w:firstLine="440"/>
        <w:rPr>
          <w:rFonts w:cs="Times New Roman"/>
          <w:sz w:val="21"/>
          <w:szCs w:val="21"/>
        </w:rPr>
      </w:pPr>
      <w:bookmarkStart w:id="1310" w:name="bookmark1345"/>
      <w:bookmarkEnd w:id="1310"/>
      <w:r>
        <w:rPr>
          <w:rFonts w:hint="eastAsia"/>
          <w:sz w:val="21"/>
          <w:szCs w:val="21"/>
        </w:rPr>
        <w:t>监理人对承包人提交的上述资料进行复核，以确定分阶段实际完成的工程量和工程形象目标。对其有异议的，可要求承包人按第</w:t>
      </w:r>
      <w:r>
        <w:rPr>
          <w:sz w:val="21"/>
          <w:szCs w:val="21"/>
          <w:lang w:val="en-US"/>
        </w:rPr>
        <w:t>8.2</w:t>
      </w:r>
      <w:r>
        <w:rPr>
          <w:rFonts w:hint="eastAsia"/>
          <w:sz w:val="21"/>
          <w:szCs w:val="21"/>
        </w:rPr>
        <w:t>款约定进行共同复核和抽样复测。</w:t>
      </w:r>
    </w:p>
    <w:p w14:paraId="291E4CBB">
      <w:pPr>
        <w:pStyle w:val="319"/>
        <w:numPr>
          <w:ilvl w:val="0"/>
          <w:numId w:val="14"/>
        </w:numPr>
        <w:tabs>
          <w:tab w:val="left" w:pos="899"/>
        </w:tabs>
        <w:spacing w:after="140"/>
        <w:ind w:firstLine="440"/>
        <w:rPr>
          <w:rFonts w:cs="Times New Roman"/>
          <w:sz w:val="21"/>
          <w:szCs w:val="21"/>
        </w:rPr>
      </w:pPr>
      <w:bookmarkStart w:id="1311" w:name="bookmark1346"/>
      <w:bookmarkEnd w:id="1311"/>
      <w:r>
        <w:rPr>
          <w:rFonts w:hint="eastAsia"/>
          <w:sz w:val="21"/>
          <w:szCs w:val="21"/>
        </w:rPr>
        <w:t>除按照第</w:t>
      </w:r>
      <w:r>
        <w:rPr>
          <w:sz w:val="21"/>
          <w:szCs w:val="21"/>
        </w:rPr>
        <w:t>15</w:t>
      </w:r>
      <w:r>
        <w:rPr>
          <w:rFonts w:hint="eastAsia"/>
          <w:sz w:val="21"/>
          <w:szCs w:val="21"/>
        </w:rPr>
        <w:t>条约定的变更外，总价子目的工程量是承包人用于结算的最终工程量。</w:t>
      </w:r>
    </w:p>
    <w:p w14:paraId="78096903">
      <w:pPr>
        <w:pStyle w:val="318"/>
        <w:spacing w:line="360" w:lineRule="auto"/>
        <w:rPr>
          <w:rFonts w:ascii="宋体" w:cs="宋体"/>
          <w:sz w:val="21"/>
          <w:szCs w:val="21"/>
        </w:rPr>
      </w:pPr>
      <w:bookmarkStart w:id="1312" w:name="_Toc256000373"/>
      <w:bookmarkStart w:id="1313" w:name="bookmark1349"/>
      <w:bookmarkStart w:id="1314" w:name="_Toc1366"/>
      <w:bookmarkStart w:id="1315" w:name="_Toc17427"/>
      <w:bookmarkStart w:id="1316" w:name="bookmark1347"/>
      <w:bookmarkStart w:id="1317" w:name="_Toc6087"/>
      <w:bookmarkStart w:id="1318" w:name="_Toc256000123"/>
      <w:bookmarkStart w:id="1319" w:name="bookmark1348"/>
      <w:bookmarkStart w:id="1320" w:name="_Toc16419"/>
      <w:r>
        <w:rPr>
          <w:rFonts w:ascii="宋体" w:hAnsi="宋体" w:cs="宋体"/>
          <w:sz w:val="21"/>
          <w:szCs w:val="21"/>
        </w:rPr>
        <w:t>17.2</w:t>
      </w:r>
      <w:r>
        <w:rPr>
          <w:rFonts w:hint="eastAsia" w:ascii="宋体" w:hAnsi="宋体" w:cs="宋体"/>
          <w:sz w:val="21"/>
          <w:szCs w:val="21"/>
        </w:rPr>
        <w:t>预付款</w:t>
      </w:r>
      <w:bookmarkEnd w:id="1312"/>
      <w:bookmarkEnd w:id="1313"/>
      <w:bookmarkEnd w:id="1314"/>
      <w:bookmarkEnd w:id="1315"/>
      <w:bookmarkEnd w:id="1316"/>
      <w:bookmarkEnd w:id="1317"/>
      <w:bookmarkEnd w:id="1318"/>
      <w:bookmarkEnd w:id="1319"/>
      <w:bookmarkEnd w:id="1320"/>
    </w:p>
    <w:p w14:paraId="6BF537BB">
      <w:pPr>
        <w:pStyle w:val="320"/>
        <w:spacing w:after="0" w:line="360" w:lineRule="auto"/>
        <w:ind w:firstLine="440"/>
        <w:rPr>
          <w:rFonts w:ascii="宋体" w:cs="宋体"/>
          <w:sz w:val="21"/>
          <w:szCs w:val="21"/>
        </w:rPr>
      </w:pPr>
      <w:r>
        <w:rPr>
          <w:rFonts w:ascii="宋体" w:hAnsi="宋体" w:cs="宋体"/>
          <w:sz w:val="21"/>
          <w:szCs w:val="21"/>
        </w:rPr>
        <w:t>17.2.1</w:t>
      </w:r>
      <w:r>
        <w:rPr>
          <w:rFonts w:hint="eastAsia" w:ascii="宋体" w:hAnsi="宋体" w:cs="宋体"/>
          <w:sz w:val="21"/>
          <w:szCs w:val="21"/>
          <w:lang w:val="zh-CN"/>
        </w:rPr>
        <w:t>预付款</w:t>
      </w:r>
    </w:p>
    <w:p w14:paraId="48179FAC">
      <w:pPr>
        <w:pStyle w:val="319"/>
        <w:ind w:firstLine="440"/>
        <w:rPr>
          <w:rFonts w:cs="Times New Roman"/>
          <w:sz w:val="21"/>
          <w:szCs w:val="21"/>
        </w:rPr>
      </w:pPr>
      <w:r>
        <w:rPr>
          <w:rFonts w:hint="eastAsia"/>
          <w:sz w:val="21"/>
          <w:szCs w:val="21"/>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485BD112">
      <w:pPr>
        <w:pStyle w:val="319"/>
        <w:ind w:firstLine="440"/>
        <w:rPr>
          <w:sz w:val="21"/>
          <w:szCs w:val="21"/>
        </w:rPr>
      </w:pPr>
      <w:r>
        <w:rPr>
          <w:sz w:val="21"/>
          <w:szCs w:val="21"/>
          <w:lang w:val="en-US" w:eastAsia="en-US"/>
        </w:rPr>
        <w:t>17.2.2</w:t>
      </w:r>
      <w:r>
        <w:rPr>
          <w:rFonts w:hint="eastAsia"/>
          <w:sz w:val="21"/>
          <w:szCs w:val="21"/>
        </w:rPr>
        <w:t>预付款保函</w:t>
      </w:r>
      <w:r>
        <w:rPr>
          <w:sz w:val="21"/>
          <w:szCs w:val="21"/>
        </w:rPr>
        <w:t>(</w:t>
      </w:r>
      <w:r>
        <w:rPr>
          <w:rFonts w:hint="eastAsia"/>
          <w:sz w:val="21"/>
          <w:szCs w:val="21"/>
        </w:rPr>
        <w:t>担保</w:t>
      </w:r>
      <w:r>
        <w:rPr>
          <w:sz w:val="21"/>
          <w:szCs w:val="21"/>
        </w:rPr>
        <w:t>)</w:t>
      </w:r>
    </w:p>
    <w:p w14:paraId="1D2FBC66">
      <w:pPr>
        <w:pStyle w:val="319"/>
        <w:numPr>
          <w:ilvl w:val="0"/>
          <w:numId w:val="15"/>
        </w:numPr>
        <w:tabs>
          <w:tab w:val="left" w:pos="899"/>
        </w:tabs>
        <w:ind w:firstLine="440"/>
        <w:rPr>
          <w:rFonts w:cs="Times New Roman"/>
          <w:sz w:val="21"/>
          <w:szCs w:val="21"/>
        </w:rPr>
      </w:pPr>
      <w:bookmarkStart w:id="1321" w:name="bookmark1350"/>
      <w:bookmarkEnd w:id="1321"/>
      <w:r>
        <w:rPr>
          <w:rFonts w:hint="eastAsia"/>
          <w:sz w:val="21"/>
          <w:szCs w:val="21"/>
        </w:rPr>
        <w:t>承包人应在收到第一次工程预付款的同时向发包人提交工程预付款担保，担保金额应与第一次工程预付款金额相同，工程预付款担保在第一次工程预付款被发包人扣回前一直有效。</w:t>
      </w:r>
    </w:p>
    <w:p w14:paraId="3A550822">
      <w:pPr>
        <w:pStyle w:val="319"/>
        <w:numPr>
          <w:ilvl w:val="0"/>
          <w:numId w:val="15"/>
        </w:numPr>
        <w:tabs>
          <w:tab w:val="left" w:pos="903"/>
        </w:tabs>
        <w:ind w:firstLine="440"/>
        <w:rPr>
          <w:rFonts w:cs="Times New Roman"/>
          <w:sz w:val="21"/>
          <w:szCs w:val="21"/>
        </w:rPr>
      </w:pPr>
      <w:bookmarkStart w:id="1322" w:name="bookmark1351"/>
      <w:bookmarkEnd w:id="1322"/>
      <w:r>
        <w:rPr>
          <w:rFonts w:hint="eastAsia"/>
          <w:sz w:val="21"/>
          <w:szCs w:val="21"/>
        </w:rPr>
        <w:t>工程材料预付款的担保在专用合同条款中约定。</w:t>
      </w:r>
    </w:p>
    <w:p w14:paraId="6A03B2EE">
      <w:pPr>
        <w:pStyle w:val="319"/>
        <w:numPr>
          <w:ilvl w:val="0"/>
          <w:numId w:val="15"/>
        </w:numPr>
        <w:tabs>
          <w:tab w:val="left" w:pos="883"/>
        </w:tabs>
        <w:ind w:firstLine="420"/>
        <w:rPr>
          <w:rFonts w:cs="Times New Roman"/>
          <w:sz w:val="21"/>
          <w:szCs w:val="21"/>
        </w:rPr>
      </w:pPr>
      <w:bookmarkStart w:id="1323" w:name="bookmark1352"/>
      <w:bookmarkEnd w:id="1323"/>
      <w:r>
        <w:rPr>
          <w:rFonts w:hint="eastAsia"/>
          <w:sz w:val="21"/>
          <w:szCs w:val="21"/>
        </w:rPr>
        <w:t>预付款担保的担保金额可根据预付款扣回的金额相应递减。</w:t>
      </w:r>
    </w:p>
    <w:p w14:paraId="787D1362">
      <w:pPr>
        <w:pStyle w:val="319"/>
        <w:ind w:firstLine="440"/>
        <w:rPr>
          <w:rFonts w:cs="Times New Roman"/>
          <w:sz w:val="21"/>
          <w:szCs w:val="21"/>
        </w:rPr>
      </w:pPr>
      <w:r>
        <w:rPr>
          <w:sz w:val="21"/>
          <w:szCs w:val="21"/>
          <w:lang w:val="en-US"/>
        </w:rPr>
        <w:t>17.2.3</w:t>
      </w:r>
      <w:r>
        <w:rPr>
          <w:rFonts w:hint="eastAsia"/>
          <w:sz w:val="21"/>
          <w:szCs w:val="21"/>
        </w:rPr>
        <w:t>预付款的扣回与还清</w:t>
      </w:r>
    </w:p>
    <w:p w14:paraId="019592D1">
      <w:pPr>
        <w:pStyle w:val="319"/>
        <w:spacing w:after="240"/>
        <w:ind w:firstLine="440"/>
        <w:rPr>
          <w:rFonts w:cs="Times New Roman"/>
          <w:sz w:val="21"/>
          <w:szCs w:val="21"/>
        </w:rPr>
      </w:pPr>
      <w:r>
        <w:rPr>
          <w:rFonts w:hint="eastAsia"/>
          <w:sz w:val="21"/>
          <w:szCs w:val="21"/>
        </w:rPr>
        <w:t>预付款在进度付款中扣回，扣回与还清办法在专用合同条款中约定。在颁发合同工程</w:t>
      </w:r>
      <w:r>
        <w:rPr>
          <w:sz w:val="21"/>
          <w:szCs w:val="21"/>
        </w:rPr>
        <w:t xml:space="preserve"> </w:t>
      </w:r>
      <w:r>
        <w:rPr>
          <w:rFonts w:hint="eastAsia"/>
          <w:sz w:val="21"/>
          <w:szCs w:val="21"/>
        </w:rPr>
        <w:t>完工证书前，由于不可抗力或其它原因解除合同时，预付款尚未扣清的，尚未扣清的预付款余额应作为承包人的到期应付款。</w:t>
      </w:r>
    </w:p>
    <w:p w14:paraId="69A14992">
      <w:pPr>
        <w:pStyle w:val="318"/>
        <w:spacing w:line="360" w:lineRule="auto"/>
        <w:rPr>
          <w:rFonts w:ascii="宋体" w:cs="宋体"/>
          <w:sz w:val="21"/>
          <w:szCs w:val="21"/>
        </w:rPr>
      </w:pPr>
      <w:bookmarkStart w:id="1324" w:name="_Toc2053"/>
      <w:bookmarkStart w:id="1325" w:name="bookmark1355"/>
      <w:bookmarkStart w:id="1326" w:name="_Toc13772"/>
      <w:bookmarkStart w:id="1327" w:name="_Toc256000374"/>
      <w:bookmarkStart w:id="1328" w:name="_Toc256000124"/>
      <w:bookmarkStart w:id="1329" w:name="bookmark1354"/>
      <w:bookmarkStart w:id="1330" w:name="_Toc18517"/>
      <w:bookmarkStart w:id="1331" w:name="bookmark1353"/>
      <w:bookmarkStart w:id="1332" w:name="_Toc1581"/>
      <w:r>
        <w:rPr>
          <w:rFonts w:ascii="宋体" w:hAnsi="宋体" w:cs="宋体"/>
          <w:sz w:val="21"/>
          <w:szCs w:val="21"/>
        </w:rPr>
        <w:t>17.3</w:t>
      </w:r>
      <w:r>
        <w:rPr>
          <w:rFonts w:hint="eastAsia" w:ascii="宋体" w:hAnsi="宋体" w:cs="宋体"/>
          <w:sz w:val="21"/>
          <w:szCs w:val="21"/>
        </w:rPr>
        <w:t>工程进度付款</w:t>
      </w:r>
      <w:bookmarkEnd w:id="1324"/>
      <w:bookmarkEnd w:id="1325"/>
      <w:bookmarkEnd w:id="1326"/>
      <w:bookmarkEnd w:id="1327"/>
      <w:bookmarkEnd w:id="1328"/>
      <w:bookmarkEnd w:id="1329"/>
      <w:bookmarkEnd w:id="1330"/>
      <w:bookmarkEnd w:id="1331"/>
      <w:bookmarkEnd w:id="1332"/>
    </w:p>
    <w:p w14:paraId="121B81B7">
      <w:pPr>
        <w:pStyle w:val="320"/>
        <w:spacing w:after="0" w:line="360" w:lineRule="auto"/>
        <w:rPr>
          <w:rFonts w:ascii="宋体" w:cs="宋体"/>
          <w:sz w:val="21"/>
          <w:szCs w:val="21"/>
        </w:rPr>
      </w:pPr>
      <w:r>
        <w:rPr>
          <w:rFonts w:ascii="宋体" w:hAnsi="宋体" w:cs="宋体"/>
          <w:sz w:val="21"/>
          <w:szCs w:val="21"/>
        </w:rPr>
        <w:t>17.3.1</w:t>
      </w:r>
      <w:r>
        <w:rPr>
          <w:rFonts w:hint="eastAsia" w:ascii="宋体" w:hAnsi="宋体" w:cs="宋体"/>
          <w:sz w:val="21"/>
          <w:szCs w:val="21"/>
          <w:lang w:val="zh-CN"/>
        </w:rPr>
        <w:t>付款周期</w:t>
      </w:r>
    </w:p>
    <w:p w14:paraId="2F90133A">
      <w:pPr>
        <w:pStyle w:val="319"/>
        <w:ind w:firstLine="420"/>
        <w:rPr>
          <w:rFonts w:cs="Times New Roman"/>
          <w:sz w:val="21"/>
          <w:szCs w:val="21"/>
        </w:rPr>
      </w:pPr>
      <w:r>
        <w:rPr>
          <w:rFonts w:hint="eastAsia"/>
          <w:sz w:val="21"/>
          <w:szCs w:val="21"/>
        </w:rPr>
        <w:t>付款周期同计量周期。</w:t>
      </w:r>
    </w:p>
    <w:p w14:paraId="20109BBD">
      <w:pPr>
        <w:pStyle w:val="319"/>
        <w:ind w:firstLine="420"/>
        <w:rPr>
          <w:rFonts w:cs="Times New Roman"/>
          <w:sz w:val="21"/>
          <w:szCs w:val="21"/>
        </w:rPr>
      </w:pPr>
      <w:r>
        <w:rPr>
          <w:sz w:val="21"/>
          <w:szCs w:val="21"/>
          <w:lang w:val="en-US"/>
        </w:rPr>
        <w:t>17.3.2</w:t>
      </w:r>
      <w:r>
        <w:rPr>
          <w:rFonts w:hint="eastAsia"/>
          <w:sz w:val="21"/>
          <w:szCs w:val="21"/>
        </w:rPr>
        <w:t>进度付款申请单</w:t>
      </w:r>
    </w:p>
    <w:p w14:paraId="48B64DB7">
      <w:pPr>
        <w:pStyle w:val="319"/>
        <w:ind w:firstLine="440"/>
        <w:rPr>
          <w:rFonts w:cs="Times New Roman"/>
          <w:sz w:val="21"/>
          <w:szCs w:val="21"/>
        </w:rPr>
      </w:pPr>
      <w:r>
        <w:rPr>
          <w:rFonts w:hint="eastAsia"/>
          <w:sz w:val="21"/>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2809523C">
      <w:pPr>
        <w:pStyle w:val="319"/>
        <w:numPr>
          <w:ilvl w:val="0"/>
          <w:numId w:val="16"/>
        </w:numPr>
        <w:tabs>
          <w:tab w:val="left" w:pos="903"/>
        </w:tabs>
        <w:ind w:firstLine="420"/>
        <w:rPr>
          <w:rFonts w:cs="Times New Roman"/>
          <w:sz w:val="21"/>
          <w:szCs w:val="21"/>
        </w:rPr>
      </w:pPr>
      <w:bookmarkStart w:id="1333" w:name="bookmark1356"/>
      <w:bookmarkEnd w:id="1333"/>
      <w:r>
        <w:rPr>
          <w:rFonts w:hint="eastAsia"/>
          <w:sz w:val="21"/>
          <w:szCs w:val="21"/>
        </w:rPr>
        <w:t>截至本次付款周期末已实施工程的价款；</w:t>
      </w:r>
    </w:p>
    <w:p w14:paraId="2A3E09BE">
      <w:pPr>
        <w:pStyle w:val="319"/>
        <w:numPr>
          <w:ilvl w:val="0"/>
          <w:numId w:val="16"/>
        </w:numPr>
        <w:tabs>
          <w:tab w:val="left" w:pos="903"/>
        </w:tabs>
        <w:ind w:firstLine="420"/>
        <w:rPr>
          <w:rFonts w:cs="Times New Roman"/>
          <w:sz w:val="21"/>
          <w:szCs w:val="21"/>
        </w:rPr>
      </w:pPr>
      <w:bookmarkStart w:id="1334" w:name="bookmark1357"/>
      <w:bookmarkEnd w:id="1334"/>
      <w:r>
        <w:rPr>
          <w:rFonts w:hint="eastAsia"/>
          <w:sz w:val="21"/>
          <w:szCs w:val="21"/>
        </w:rPr>
        <w:t>根据第</w:t>
      </w:r>
      <w:r>
        <w:rPr>
          <w:sz w:val="21"/>
          <w:szCs w:val="21"/>
        </w:rPr>
        <w:t>15</w:t>
      </w:r>
      <w:r>
        <w:rPr>
          <w:rFonts w:hint="eastAsia"/>
          <w:sz w:val="21"/>
          <w:szCs w:val="21"/>
        </w:rPr>
        <w:t>条应增加和扣减的变更金额；</w:t>
      </w:r>
    </w:p>
    <w:p w14:paraId="47B0BE60">
      <w:pPr>
        <w:pStyle w:val="319"/>
        <w:numPr>
          <w:ilvl w:val="0"/>
          <w:numId w:val="16"/>
        </w:numPr>
        <w:tabs>
          <w:tab w:val="left" w:pos="903"/>
        </w:tabs>
        <w:ind w:firstLine="420"/>
        <w:rPr>
          <w:rFonts w:cs="Times New Roman"/>
          <w:sz w:val="21"/>
          <w:szCs w:val="21"/>
        </w:rPr>
      </w:pPr>
      <w:bookmarkStart w:id="1335" w:name="bookmark1358"/>
      <w:bookmarkEnd w:id="1335"/>
      <w:r>
        <w:rPr>
          <w:rFonts w:hint="eastAsia"/>
          <w:sz w:val="21"/>
          <w:szCs w:val="21"/>
        </w:rPr>
        <w:t>根据第</w:t>
      </w:r>
      <w:r>
        <w:rPr>
          <w:sz w:val="21"/>
          <w:szCs w:val="21"/>
        </w:rPr>
        <w:t>23</w:t>
      </w:r>
      <w:r>
        <w:rPr>
          <w:rFonts w:hint="eastAsia"/>
          <w:sz w:val="21"/>
          <w:szCs w:val="21"/>
        </w:rPr>
        <w:t>条应增加和扣减的索赔金额；</w:t>
      </w:r>
    </w:p>
    <w:p w14:paraId="5AC5DA77">
      <w:pPr>
        <w:pStyle w:val="319"/>
        <w:numPr>
          <w:ilvl w:val="0"/>
          <w:numId w:val="16"/>
        </w:numPr>
        <w:tabs>
          <w:tab w:val="left" w:pos="903"/>
        </w:tabs>
        <w:ind w:firstLine="420"/>
        <w:rPr>
          <w:rFonts w:cs="Times New Roman"/>
          <w:sz w:val="21"/>
          <w:szCs w:val="21"/>
        </w:rPr>
      </w:pPr>
      <w:bookmarkStart w:id="1336" w:name="bookmark1359"/>
      <w:bookmarkEnd w:id="1336"/>
      <w:r>
        <w:rPr>
          <w:rFonts w:hint="eastAsia"/>
          <w:sz w:val="21"/>
          <w:szCs w:val="21"/>
        </w:rPr>
        <w:t>根据第</w:t>
      </w:r>
      <w:r>
        <w:rPr>
          <w:sz w:val="21"/>
          <w:szCs w:val="21"/>
          <w:lang w:val="en-US"/>
        </w:rPr>
        <w:t>17.2</w:t>
      </w:r>
      <w:r>
        <w:rPr>
          <w:rFonts w:hint="eastAsia"/>
          <w:sz w:val="21"/>
          <w:szCs w:val="21"/>
        </w:rPr>
        <w:t>款约定应支付的预付款和扣减的返还预付款；</w:t>
      </w:r>
    </w:p>
    <w:p w14:paraId="183E437C">
      <w:pPr>
        <w:pStyle w:val="319"/>
        <w:numPr>
          <w:ilvl w:val="0"/>
          <w:numId w:val="16"/>
        </w:numPr>
        <w:tabs>
          <w:tab w:val="left" w:pos="903"/>
        </w:tabs>
        <w:ind w:firstLine="420"/>
        <w:rPr>
          <w:rFonts w:cs="Times New Roman"/>
          <w:sz w:val="21"/>
          <w:szCs w:val="21"/>
        </w:rPr>
      </w:pPr>
      <w:bookmarkStart w:id="1337" w:name="bookmark1360"/>
      <w:bookmarkEnd w:id="1337"/>
      <w:r>
        <w:rPr>
          <w:rFonts w:hint="eastAsia"/>
          <w:sz w:val="21"/>
          <w:szCs w:val="21"/>
        </w:rPr>
        <w:t>根据第</w:t>
      </w:r>
      <w:r>
        <w:rPr>
          <w:sz w:val="21"/>
          <w:szCs w:val="21"/>
          <w:lang w:val="en-US"/>
        </w:rPr>
        <w:t xml:space="preserve">17.4. </w:t>
      </w:r>
      <w:r>
        <w:rPr>
          <w:sz w:val="21"/>
          <w:szCs w:val="21"/>
        </w:rPr>
        <w:t>1</w:t>
      </w:r>
      <w:r>
        <w:rPr>
          <w:rFonts w:hint="eastAsia"/>
          <w:sz w:val="21"/>
          <w:szCs w:val="21"/>
        </w:rPr>
        <w:t>项约定应扣减的质量保证金；</w:t>
      </w:r>
    </w:p>
    <w:p w14:paraId="67EDA121">
      <w:pPr>
        <w:pStyle w:val="319"/>
        <w:numPr>
          <w:ilvl w:val="0"/>
          <w:numId w:val="16"/>
        </w:numPr>
        <w:tabs>
          <w:tab w:val="left" w:pos="903"/>
        </w:tabs>
        <w:ind w:firstLine="420"/>
        <w:rPr>
          <w:rFonts w:cs="Times New Roman"/>
          <w:sz w:val="21"/>
          <w:szCs w:val="21"/>
        </w:rPr>
      </w:pPr>
      <w:bookmarkStart w:id="1338" w:name="bookmark1361"/>
      <w:bookmarkEnd w:id="1338"/>
      <w:r>
        <w:rPr>
          <w:rFonts w:hint="eastAsia"/>
          <w:sz w:val="21"/>
          <w:szCs w:val="21"/>
        </w:rPr>
        <w:t>根据合同应增加和扣减的其他金额。</w:t>
      </w:r>
    </w:p>
    <w:p w14:paraId="67AF4F74">
      <w:pPr>
        <w:pStyle w:val="319"/>
        <w:ind w:firstLine="420"/>
        <w:rPr>
          <w:rFonts w:cs="Times New Roman"/>
          <w:sz w:val="21"/>
          <w:szCs w:val="21"/>
        </w:rPr>
      </w:pPr>
      <w:r>
        <w:rPr>
          <w:sz w:val="21"/>
          <w:szCs w:val="21"/>
          <w:lang w:val="en-US"/>
        </w:rPr>
        <w:t>17.3.3</w:t>
      </w:r>
      <w:r>
        <w:rPr>
          <w:rFonts w:hint="eastAsia"/>
          <w:sz w:val="21"/>
          <w:szCs w:val="21"/>
        </w:rPr>
        <w:t>进度付款证书和支付时间</w:t>
      </w:r>
    </w:p>
    <w:p w14:paraId="7B6D3214">
      <w:pPr>
        <w:pStyle w:val="319"/>
        <w:numPr>
          <w:ilvl w:val="0"/>
          <w:numId w:val="17"/>
        </w:numPr>
        <w:tabs>
          <w:tab w:val="left" w:pos="920"/>
        </w:tabs>
        <w:ind w:firstLine="440"/>
        <w:rPr>
          <w:rFonts w:cs="Times New Roman"/>
          <w:sz w:val="21"/>
          <w:szCs w:val="21"/>
        </w:rPr>
      </w:pPr>
      <w:bookmarkStart w:id="1339" w:name="bookmark1362"/>
      <w:bookmarkEnd w:id="1339"/>
      <w:r>
        <w:rPr>
          <w:rFonts w:hint="eastAsia"/>
          <w:sz w:val="21"/>
          <w:szCs w:val="21"/>
        </w:rPr>
        <w:t>监理人在收到承包人进度付款申请单以及相应的支持性证明文件后的</w:t>
      </w:r>
      <w:r>
        <w:rPr>
          <w:sz w:val="21"/>
          <w:szCs w:val="21"/>
        </w:rPr>
        <w:t>14</w:t>
      </w:r>
      <w:r>
        <w:rPr>
          <w:rFonts w:hint="eastAsia"/>
          <w:sz w:val="21"/>
          <w:szCs w:val="21"/>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3735337">
      <w:pPr>
        <w:pStyle w:val="319"/>
        <w:numPr>
          <w:ilvl w:val="0"/>
          <w:numId w:val="17"/>
        </w:numPr>
        <w:tabs>
          <w:tab w:val="left" w:pos="922"/>
        </w:tabs>
        <w:ind w:firstLine="440"/>
        <w:rPr>
          <w:rFonts w:cs="Times New Roman"/>
          <w:sz w:val="21"/>
          <w:szCs w:val="21"/>
        </w:rPr>
      </w:pPr>
      <w:bookmarkStart w:id="1340" w:name="bookmark1363"/>
      <w:bookmarkEnd w:id="1340"/>
      <w:r>
        <w:rPr>
          <w:rFonts w:hint="eastAsia"/>
          <w:sz w:val="21"/>
          <w:szCs w:val="21"/>
        </w:rPr>
        <w:t>发包人应在监理人收到进度付款申请单后的</w:t>
      </w:r>
      <w:r>
        <w:rPr>
          <w:sz w:val="21"/>
          <w:szCs w:val="21"/>
        </w:rPr>
        <w:t>28</w:t>
      </w:r>
      <w:r>
        <w:rPr>
          <w:rFonts w:hint="eastAsia"/>
          <w:sz w:val="21"/>
          <w:szCs w:val="21"/>
        </w:rPr>
        <w:t>天内，将进度应付款支付给承包人。发包人不按期支付的，按专用合同条款的约定支付逾期付款违约金。</w:t>
      </w:r>
    </w:p>
    <w:p w14:paraId="33B83461">
      <w:pPr>
        <w:pStyle w:val="319"/>
        <w:numPr>
          <w:ilvl w:val="0"/>
          <w:numId w:val="17"/>
        </w:numPr>
        <w:tabs>
          <w:tab w:val="left" w:pos="922"/>
        </w:tabs>
        <w:ind w:firstLine="440"/>
        <w:rPr>
          <w:rFonts w:cs="Times New Roman"/>
          <w:sz w:val="21"/>
          <w:szCs w:val="21"/>
        </w:rPr>
      </w:pPr>
      <w:bookmarkStart w:id="1341" w:name="bookmark1364"/>
      <w:bookmarkEnd w:id="1341"/>
      <w:r>
        <w:rPr>
          <w:rFonts w:hint="eastAsia"/>
          <w:sz w:val="21"/>
          <w:szCs w:val="21"/>
        </w:rPr>
        <w:t>监理人出具进度付款证书，不应视为监理人已同意、批准或接受了承包人完成的该部分工作。</w:t>
      </w:r>
    </w:p>
    <w:p w14:paraId="14235E74">
      <w:pPr>
        <w:pStyle w:val="319"/>
        <w:numPr>
          <w:ilvl w:val="0"/>
          <w:numId w:val="17"/>
        </w:numPr>
        <w:tabs>
          <w:tab w:val="left" w:pos="918"/>
        </w:tabs>
        <w:ind w:firstLine="440"/>
        <w:rPr>
          <w:rFonts w:cs="Times New Roman"/>
          <w:sz w:val="21"/>
          <w:szCs w:val="21"/>
        </w:rPr>
      </w:pPr>
      <w:bookmarkStart w:id="1342" w:name="bookmark1365"/>
      <w:bookmarkEnd w:id="1342"/>
      <w:r>
        <w:rPr>
          <w:rFonts w:hint="eastAsia"/>
          <w:sz w:val="21"/>
          <w:szCs w:val="21"/>
        </w:rPr>
        <w:t>进度付款涉及政府投资资金的，按照国库集中支付等国家相关规定和专用合同条款的约定办理。</w:t>
      </w:r>
    </w:p>
    <w:p w14:paraId="0A287D78">
      <w:pPr>
        <w:pStyle w:val="319"/>
        <w:ind w:firstLine="440"/>
        <w:rPr>
          <w:rFonts w:cs="Times New Roman"/>
          <w:sz w:val="21"/>
          <w:szCs w:val="21"/>
        </w:rPr>
      </w:pPr>
      <w:r>
        <w:rPr>
          <w:sz w:val="21"/>
          <w:szCs w:val="21"/>
          <w:lang w:val="en-US"/>
        </w:rPr>
        <w:t>17.3.4</w:t>
      </w:r>
      <w:r>
        <w:rPr>
          <w:rFonts w:hint="eastAsia"/>
          <w:sz w:val="21"/>
          <w:szCs w:val="21"/>
        </w:rPr>
        <w:t>工程进度付款的修正</w:t>
      </w:r>
    </w:p>
    <w:p w14:paraId="0CF9592C">
      <w:pPr>
        <w:pStyle w:val="319"/>
        <w:spacing w:after="120"/>
        <w:ind w:firstLine="440"/>
        <w:rPr>
          <w:rFonts w:cs="Times New Roman"/>
          <w:sz w:val="21"/>
          <w:szCs w:val="21"/>
        </w:rPr>
      </w:pPr>
      <w:r>
        <w:rPr>
          <w:rFonts w:hint="eastAsia"/>
          <w:sz w:val="21"/>
          <w:szCs w:val="21"/>
        </w:rPr>
        <w:t>在对以往历次已签发的进度付款证书进行汇总和复核中发现错、漏或重复的，监理人有权予以修正，承包人也有权提出修正申请。经双方复核同意的修正，应在本次进度付款中支付或扣除。</w:t>
      </w:r>
    </w:p>
    <w:p w14:paraId="7A0A7D72">
      <w:pPr>
        <w:pStyle w:val="318"/>
        <w:spacing w:line="360" w:lineRule="auto"/>
        <w:rPr>
          <w:rFonts w:ascii="宋体" w:cs="宋体"/>
          <w:sz w:val="21"/>
          <w:szCs w:val="21"/>
        </w:rPr>
      </w:pPr>
      <w:bookmarkStart w:id="1343" w:name="_Toc27343"/>
      <w:bookmarkStart w:id="1344" w:name="_Toc27524"/>
      <w:bookmarkStart w:id="1345" w:name="_Toc256000125"/>
      <w:bookmarkStart w:id="1346" w:name="bookmark1367"/>
      <w:bookmarkStart w:id="1347" w:name="bookmark1366"/>
      <w:bookmarkStart w:id="1348" w:name="bookmark1368"/>
      <w:bookmarkStart w:id="1349" w:name="_Toc256000375"/>
      <w:bookmarkStart w:id="1350" w:name="_Toc24179"/>
      <w:bookmarkStart w:id="1351" w:name="_Toc7"/>
      <w:r>
        <w:rPr>
          <w:rFonts w:ascii="宋体" w:hAnsi="宋体" w:cs="宋体"/>
          <w:sz w:val="21"/>
          <w:szCs w:val="21"/>
        </w:rPr>
        <w:t>17.4</w:t>
      </w:r>
      <w:r>
        <w:rPr>
          <w:rFonts w:hint="eastAsia" w:ascii="宋体" w:hAnsi="宋体" w:cs="宋体"/>
          <w:sz w:val="21"/>
          <w:szCs w:val="21"/>
        </w:rPr>
        <w:t>质量保证金</w:t>
      </w:r>
      <w:bookmarkEnd w:id="1343"/>
      <w:bookmarkEnd w:id="1344"/>
      <w:bookmarkEnd w:id="1345"/>
      <w:bookmarkEnd w:id="1346"/>
      <w:bookmarkEnd w:id="1347"/>
      <w:bookmarkEnd w:id="1348"/>
      <w:bookmarkEnd w:id="1349"/>
      <w:bookmarkEnd w:id="1350"/>
      <w:bookmarkEnd w:id="1351"/>
    </w:p>
    <w:p w14:paraId="7F7C9B53">
      <w:pPr>
        <w:pStyle w:val="319"/>
        <w:spacing w:after="120"/>
        <w:ind w:firstLine="440"/>
        <w:rPr>
          <w:rFonts w:cs="Times New Roman"/>
          <w:sz w:val="21"/>
          <w:szCs w:val="21"/>
          <w:lang w:val="en-US"/>
        </w:rPr>
      </w:pPr>
      <w:r>
        <w:rPr>
          <w:sz w:val="21"/>
          <w:szCs w:val="21"/>
          <w:lang w:val="en-US"/>
        </w:rPr>
        <w:t>17.4.1</w:t>
      </w:r>
      <w:r>
        <w:rPr>
          <w:rFonts w:hint="eastAsia"/>
          <w:sz w:val="21"/>
          <w:szCs w:val="21"/>
          <w:lang w:val="en-US"/>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0E9375DA">
      <w:pPr>
        <w:pStyle w:val="319"/>
        <w:spacing w:after="120"/>
        <w:ind w:firstLine="440"/>
        <w:rPr>
          <w:rFonts w:cs="Times New Roman"/>
          <w:sz w:val="21"/>
          <w:szCs w:val="21"/>
          <w:lang w:val="en-US"/>
        </w:rPr>
      </w:pPr>
      <w:r>
        <w:rPr>
          <w:sz w:val="21"/>
          <w:szCs w:val="21"/>
          <w:lang w:val="en-US"/>
        </w:rPr>
        <w:t>17.4.2</w:t>
      </w:r>
      <w:r>
        <w:rPr>
          <w:rFonts w:hint="eastAsia"/>
          <w:sz w:val="21"/>
          <w:szCs w:val="21"/>
          <w:lang w:val="en-US"/>
        </w:rPr>
        <w:t>竣工验收鉴定书签署后</w:t>
      </w:r>
      <w:r>
        <w:rPr>
          <w:sz w:val="21"/>
          <w:szCs w:val="21"/>
          <w:lang w:val="en-US"/>
        </w:rPr>
        <w:t>14</w:t>
      </w:r>
      <w:r>
        <w:rPr>
          <w:rFonts w:hint="eastAsia"/>
          <w:sz w:val="21"/>
          <w:szCs w:val="21"/>
          <w:lang w:val="en-US"/>
        </w:rPr>
        <w:t>天内，发包人将质量保证金总额的一半支付给承包人。在第</w:t>
      </w:r>
      <w:r>
        <w:rPr>
          <w:sz w:val="21"/>
          <w:szCs w:val="21"/>
          <w:lang w:val="en-US"/>
        </w:rPr>
        <w:t>1.1. 4. 5</w:t>
      </w:r>
      <w:r>
        <w:rPr>
          <w:rFonts w:hint="eastAsia"/>
          <w:sz w:val="21"/>
          <w:szCs w:val="21"/>
          <w:lang w:val="en-US"/>
        </w:rPr>
        <w:t>目约定的缺陷责任期</w:t>
      </w:r>
      <w:r>
        <w:rPr>
          <w:sz w:val="21"/>
          <w:szCs w:val="21"/>
          <w:lang w:val="en-US"/>
        </w:rPr>
        <w:t>(</w:t>
      </w:r>
      <w:r>
        <w:rPr>
          <w:rFonts w:hint="eastAsia"/>
          <w:sz w:val="21"/>
          <w:szCs w:val="21"/>
          <w:lang w:val="en-US"/>
        </w:rPr>
        <w:t>工程质量保修期</w:t>
      </w:r>
      <w:r>
        <w:rPr>
          <w:sz w:val="21"/>
          <w:szCs w:val="21"/>
          <w:lang w:val="en-US"/>
        </w:rPr>
        <w:t>)</w:t>
      </w:r>
      <w:r>
        <w:rPr>
          <w:rFonts w:hint="eastAsia"/>
          <w:sz w:val="21"/>
          <w:szCs w:val="21"/>
          <w:lang w:val="en-US"/>
        </w:rPr>
        <w:t>满时，发包人将在</w:t>
      </w:r>
      <w:r>
        <w:rPr>
          <w:sz w:val="21"/>
          <w:szCs w:val="21"/>
          <w:lang w:val="en-US"/>
        </w:rPr>
        <w:t>30</w:t>
      </w:r>
      <w:r>
        <w:rPr>
          <w:rFonts w:hint="eastAsia"/>
          <w:sz w:val="21"/>
          <w:szCs w:val="21"/>
          <w:lang w:val="en-US"/>
        </w:rPr>
        <w:t>个工作日内会同承包人按照合同约定的内容核实承包人是否完成保修责任。如无异议，发包人应当在核实后将剩余的质量保证金支付给承包人。</w:t>
      </w:r>
    </w:p>
    <w:p w14:paraId="06681E48">
      <w:pPr>
        <w:pStyle w:val="319"/>
        <w:spacing w:after="120"/>
        <w:ind w:firstLine="440"/>
        <w:rPr>
          <w:rFonts w:cs="Times New Roman"/>
          <w:sz w:val="21"/>
          <w:szCs w:val="21"/>
        </w:rPr>
      </w:pPr>
      <w:r>
        <w:rPr>
          <w:sz w:val="21"/>
          <w:szCs w:val="21"/>
          <w:lang w:val="en-US"/>
        </w:rPr>
        <w:t>17.4.3</w:t>
      </w:r>
      <w:r>
        <w:rPr>
          <w:rFonts w:hint="eastAsia"/>
          <w:sz w:val="21"/>
          <w:szCs w:val="21"/>
          <w:lang w:val="en-US"/>
        </w:rPr>
        <w:t>在第</w:t>
      </w:r>
      <w:r>
        <w:rPr>
          <w:sz w:val="21"/>
          <w:szCs w:val="21"/>
          <w:lang w:val="en-US"/>
        </w:rPr>
        <w:t>1.1.4.5</w:t>
      </w:r>
      <w:r>
        <w:rPr>
          <w:rFonts w:hint="eastAsia"/>
          <w:sz w:val="21"/>
          <w:szCs w:val="21"/>
          <w:lang w:val="en-US"/>
        </w:rPr>
        <w:t>目约定的缺陷责任期满时，承包人没有完成缺陷责任的，发包人有权扣留与未履行责任剩余工作所需金额相应的质量保证金余额，并有权根据第</w:t>
      </w:r>
      <w:r>
        <w:rPr>
          <w:sz w:val="21"/>
          <w:szCs w:val="21"/>
          <w:lang w:val="en-US"/>
        </w:rPr>
        <w:t>19. 3</w:t>
      </w:r>
      <w:r>
        <w:rPr>
          <w:rFonts w:hint="eastAsia"/>
          <w:sz w:val="21"/>
          <w:szCs w:val="21"/>
          <w:lang w:val="en-US"/>
        </w:rPr>
        <w:t>款约定要求延长缺陷责任期，直至完成剩余工作为止。</w:t>
      </w:r>
    </w:p>
    <w:p w14:paraId="59F5D19D">
      <w:pPr>
        <w:pStyle w:val="318"/>
        <w:spacing w:line="360" w:lineRule="auto"/>
        <w:rPr>
          <w:rFonts w:ascii="宋体" w:hAnsi="宋体" w:cs="宋体"/>
          <w:sz w:val="21"/>
          <w:szCs w:val="21"/>
        </w:rPr>
      </w:pPr>
      <w:bookmarkStart w:id="1352" w:name="_Toc2557"/>
      <w:bookmarkStart w:id="1353" w:name="_Toc23362"/>
      <w:bookmarkStart w:id="1354" w:name="_Toc256000126"/>
      <w:bookmarkStart w:id="1355" w:name="bookmark1370"/>
      <w:bookmarkStart w:id="1356" w:name="bookmark1371"/>
      <w:bookmarkStart w:id="1357" w:name="_Toc27561"/>
      <w:bookmarkStart w:id="1358" w:name="_Toc17167"/>
      <w:bookmarkStart w:id="1359" w:name="bookmark1369"/>
      <w:bookmarkStart w:id="1360" w:name="_Toc256000376"/>
      <w:r>
        <w:rPr>
          <w:rFonts w:ascii="宋体" w:hAnsi="宋体" w:cs="宋体"/>
          <w:sz w:val="21"/>
          <w:szCs w:val="21"/>
        </w:rPr>
        <w:t>17.5</w:t>
      </w:r>
      <w:r>
        <w:rPr>
          <w:rFonts w:hint="eastAsia" w:ascii="宋体" w:hAnsi="宋体" w:cs="宋体"/>
          <w:sz w:val="21"/>
          <w:szCs w:val="21"/>
        </w:rPr>
        <w:t>竣工结算</w:t>
      </w:r>
      <w:r>
        <w:rPr>
          <w:rFonts w:ascii="宋体" w:hAnsi="宋体" w:cs="宋体"/>
          <w:sz w:val="21"/>
          <w:szCs w:val="21"/>
        </w:rPr>
        <w:t>(</w:t>
      </w:r>
      <w:r>
        <w:rPr>
          <w:rFonts w:hint="eastAsia" w:ascii="宋体" w:hAnsi="宋体" w:cs="宋体"/>
          <w:sz w:val="21"/>
          <w:szCs w:val="21"/>
        </w:rPr>
        <w:t>完工结算</w:t>
      </w:r>
      <w:r>
        <w:rPr>
          <w:rFonts w:ascii="宋体" w:hAnsi="宋体" w:cs="宋体"/>
          <w:sz w:val="21"/>
          <w:szCs w:val="21"/>
        </w:rPr>
        <w:t>)</w:t>
      </w:r>
      <w:bookmarkEnd w:id="1352"/>
      <w:bookmarkEnd w:id="1353"/>
      <w:bookmarkEnd w:id="1354"/>
      <w:bookmarkEnd w:id="1355"/>
      <w:bookmarkEnd w:id="1356"/>
      <w:bookmarkEnd w:id="1357"/>
      <w:bookmarkEnd w:id="1358"/>
      <w:bookmarkEnd w:id="1359"/>
      <w:bookmarkEnd w:id="1360"/>
    </w:p>
    <w:p w14:paraId="5D0C4881">
      <w:pPr>
        <w:pStyle w:val="319"/>
        <w:ind w:firstLine="440"/>
        <w:rPr>
          <w:rFonts w:cs="Times New Roman"/>
          <w:sz w:val="21"/>
          <w:szCs w:val="21"/>
        </w:rPr>
      </w:pPr>
      <w:r>
        <w:rPr>
          <w:sz w:val="21"/>
          <w:szCs w:val="21"/>
          <w:lang w:val="en-US"/>
        </w:rPr>
        <w:t>17.5.1</w:t>
      </w:r>
      <w:r>
        <w:rPr>
          <w:rFonts w:hint="eastAsia"/>
          <w:sz w:val="21"/>
          <w:szCs w:val="21"/>
        </w:rPr>
        <w:t>竣工</w:t>
      </w:r>
      <w:r>
        <w:rPr>
          <w:sz w:val="21"/>
          <w:szCs w:val="21"/>
        </w:rPr>
        <w:t>(</w:t>
      </w:r>
      <w:r>
        <w:rPr>
          <w:rFonts w:hint="eastAsia"/>
          <w:sz w:val="21"/>
          <w:szCs w:val="21"/>
        </w:rPr>
        <w:t>完工</w:t>
      </w:r>
      <w:r>
        <w:rPr>
          <w:sz w:val="21"/>
          <w:szCs w:val="21"/>
        </w:rPr>
        <w:t>)</w:t>
      </w:r>
      <w:r>
        <w:rPr>
          <w:rFonts w:hint="eastAsia"/>
          <w:sz w:val="21"/>
          <w:szCs w:val="21"/>
        </w:rPr>
        <w:t>付款申请单</w:t>
      </w:r>
    </w:p>
    <w:p w14:paraId="756A3EA3">
      <w:pPr>
        <w:pStyle w:val="319"/>
        <w:numPr>
          <w:ilvl w:val="0"/>
          <w:numId w:val="18"/>
        </w:numPr>
        <w:tabs>
          <w:tab w:val="left" w:pos="918"/>
        </w:tabs>
        <w:ind w:firstLine="440"/>
        <w:rPr>
          <w:rFonts w:cs="Times New Roman"/>
          <w:sz w:val="21"/>
          <w:szCs w:val="21"/>
        </w:rPr>
      </w:pPr>
      <w:bookmarkStart w:id="1361" w:name="bookmark1372"/>
      <w:bookmarkEnd w:id="1361"/>
      <w:r>
        <w:rPr>
          <w:rFonts w:hint="eastAsia"/>
          <w:sz w:val="21"/>
          <w:szCs w:val="21"/>
        </w:rPr>
        <w:t>承包人应在合同工程完工证书颁发后</w:t>
      </w:r>
      <w:r>
        <w:rPr>
          <w:sz w:val="21"/>
          <w:szCs w:val="21"/>
        </w:rPr>
        <w:t>28</w:t>
      </w:r>
      <w:r>
        <w:rPr>
          <w:rFonts w:hint="eastAsia"/>
          <w:sz w:val="21"/>
          <w:szCs w:val="21"/>
        </w:rPr>
        <w:t>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67BC897C">
      <w:pPr>
        <w:pStyle w:val="319"/>
        <w:numPr>
          <w:ilvl w:val="0"/>
          <w:numId w:val="18"/>
        </w:numPr>
        <w:tabs>
          <w:tab w:val="left" w:pos="916"/>
        </w:tabs>
        <w:spacing w:after="120"/>
        <w:ind w:firstLine="440"/>
        <w:rPr>
          <w:rFonts w:cs="Times New Roman"/>
          <w:sz w:val="21"/>
          <w:szCs w:val="21"/>
        </w:rPr>
      </w:pPr>
      <w:bookmarkStart w:id="1362" w:name="bookmark1373"/>
      <w:bookmarkEnd w:id="1362"/>
      <w:r>
        <w:rPr>
          <w:rFonts w:hint="eastAsia"/>
          <w:sz w:val="21"/>
          <w:szCs w:val="21"/>
        </w:rPr>
        <w:t>监理人对完工付款申请单有异议的，有权要求承包人进行修正和提供补充资料。经监理人和承包人协商后，由承包人向监理人提交修正后的完工付款申请单。</w:t>
      </w:r>
    </w:p>
    <w:p w14:paraId="75B896A2">
      <w:pPr>
        <w:pStyle w:val="319"/>
        <w:ind w:firstLine="440"/>
        <w:rPr>
          <w:rFonts w:cs="Times New Roman"/>
          <w:sz w:val="21"/>
          <w:szCs w:val="21"/>
        </w:rPr>
      </w:pPr>
      <w:r>
        <w:rPr>
          <w:sz w:val="21"/>
          <w:szCs w:val="21"/>
          <w:lang w:val="en-US"/>
        </w:rPr>
        <w:t>17.5.2</w:t>
      </w:r>
      <w:r>
        <w:rPr>
          <w:rFonts w:hint="eastAsia"/>
          <w:sz w:val="21"/>
          <w:szCs w:val="21"/>
        </w:rPr>
        <w:t>竣工</w:t>
      </w:r>
      <w:r>
        <w:rPr>
          <w:sz w:val="21"/>
          <w:szCs w:val="21"/>
        </w:rPr>
        <w:t>(</w:t>
      </w:r>
      <w:r>
        <w:rPr>
          <w:rFonts w:hint="eastAsia"/>
          <w:sz w:val="21"/>
          <w:szCs w:val="21"/>
        </w:rPr>
        <w:t>完工</w:t>
      </w:r>
      <w:r>
        <w:rPr>
          <w:sz w:val="21"/>
          <w:szCs w:val="21"/>
        </w:rPr>
        <w:t>)</w:t>
      </w:r>
      <w:r>
        <w:rPr>
          <w:rFonts w:hint="eastAsia"/>
          <w:sz w:val="21"/>
          <w:szCs w:val="21"/>
        </w:rPr>
        <w:t>付款证书及支付时间</w:t>
      </w:r>
    </w:p>
    <w:p w14:paraId="2FA2488D">
      <w:pPr>
        <w:pStyle w:val="319"/>
        <w:numPr>
          <w:ilvl w:val="0"/>
          <w:numId w:val="19"/>
        </w:numPr>
        <w:tabs>
          <w:tab w:val="left" w:pos="918"/>
        </w:tabs>
        <w:ind w:firstLine="440"/>
        <w:rPr>
          <w:rFonts w:cs="Times New Roman"/>
          <w:sz w:val="21"/>
          <w:szCs w:val="21"/>
        </w:rPr>
      </w:pPr>
      <w:bookmarkStart w:id="1363" w:name="bookmark1374"/>
      <w:bookmarkEnd w:id="1363"/>
      <w:r>
        <w:rPr>
          <w:rFonts w:hint="eastAsia"/>
          <w:sz w:val="21"/>
          <w:szCs w:val="21"/>
        </w:rPr>
        <w:t>监理人在收到承包人提交的完工付款申请单后的</w:t>
      </w:r>
      <w:r>
        <w:rPr>
          <w:sz w:val="21"/>
          <w:szCs w:val="21"/>
        </w:rPr>
        <w:t>14</w:t>
      </w:r>
      <w:r>
        <w:rPr>
          <w:rFonts w:hint="eastAsia"/>
          <w:sz w:val="21"/>
          <w:szCs w:val="21"/>
        </w:rPr>
        <w:t>天内完成核查，提出发包人到期应支付给承包人的价款送发包人审核并抄送承包人。发包人应在收到后</w:t>
      </w:r>
      <w:r>
        <w:rPr>
          <w:sz w:val="21"/>
          <w:szCs w:val="21"/>
        </w:rPr>
        <w:t>14</w:t>
      </w:r>
      <w:r>
        <w:rPr>
          <w:rFonts w:hint="eastAsia"/>
          <w:sz w:val="21"/>
          <w:szCs w:val="21"/>
        </w:rPr>
        <w:t>天内审核完毕，由监理人向承包人出具经发包人签认的完工付款证书。监理人未在约定时间内核查</w:t>
      </w:r>
      <w:r>
        <w:rPr>
          <w:sz w:val="21"/>
          <w:szCs w:val="21"/>
        </w:rPr>
        <w:t xml:space="preserve">, </w:t>
      </w:r>
      <w:r>
        <w:rPr>
          <w:rFonts w:hint="eastAsia"/>
          <w:sz w:val="21"/>
          <w:szCs w:val="21"/>
        </w:rPr>
        <w:t>又未提出具体意见的，视为承包人提交的完工付款申请单已经监理人核查同意。发包人未</w:t>
      </w:r>
      <w:r>
        <w:rPr>
          <w:sz w:val="21"/>
          <w:szCs w:val="21"/>
        </w:rPr>
        <w:t xml:space="preserve"> </w:t>
      </w:r>
      <w:r>
        <w:rPr>
          <w:rFonts w:hint="eastAsia"/>
          <w:sz w:val="21"/>
          <w:szCs w:val="21"/>
        </w:rPr>
        <w:t>在约定时间内审核又未提出具体意见的，监理人提出发包人到期应支付给承包人的价款视</w:t>
      </w:r>
      <w:r>
        <w:rPr>
          <w:sz w:val="21"/>
          <w:szCs w:val="21"/>
        </w:rPr>
        <w:t xml:space="preserve"> </w:t>
      </w:r>
      <w:r>
        <w:rPr>
          <w:rFonts w:hint="eastAsia"/>
          <w:sz w:val="21"/>
          <w:szCs w:val="21"/>
        </w:rPr>
        <w:t>为已经发包人同意。</w:t>
      </w:r>
    </w:p>
    <w:p w14:paraId="5A7A8F72">
      <w:pPr>
        <w:pStyle w:val="319"/>
        <w:numPr>
          <w:ilvl w:val="0"/>
          <w:numId w:val="19"/>
        </w:numPr>
        <w:tabs>
          <w:tab w:val="left" w:pos="918"/>
        </w:tabs>
        <w:ind w:firstLine="440"/>
        <w:rPr>
          <w:rFonts w:cs="Times New Roman"/>
          <w:sz w:val="21"/>
          <w:szCs w:val="21"/>
        </w:rPr>
      </w:pPr>
      <w:bookmarkStart w:id="1364" w:name="bookmark1375"/>
      <w:bookmarkEnd w:id="1364"/>
      <w:r>
        <w:rPr>
          <w:rFonts w:hint="eastAsia"/>
          <w:sz w:val="21"/>
          <w:szCs w:val="21"/>
        </w:rPr>
        <w:t>发包人应在监理人出具完工付款证书后的</w:t>
      </w:r>
      <w:r>
        <w:rPr>
          <w:sz w:val="21"/>
          <w:szCs w:val="21"/>
        </w:rPr>
        <w:t>14</w:t>
      </w:r>
      <w:r>
        <w:rPr>
          <w:rFonts w:hint="eastAsia"/>
          <w:sz w:val="21"/>
          <w:szCs w:val="21"/>
        </w:rPr>
        <w:t>天内，将应支付款支付给承包人。发包人不按期支付的，按第</w:t>
      </w:r>
      <w:r>
        <w:rPr>
          <w:sz w:val="21"/>
          <w:szCs w:val="21"/>
          <w:lang w:val="en-US"/>
        </w:rPr>
        <w:t xml:space="preserve">17.3.3 </w:t>
      </w:r>
      <w:r>
        <w:rPr>
          <w:sz w:val="21"/>
          <w:szCs w:val="21"/>
        </w:rPr>
        <w:t>(2)</w:t>
      </w:r>
      <w:r>
        <w:rPr>
          <w:rFonts w:hint="eastAsia"/>
          <w:sz w:val="21"/>
          <w:szCs w:val="21"/>
        </w:rPr>
        <w:t>目的约定，将逾期付款违约金支付给承包人。</w:t>
      </w:r>
    </w:p>
    <w:p w14:paraId="0AD70284">
      <w:pPr>
        <w:pStyle w:val="319"/>
        <w:numPr>
          <w:ilvl w:val="0"/>
          <w:numId w:val="19"/>
        </w:numPr>
        <w:tabs>
          <w:tab w:val="left" w:pos="914"/>
        </w:tabs>
        <w:spacing w:after="120"/>
        <w:ind w:firstLine="440"/>
        <w:rPr>
          <w:rFonts w:cs="Times New Roman"/>
          <w:sz w:val="21"/>
          <w:szCs w:val="21"/>
        </w:rPr>
      </w:pPr>
      <w:bookmarkStart w:id="1365" w:name="bookmark1376"/>
      <w:bookmarkEnd w:id="1365"/>
      <w:r>
        <w:rPr>
          <w:rFonts w:hint="eastAsia"/>
          <w:sz w:val="21"/>
          <w:szCs w:val="21"/>
        </w:rPr>
        <w:t>承包人对发包人签认的完工付款证书有异议的，发包人可出具完工付款申请单中承包人已同意部分的临时付款证书。存在争议的部分，按第</w:t>
      </w:r>
      <w:r>
        <w:rPr>
          <w:sz w:val="21"/>
          <w:szCs w:val="21"/>
        </w:rPr>
        <w:t>24</w:t>
      </w:r>
      <w:r>
        <w:rPr>
          <w:rFonts w:hint="eastAsia"/>
          <w:sz w:val="21"/>
          <w:szCs w:val="21"/>
        </w:rPr>
        <w:t>条的约定办理。</w:t>
      </w:r>
    </w:p>
    <w:p w14:paraId="7A2E0992">
      <w:pPr>
        <w:pStyle w:val="319"/>
        <w:numPr>
          <w:ilvl w:val="0"/>
          <w:numId w:val="19"/>
        </w:numPr>
        <w:tabs>
          <w:tab w:val="left" w:pos="922"/>
        </w:tabs>
        <w:ind w:firstLine="440"/>
        <w:rPr>
          <w:rFonts w:cs="Times New Roman"/>
          <w:sz w:val="21"/>
          <w:szCs w:val="21"/>
        </w:rPr>
      </w:pPr>
      <w:bookmarkStart w:id="1366" w:name="bookmark1377"/>
      <w:bookmarkEnd w:id="1366"/>
      <w:r>
        <w:rPr>
          <w:rFonts w:hint="eastAsia"/>
          <w:sz w:val="21"/>
          <w:szCs w:val="21"/>
        </w:rPr>
        <w:t>完工付款涉及政府投资资金的，按第</w:t>
      </w:r>
      <w:r>
        <w:rPr>
          <w:sz w:val="21"/>
          <w:szCs w:val="21"/>
          <w:lang w:val="en-US"/>
        </w:rPr>
        <w:t xml:space="preserve">17.3.3 </w:t>
      </w:r>
      <w:r>
        <w:rPr>
          <w:sz w:val="21"/>
          <w:szCs w:val="21"/>
        </w:rPr>
        <w:t>(4)</w:t>
      </w:r>
      <w:r>
        <w:rPr>
          <w:rFonts w:hint="eastAsia"/>
          <w:sz w:val="21"/>
          <w:szCs w:val="21"/>
        </w:rPr>
        <w:t>目的约定办理。</w:t>
      </w:r>
    </w:p>
    <w:p w14:paraId="4BDE1FF8">
      <w:pPr>
        <w:pStyle w:val="318"/>
        <w:spacing w:line="360" w:lineRule="auto"/>
        <w:rPr>
          <w:rFonts w:ascii="宋体" w:cs="宋体"/>
          <w:sz w:val="21"/>
          <w:szCs w:val="21"/>
        </w:rPr>
      </w:pPr>
      <w:bookmarkStart w:id="1367" w:name="_Toc20149"/>
      <w:bookmarkStart w:id="1368" w:name="bookmark1380"/>
      <w:bookmarkStart w:id="1369" w:name="bookmark1379"/>
      <w:bookmarkStart w:id="1370" w:name="_Toc3780"/>
      <w:bookmarkStart w:id="1371" w:name="bookmark1378"/>
      <w:bookmarkStart w:id="1372" w:name="_Toc10511"/>
      <w:bookmarkStart w:id="1373" w:name="_Toc256000377"/>
      <w:bookmarkStart w:id="1374" w:name="_Toc12143"/>
      <w:bookmarkStart w:id="1375" w:name="_Toc256000127"/>
      <w:r>
        <w:rPr>
          <w:rFonts w:ascii="宋体" w:hAnsi="宋体" w:cs="宋体"/>
          <w:sz w:val="21"/>
          <w:szCs w:val="21"/>
        </w:rPr>
        <w:t>17.6</w:t>
      </w:r>
      <w:r>
        <w:rPr>
          <w:rFonts w:hint="eastAsia" w:ascii="宋体" w:hAnsi="宋体" w:cs="宋体"/>
          <w:sz w:val="21"/>
          <w:szCs w:val="21"/>
        </w:rPr>
        <w:t>最终结清</w:t>
      </w:r>
      <w:bookmarkEnd w:id="1367"/>
      <w:bookmarkEnd w:id="1368"/>
      <w:bookmarkEnd w:id="1369"/>
      <w:bookmarkEnd w:id="1370"/>
      <w:bookmarkEnd w:id="1371"/>
      <w:bookmarkEnd w:id="1372"/>
      <w:bookmarkEnd w:id="1373"/>
      <w:bookmarkEnd w:id="1374"/>
      <w:bookmarkEnd w:id="1375"/>
    </w:p>
    <w:p w14:paraId="5D38E2E2">
      <w:pPr>
        <w:pStyle w:val="319"/>
        <w:ind w:firstLine="440"/>
        <w:rPr>
          <w:rFonts w:cs="Times New Roman"/>
          <w:sz w:val="21"/>
          <w:szCs w:val="21"/>
        </w:rPr>
      </w:pPr>
      <w:r>
        <w:rPr>
          <w:sz w:val="21"/>
          <w:szCs w:val="21"/>
          <w:lang w:val="en-US"/>
        </w:rPr>
        <w:t>17.6.1</w:t>
      </w:r>
      <w:r>
        <w:rPr>
          <w:rFonts w:hint="eastAsia"/>
          <w:sz w:val="21"/>
          <w:szCs w:val="21"/>
        </w:rPr>
        <w:t>最终结清申请单</w:t>
      </w:r>
    </w:p>
    <w:p w14:paraId="10EC44D4">
      <w:pPr>
        <w:pStyle w:val="319"/>
        <w:numPr>
          <w:ilvl w:val="0"/>
          <w:numId w:val="20"/>
        </w:numPr>
        <w:tabs>
          <w:tab w:val="left" w:pos="894"/>
        </w:tabs>
        <w:ind w:firstLine="440"/>
        <w:rPr>
          <w:rFonts w:cs="Times New Roman"/>
          <w:sz w:val="21"/>
          <w:szCs w:val="21"/>
        </w:rPr>
      </w:pPr>
      <w:bookmarkStart w:id="1376" w:name="bookmark1381"/>
      <w:bookmarkEnd w:id="1376"/>
      <w:r>
        <w:rPr>
          <w:rFonts w:hint="eastAsia"/>
          <w:sz w:val="21"/>
          <w:szCs w:val="21"/>
        </w:rPr>
        <w:t>工程质量保修责任终止证书签发后，承包人应按监理人批准的格式提交最终结清申请单。提交最终结清申请单的份数在专用合同条款中约定。</w:t>
      </w:r>
    </w:p>
    <w:p w14:paraId="62BB9B35">
      <w:pPr>
        <w:pStyle w:val="319"/>
        <w:numPr>
          <w:ilvl w:val="0"/>
          <w:numId w:val="20"/>
        </w:numPr>
        <w:tabs>
          <w:tab w:val="left" w:pos="918"/>
        </w:tabs>
        <w:spacing w:after="120"/>
        <w:ind w:firstLine="440"/>
        <w:rPr>
          <w:rFonts w:cs="Times New Roman"/>
          <w:sz w:val="21"/>
          <w:szCs w:val="21"/>
        </w:rPr>
      </w:pPr>
      <w:bookmarkStart w:id="1377" w:name="bookmark1382"/>
      <w:bookmarkEnd w:id="1377"/>
      <w:r>
        <w:rPr>
          <w:rFonts w:hint="eastAsia"/>
          <w:sz w:val="21"/>
          <w:szCs w:val="21"/>
        </w:rPr>
        <w:t>发包人对最终结清申请单内容有异议的，有权要求承包人进行修正和提供补充资料，由承包人向监理人提交修正后的最终结清申请单。</w:t>
      </w:r>
    </w:p>
    <w:p w14:paraId="3175941C">
      <w:pPr>
        <w:pStyle w:val="319"/>
        <w:ind w:firstLine="440"/>
        <w:rPr>
          <w:rFonts w:cs="Times New Roman"/>
          <w:sz w:val="21"/>
          <w:szCs w:val="21"/>
        </w:rPr>
      </w:pPr>
      <w:r>
        <w:rPr>
          <w:sz w:val="21"/>
          <w:szCs w:val="21"/>
          <w:lang w:val="en-US"/>
        </w:rPr>
        <w:t>17.6.2</w:t>
      </w:r>
      <w:r>
        <w:rPr>
          <w:rFonts w:hint="eastAsia"/>
          <w:sz w:val="21"/>
          <w:szCs w:val="21"/>
        </w:rPr>
        <w:t>最终结清证书和支付时间</w:t>
      </w:r>
    </w:p>
    <w:p w14:paraId="6AE09D03">
      <w:pPr>
        <w:pStyle w:val="319"/>
        <w:numPr>
          <w:ilvl w:val="0"/>
          <w:numId w:val="21"/>
        </w:numPr>
        <w:tabs>
          <w:tab w:val="left" w:pos="918"/>
        </w:tabs>
        <w:ind w:firstLine="440"/>
        <w:rPr>
          <w:rFonts w:cs="Times New Roman"/>
          <w:sz w:val="21"/>
          <w:szCs w:val="21"/>
        </w:rPr>
      </w:pPr>
      <w:bookmarkStart w:id="1378" w:name="bookmark1383"/>
      <w:bookmarkEnd w:id="1378"/>
      <w:r>
        <w:rPr>
          <w:rFonts w:hint="eastAsia"/>
          <w:sz w:val="21"/>
          <w:szCs w:val="21"/>
        </w:rPr>
        <w:t>监理人收到承包人提交的最终结清申请单后的</w:t>
      </w:r>
      <w:r>
        <w:rPr>
          <w:sz w:val="21"/>
          <w:szCs w:val="21"/>
        </w:rPr>
        <w:t>14</w:t>
      </w:r>
      <w:r>
        <w:rPr>
          <w:rFonts w:hint="eastAsia"/>
          <w:sz w:val="21"/>
          <w:szCs w:val="21"/>
        </w:rPr>
        <w:t>天内，提出发包人应支付给承包人的价款送发包人审核并抄送承包人。发包人应在收到后</w:t>
      </w:r>
      <w:r>
        <w:rPr>
          <w:sz w:val="21"/>
          <w:szCs w:val="21"/>
        </w:rPr>
        <w:t>14</w:t>
      </w:r>
      <w:r>
        <w:rPr>
          <w:rFonts w:hint="eastAsia"/>
          <w:sz w:val="21"/>
          <w:szCs w:val="21"/>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0F0BE123">
      <w:pPr>
        <w:pStyle w:val="319"/>
        <w:numPr>
          <w:ilvl w:val="0"/>
          <w:numId w:val="21"/>
        </w:numPr>
        <w:tabs>
          <w:tab w:val="left" w:pos="918"/>
        </w:tabs>
        <w:ind w:firstLine="440"/>
        <w:rPr>
          <w:rFonts w:cs="Times New Roman"/>
          <w:sz w:val="21"/>
          <w:szCs w:val="21"/>
        </w:rPr>
      </w:pPr>
      <w:bookmarkStart w:id="1379" w:name="bookmark1384"/>
      <w:bookmarkEnd w:id="1379"/>
      <w:r>
        <w:rPr>
          <w:rFonts w:hint="eastAsia"/>
          <w:sz w:val="21"/>
          <w:szCs w:val="21"/>
        </w:rPr>
        <w:t>发包人应在监理人出具最终结清证书后的</w:t>
      </w:r>
      <w:r>
        <w:rPr>
          <w:sz w:val="21"/>
          <w:szCs w:val="21"/>
        </w:rPr>
        <w:t>14</w:t>
      </w:r>
      <w:r>
        <w:rPr>
          <w:rFonts w:hint="eastAsia"/>
          <w:sz w:val="21"/>
          <w:szCs w:val="21"/>
        </w:rPr>
        <w:t>天内，将应支付款支付给承包人。发包人不按期支付的，按第</w:t>
      </w:r>
      <w:r>
        <w:rPr>
          <w:sz w:val="21"/>
          <w:szCs w:val="21"/>
          <w:lang w:val="en-US"/>
        </w:rPr>
        <w:t xml:space="preserve">17.3.3 </w:t>
      </w:r>
      <w:r>
        <w:rPr>
          <w:sz w:val="21"/>
          <w:szCs w:val="21"/>
        </w:rPr>
        <w:t>(2)</w:t>
      </w:r>
      <w:r>
        <w:rPr>
          <w:rFonts w:hint="eastAsia"/>
          <w:sz w:val="21"/>
          <w:szCs w:val="21"/>
        </w:rPr>
        <w:t>目的约定，将逾期付款违约金支付给承包人。</w:t>
      </w:r>
    </w:p>
    <w:p w14:paraId="2C2229BB">
      <w:pPr>
        <w:pStyle w:val="319"/>
        <w:numPr>
          <w:ilvl w:val="0"/>
          <w:numId w:val="21"/>
        </w:numPr>
        <w:tabs>
          <w:tab w:val="left" w:pos="922"/>
        </w:tabs>
        <w:ind w:firstLine="440"/>
        <w:rPr>
          <w:rFonts w:cs="Times New Roman"/>
          <w:sz w:val="21"/>
          <w:szCs w:val="21"/>
        </w:rPr>
      </w:pPr>
      <w:bookmarkStart w:id="1380" w:name="bookmark1385"/>
      <w:bookmarkEnd w:id="1380"/>
      <w:r>
        <w:rPr>
          <w:rFonts w:hint="eastAsia"/>
          <w:sz w:val="21"/>
          <w:szCs w:val="21"/>
        </w:rPr>
        <w:t>承包人对发包人签认的最终结清证书有异议的，按第</w:t>
      </w:r>
      <w:r>
        <w:rPr>
          <w:sz w:val="21"/>
          <w:szCs w:val="21"/>
        </w:rPr>
        <w:t>24</w:t>
      </w:r>
      <w:r>
        <w:rPr>
          <w:rFonts w:hint="eastAsia"/>
          <w:sz w:val="21"/>
          <w:szCs w:val="21"/>
        </w:rPr>
        <w:t>条的约定办理。</w:t>
      </w:r>
    </w:p>
    <w:p w14:paraId="3F9B9581">
      <w:pPr>
        <w:pStyle w:val="319"/>
        <w:numPr>
          <w:ilvl w:val="0"/>
          <w:numId w:val="21"/>
        </w:numPr>
        <w:tabs>
          <w:tab w:val="left" w:pos="922"/>
        </w:tabs>
        <w:spacing w:after="120"/>
        <w:ind w:firstLine="440"/>
        <w:rPr>
          <w:rFonts w:cs="Times New Roman"/>
          <w:sz w:val="21"/>
          <w:szCs w:val="21"/>
        </w:rPr>
      </w:pPr>
      <w:bookmarkStart w:id="1381" w:name="bookmark1386"/>
      <w:bookmarkEnd w:id="1381"/>
      <w:r>
        <w:rPr>
          <w:rFonts w:hint="eastAsia"/>
          <w:sz w:val="21"/>
          <w:szCs w:val="21"/>
        </w:rPr>
        <w:t>最终结清付款涉及政府投资资金的，按第</w:t>
      </w:r>
      <w:r>
        <w:rPr>
          <w:sz w:val="21"/>
          <w:szCs w:val="21"/>
          <w:lang w:val="en-US"/>
        </w:rPr>
        <w:t xml:space="preserve">17.3.3 </w:t>
      </w:r>
      <w:r>
        <w:rPr>
          <w:sz w:val="21"/>
          <w:szCs w:val="21"/>
        </w:rPr>
        <w:t>(4)</w:t>
      </w:r>
      <w:r>
        <w:rPr>
          <w:rFonts w:hint="eastAsia"/>
          <w:sz w:val="21"/>
          <w:szCs w:val="21"/>
        </w:rPr>
        <w:t>目的约定办理。</w:t>
      </w:r>
    </w:p>
    <w:p w14:paraId="4F43802B">
      <w:pPr>
        <w:pStyle w:val="318"/>
        <w:spacing w:line="360" w:lineRule="auto"/>
        <w:rPr>
          <w:rFonts w:ascii="宋体" w:cs="宋体"/>
          <w:sz w:val="21"/>
          <w:szCs w:val="21"/>
        </w:rPr>
      </w:pPr>
      <w:bookmarkStart w:id="1382" w:name="bookmark1388"/>
      <w:bookmarkStart w:id="1383" w:name="bookmark1389"/>
      <w:bookmarkStart w:id="1384" w:name="_Toc256000128"/>
      <w:bookmarkStart w:id="1385" w:name="_Toc256000378"/>
      <w:bookmarkStart w:id="1386" w:name="_Toc24945"/>
      <w:bookmarkStart w:id="1387" w:name="_Toc4347"/>
      <w:bookmarkStart w:id="1388" w:name="_Toc15559"/>
      <w:bookmarkStart w:id="1389" w:name="_Toc1639"/>
      <w:bookmarkStart w:id="1390" w:name="bookmark1387"/>
      <w:r>
        <w:rPr>
          <w:rFonts w:ascii="宋体" w:hAnsi="宋体" w:cs="宋体"/>
          <w:sz w:val="21"/>
          <w:szCs w:val="21"/>
        </w:rPr>
        <w:t>17.7</w:t>
      </w:r>
      <w:r>
        <w:rPr>
          <w:rFonts w:hint="eastAsia" w:ascii="宋体" w:hAnsi="宋体" w:cs="宋体"/>
          <w:sz w:val="21"/>
          <w:szCs w:val="21"/>
        </w:rPr>
        <w:t>竣工财务决算</w:t>
      </w:r>
      <w:bookmarkEnd w:id="1382"/>
      <w:bookmarkEnd w:id="1383"/>
      <w:bookmarkEnd w:id="1384"/>
      <w:bookmarkEnd w:id="1385"/>
      <w:bookmarkEnd w:id="1386"/>
      <w:bookmarkEnd w:id="1387"/>
      <w:bookmarkEnd w:id="1388"/>
      <w:bookmarkEnd w:id="1389"/>
      <w:bookmarkEnd w:id="1390"/>
    </w:p>
    <w:p w14:paraId="165ED740">
      <w:pPr>
        <w:pStyle w:val="319"/>
        <w:spacing w:after="160"/>
        <w:ind w:firstLine="420"/>
        <w:rPr>
          <w:rFonts w:cs="Times New Roman"/>
          <w:sz w:val="21"/>
          <w:szCs w:val="21"/>
        </w:rPr>
      </w:pPr>
      <w:r>
        <w:rPr>
          <w:rFonts w:hint="eastAsia"/>
          <w:sz w:val="21"/>
          <w:szCs w:val="21"/>
        </w:rPr>
        <w:t>发包人负责编制本工程项目竣工财务决算，承包人应按专用合同条款的约定提供竣工财务决算编制所需的相关材料。</w:t>
      </w:r>
    </w:p>
    <w:p w14:paraId="29FA398E">
      <w:pPr>
        <w:pStyle w:val="318"/>
        <w:spacing w:line="360" w:lineRule="auto"/>
        <w:rPr>
          <w:rFonts w:ascii="宋体" w:cs="宋体"/>
          <w:sz w:val="21"/>
          <w:szCs w:val="21"/>
        </w:rPr>
      </w:pPr>
      <w:bookmarkStart w:id="1391" w:name="bookmark1392"/>
      <w:bookmarkStart w:id="1392" w:name="_Toc21015"/>
      <w:bookmarkStart w:id="1393" w:name="bookmark1391"/>
      <w:bookmarkStart w:id="1394" w:name="_Toc22243"/>
      <w:bookmarkStart w:id="1395" w:name="bookmark1390"/>
      <w:bookmarkStart w:id="1396" w:name="_Toc256000129"/>
      <w:bookmarkStart w:id="1397" w:name="_Toc256000379"/>
      <w:bookmarkStart w:id="1398" w:name="_Toc9957"/>
      <w:bookmarkStart w:id="1399" w:name="_Toc9623"/>
      <w:r>
        <w:rPr>
          <w:rFonts w:ascii="宋体" w:hAnsi="宋体" w:cs="宋体"/>
          <w:sz w:val="21"/>
          <w:szCs w:val="21"/>
        </w:rPr>
        <w:t>17.8</w:t>
      </w:r>
      <w:r>
        <w:rPr>
          <w:rFonts w:hint="eastAsia" w:ascii="宋体" w:hAnsi="宋体" w:cs="宋体"/>
          <w:sz w:val="21"/>
          <w:szCs w:val="21"/>
        </w:rPr>
        <w:t>竣工审计</w:t>
      </w:r>
      <w:bookmarkEnd w:id="1391"/>
      <w:bookmarkEnd w:id="1392"/>
      <w:bookmarkEnd w:id="1393"/>
      <w:bookmarkEnd w:id="1394"/>
      <w:bookmarkEnd w:id="1395"/>
      <w:bookmarkEnd w:id="1396"/>
      <w:bookmarkEnd w:id="1397"/>
      <w:bookmarkEnd w:id="1398"/>
      <w:bookmarkEnd w:id="1399"/>
    </w:p>
    <w:p w14:paraId="70F25F58">
      <w:pPr>
        <w:pStyle w:val="319"/>
        <w:spacing w:after="300"/>
        <w:ind w:firstLine="420"/>
        <w:rPr>
          <w:rFonts w:cs="Times New Roman"/>
          <w:sz w:val="21"/>
          <w:szCs w:val="21"/>
        </w:rPr>
      </w:pPr>
      <w:r>
        <w:rPr>
          <w:rFonts w:hint="eastAsia"/>
          <w:sz w:val="21"/>
          <w:szCs w:val="21"/>
        </w:rPr>
        <w:t>发包人负责完成本工程竣工审计手续，承包人应完成相关配合工作。</w:t>
      </w:r>
    </w:p>
    <w:p w14:paraId="1006E6BD">
      <w:pPr>
        <w:pStyle w:val="318"/>
        <w:spacing w:line="360" w:lineRule="auto"/>
        <w:rPr>
          <w:rFonts w:ascii="宋体" w:cs="宋体"/>
          <w:sz w:val="21"/>
          <w:szCs w:val="21"/>
        </w:rPr>
      </w:pPr>
      <w:bookmarkStart w:id="1400" w:name="_Toc15468"/>
      <w:bookmarkStart w:id="1401" w:name="_Toc26612"/>
      <w:bookmarkStart w:id="1402" w:name="_Toc256000380"/>
      <w:bookmarkStart w:id="1403" w:name="bookmark1394"/>
      <w:bookmarkStart w:id="1404" w:name="_Toc20616"/>
      <w:bookmarkStart w:id="1405" w:name="bookmark1393"/>
      <w:bookmarkStart w:id="1406" w:name="_Toc256000130"/>
      <w:bookmarkStart w:id="1407" w:name="bookmark1395"/>
      <w:bookmarkStart w:id="1408" w:name="_Toc27318"/>
      <w:r>
        <w:rPr>
          <w:rFonts w:ascii="宋体" w:hAnsi="宋体" w:cs="宋体"/>
          <w:sz w:val="21"/>
          <w:szCs w:val="21"/>
        </w:rPr>
        <w:t>18.</w:t>
      </w:r>
      <w:r>
        <w:rPr>
          <w:rFonts w:hint="eastAsia" w:ascii="宋体" w:hAnsi="宋体" w:cs="宋体"/>
          <w:sz w:val="21"/>
          <w:szCs w:val="21"/>
        </w:rPr>
        <w:t>竣工验收（验收）</w:t>
      </w:r>
      <w:bookmarkEnd w:id="1400"/>
      <w:bookmarkEnd w:id="1401"/>
      <w:bookmarkEnd w:id="1402"/>
      <w:bookmarkEnd w:id="1403"/>
      <w:bookmarkEnd w:id="1404"/>
      <w:bookmarkEnd w:id="1405"/>
      <w:bookmarkEnd w:id="1406"/>
      <w:bookmarkEnd w:id="1407"/>
      <w:bookmarkEnd w:id="1408"/>
    </w:p>
    <w:p w14:paraId="0B9ABD2C">
      <w:pPr>
        <w:pStyle w:val="318"/>
        <w:spacing w:line="360" w:lineRule="auto"/>
        <w:rPr>
          <w:rFonts w:ascii="宋体" w:cs="宋体"/>
          <w:sz w:val="21"/>
          <w:szCs w:val="21"/>
        </w:rPr>
      </w:pPr>
      <w:bookmarkStart w:id="1409" w:name="_Toc1314"/>
      <w:bookmarkStart w:id="1410" w:name="bookmark1397"/>
      <w:bookmarkStart w:id="1411" w:name="_Toc20245"/>
      <w:bookmarkStart w:id="1412" w:name="bookmark1396"/>
      <w:bookmarkStart w:id="1413" w:name="_Toc3941"/>
      <w:bookmarkStart w:id="1414" w:name="bookmark1398"/>
      <w:bookmarkStart w:id="1415" w:name="_Toc3673"/>
      <w:bookmarkStart w:id="1416" w:name="_Toc256000131"/>
      <w:bookmarkStart w:id="1417" w:name="_Toc256000381"/>
      <w:r>
        <w:rPr>
          <w:rFonts w:ascii="宋体" w:hAnsi="宋体" w:cs="宋体"/>
          <w:sz w:val="21"/>
          <w:szCs w:val="21"/>
        </w:rPr>
        <w:t>18.1</w:t>
      </w:r>
      <w:r>
        <w:rPr>
          <w:rFonts w:hint="eastAsia" w:ascii="宋体" w:hAnsi="宋体" w:cs="宋体"/>
          <w:sz w:val="21"/>
          <w:szCs w:val="21"/>
        </w:rPr>
        <w:t>验收工作分类</w:t>
      </w:r>
      <w:bookmarkEnd w:id="1409"/>
      <w:bookmarkEnd w:id="1410"/>
      <w:bookmarkEnd w:id="1411"/>
      <w:bookmarkEnd w:id="1412"/>
      <w:bookmarkEnd w:id="1413"/>
      <w:bookmarkEnd w:id="1414"/>
      <w:bookmarkEnd w:id="1415"/>
      <w:bookmarkEnd w:id="1416"/>
      <w:bookmarkEnd w:id="1417"/>
    </w:p>
    <w:p w14:paraId="3FA048AA">
      <w:pPr>
        <w:pStyle w:val="319"/>
        <w:spacing w:after="160"/>
        <w:ind w:firstLine="440"/>
        <w:rPr>
          <w:rFonts w:cs="Times New Roman"/>
          <w:sz w:val="21"/>
          <w:szCs w:val="21"/>
        </w:rPr>
      </w:pPr>
      <w:r>
        <w:rPr>
          <w:rFonts w:hint="eastAsia"/>
          <w:sz w:val="21"/>
          <w:szCs w:val="21"/>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6CE9D1C7">
      <w:pPr>
        <w:pStyle w:val="318"/>
        <w:spacing w:line="360" w:lineRule="auto"/>
        <w:rPr>
          <w:rFonts w:ascii="宋体" w:cs="宋体"/>
          <w:sz w:val="21"/>
          <w:szCs w:val="21"/>
        </w:rPr>
      </w:pPr>
      <w:bookmarkStart w:id="1418" w:name="_Toc8655"/>
      <w:bookmarkStart w:id="1419" w:name="bookmark1401"/>
      <w:bookmarkStart w:id="1420" w:name="_Toc15529"/>
      <w:bookmarkStart w:id="1421" w:name="bookmark1400"/>
      <w:bookmarkStart w:id="1422" w:name="bookmark1399"/>
      <w:bookmarkStart w:id="1423" w:name="_Toc29537"/>
      <w:bookmarkStart w:id="1424" w:name="_Toc256000382"/>
      <w:bookmarkStart w:id="1425" w:name="_Toc3241"/>
      <w:bookmarkStart w:id="1426" w:name="_Toc256000132"/>
      <w:r>
        <w:rPr>
          <w:rFonts w:ascii="宋体" w:hAnsi="宋体" w:cs="宋体"/>
          <w:sz w:val="21"/>
          <w:szCs w:val="21"/>
        </w:rPr>
        <w:t>18.2</w:t>
      </w:r>
      <w:r>
        <w:rPr>
          <w:rFonts w:hint="eastAsia" w:ascii="宋体" w:hAnsi="宋体" w:cs="宋体"/>
          <w:sz w:val="21"/>
          <w:szCs w:val="21"/>
        </w:rPr>
        <w:t>分部工程验收</w:t>
      </w:r>
      <w:bookmarkEnd w:id="1418"/>
      <w:bookmarkEnd w:id="1419"/>
      <w:bookmarkEnd w:id="1420"/>
      <w:bookmarkEnd w:id="1421"/>
      <w:bookmarkEnd w:id="1422"/>
      <w:bookmarkEnd w:id="1423"/>
      <w:bookmarkEnd w:id="1424"/>
      <w:bookmarkEnd w:id="1425"/>
      <w:bookmarkEnd w:id="1426"/>
    </w:p>
    <w:p w14:paraId="3AD023DB">
      <w:pPr>
        <w:pStyle w:val="319"/>
        <w:ind w:firstLine="440"/>
        <w:rPr>
          <w:rFonts w:cs="Times New Roman"/>
          <w:sz w:val="21"/>
          <w:szCs w:val="21"/>
        </w:rPr>
      </w:pPr>
      <w:r>
        <w:rPr>
          <w:sz w:val="21"/>
          <w:szCs w:val="21"/>
          <w:lang w:val="en-US"/>
        </w:rPr>
        <w:t>18.2.1</w:t>
      </w:r>
      <w:r>
        <w:rPr>
          <w:rFonts w:hint="eastAsia"/>
          <w:sz w:val="21"/>
          <w:szCs w:val="21"/>
        </w:rPr>
        <w:t>分部工程具备验收条件时，承包人应向发包人提交验收申请报告，发包人应在收到验收申请报告之日起</w:t>
      </w:r>
      <w:r>
        <w:rPr>
          <w:sz w:val="21"/>
          <w:szCs w:val="21"/>
        </w:rPr>
        <w:t>10</w:t>
      </w:r>
      <w:r>
        <w:rPr>
          <w:rFonts w:hint="eastAsia"/>
          <w:sz w:val="21"/>
          <w:szCs w:val="21"/>
        </w:rPr>
        <w:t>个工作日内决定是否同意进行验收。</w:t>
      </w:r>
    </w:p>
    <w:p w14:paraId="5375484D">
      <w:pPr>
        <w:pStyle w:val="319"/>
        <w:ind w:firstLine="440"/>
        <w:rPr>
          <w:rFonts w:cs="Times New Roman"/>
          <w:sz w:val="21"/>
          <w:szCs w:val="21"/>
        </w:rPr>
      </w:pPr>
      <w:r>
        <w:rPr>
          <w:sz w:val="21"/>
          <w:szCs w:val="21"/>
          <w:lang w:val="en-US"/>
        </w:rPr>
        <w:t>18.2.2</w:t>
      </w:r>
      <w:r>
        <w:rPr>
          <w:rFonts w:hint="eastAsia"/>
          <w:sz w:val="21"/>
          <w:szCs w:val="21"/>
        </w:rPr>
        <w:t>除专用合同条款另有约定外，监理人主持分部工程验收，承包人应派符合条件的代表参加验收工作组。</w:t>
      </w:r>
    </w:p>
    <w:p w14:paraId="1E59FAF3">
      <w:pPr>
        <w:pStyle w:val="319"/>
        <w:spacing w:after="160"/>
        <w:ind w:firstLine="440"/>
        <w:rPr>
          <w:rFonts w:cs="Times New Roman"/>
          <w:sz w:val="21"/>
          <w:szCs w:val="21"/>
        </w:rPr>
      </w:pPr>
      <w:r>
        <w:rPr>
          <w:sz w:val="21"/>
          <w:szCs w:val="21"/>
          <w:lang w:val="en-US"/>
        </w:rPr>
        <w:t>18.2.3</w:t>
      </w:r>
      <w:r>
        <w:rPr>
          <w:rFonts w:hint="eastAsia"/>
          <w:sz w:val="21"/>
          <w:szCs w:val="21"/>
        </w:rPr>
        <w:t>分部工程验收通过后，发包人向承包人发送分部工程验收鉴定书。承包人应及时完成分部工程验收鉴定书载明应由承包人处理的遗留问题。</w:t>
      </w:r>
    </w:p>
    <w:p w14:paraId="296392EB">
      <w:pPr>
        <w:pStyle w:val="318"/>
        <w:spacing w:line="360" w:lineRule="auto"/>
        <w:rPr>
          <w:rFonts w:ascii="宋体" w:cs="宋体"/>
          <w:sz w:val="21"/>
          <w:szCs w:val="21"/>
        </w:rPr>
      </w:pPr>
      <w:bookmarkStart w:id="1427" w:name="bookmark1404"/>
      <w:bookmarkStart w:id="1428" w:name="_Toc29342"/>
      <w:bookmarkStart w:id="1429" w:name="bookmark1402"/>
      <w:bookmarkStart w:id="1430" w:name="_Toc19460"/>
      <w:bookmarkStart w:id="1431" w:name="bookmark1403"/>
      <w:bookmarkStart w:id="1432" w:name="_Toc16242"/>
      <w:bookmarkStart w:id="1433" w:name="_Toc256000383"/>
      <w:bookmarkStart w:id="1434" w:name="_Toc256000133"/>
      <w:bookmarkStart w:id="1435" w:name="_Toc28163"/>
      <w:r>
        <w:rPr>
          <w:rFonts w:ascii="宋体" w:hAnsi="宋体" w:cs="宋体"/>
          <w:sz w:val="21"/>
          <w:szCs w:val="21"/>
        </w:rPr>
        <w:t>18.3</w:t>
      </w:r>
      <w:r>
        <w:rPr>
          <w:rFonts w:hint="eastAsia" w:ascii="宋体" w:hAnsi="宋体" w:cs="宋体"/>
          <w:sz w:val="21"/>
          <w:szCs w:val="21"/>
        </w:rPr>
        <w:t>单位工程验收</w:t>
      </w:r>
      <w:bookmarkEnd w:id="1427"/>
      <w:bookmarkEnd w:id="1428"/>
      <w:bookmarkEnd w:id="1429"/>
      <w:bookmarkEnd w:id="1430"/>
      <w:bookmarkEnd w:id="1431"/>
      <w:bookmarkEnd w:id="1432"/>
      <w:bookmarkEnd w:id="1433"/>
      <w:bookmarkEnd w:id="1434"/>
      <w:bookmarkEnd w:id="1435"/>
    </w:p>
    <w:p w14:paraId="7C9A9C85">
      <w:pPr>
        <w:pStyle w:val="319"/>
        <w:ind w:firstLine="440"/>
        <w:rPr>
          <w:rFonts w:cs="Times New Roman"/>
          <w:sz w:val="21"/>
          <w:szCs w:val="21"/>
        </w:rPr>
      </w:pPr>
      <w:r>
        <w:rPr>
          <w:sz w:val="21"/>
          <w:szCs w:val="21"/>
          <w:lang w:val="en-US"/>
        </w:rPr>
        <w:t>18.3.1</w:t>
      </w:r>
      <w:r>
        <w:rPr>
          <w:rFonts w:hint="eastAsia"/>
          <w:sz w:val="21"/>
          <w:szCs w:val="21"/>
        </w:rPr>
        <w:t>单位工程具备验收条件时，承包人应向发包人提交验收申请报告，发包人应在收到验收申请报告之日起</w:t>
      </w:r>
      <w:r>
        <w:rPr>
          <w:sz w:val="21"/>
          <w:szCs w:val="21"/>
        </w:rPr>
        <w:t>10</w:t>
      </w:r>
      <w:r>
        <w:rPr>
          <w:rFonts w:hint="eastAsia"/>
          <w:sz w:val="21"/>
          <w:szCs w:val="21"/>
        </w:rPr>
        <w:t>个工作日内决定是否同意进行验收。</w:t>
      </w:r>
    </w:p>
    <w:p w14:paraId="7CDF1BEF">
      <w:pPr>
        <w:pStyle w:val="319"/>
        <w:ind w:firstLine="440"/>
        <w:rPr>
          <w:rFonts w:cs="Times New Roman"/>
          <w:sz w:val="21"/>
          <w:szCs w:val="21"/>
        </w:rPr>
      </w:pPr>
      <w:r>
        <w:rPr>
          <w:sz w:val="21"/>
          <w:szCs w:val="21"/>
          <w:lang w:val="en-US"/>
        </w:rPr>
        <w:t>18.3.2</w:t>
      </w:r>
      <w:r>
        <w:rPr>
          <w:rFonts w:hint="eastAsia"/>
          <w:sz w:val="21"/>
          <w:szCs w:val="21"/>
        </w:rPr>
        <w:t>发包人主持单位工程验收，承包人应派符合条件的代表参加验收工作组。</w:t>
      </w:r>
    </w:p>
    <w:p w14:paraId="41E99D70">
      <w:pPr>
        <w:pStyle w:val="319"/>
        <w:spacing w:after="100"/>
        <w:ind w:firstLine="440"/>
        <w:rPr>
          <w:rFonts w:cs="Times New Roman"/>
          <w:sz w:val="21"/>
          <w:szCs w:val="21"/>
        </w:rPr>
      </w:pPr>
      <w:r>
        <w:rPr>
          <w:sz w:val="21"/>
          <w:szCs w:val="21"/>
          <w:lang w:val="en-US"/>
        </w:rPr>
        <w:t>18.3.3</w:t>
      </w:r>
      <w:r>
        <w:rPr>
          <w:rFonts w:hint="eastAsia"/>
          <w:sz w:val="21"/>
          <w:szCs w:val="21"/>
        </w:rPr>
        <w:t>单位工程验收通过后，发包人向承包人发送单位工程验收鉴定书。承包人应及时完成单位工程验收鉴定书载明应由承包人处理的遗留问题。</w:t>
      </w:r>
    </w:p>
    <w:p w14:paraId="30AA543F">
      <w:pPr>
        <w:pStyle w:val="319"/>
        <w:spacing w:after="160"/>
        <w:ind w:firstLine="420"/>
        <w:rPr>
          <w:rFonts w:cs="Times New Roman"/>
          <w:sz w:val="21"/>
          <w:szCs w:val="21"/>
        </w:rPr>
      </w:pPr>
      <w:r>
        <w:rPr>
          <w:sz w:val="21"/>
          <w:szCs w:val="21"/>
          <w:lang w:val="en-US"/>
        </w:rPr>
        <w:t>18.3.4</w:t>
      </w:r>
      <w:r>
        <w:rPr>
          <w:rFonts w:hint="eastAsia"/>
          <w:sz w:val="21"/>
          <w:szCs w:val="21"/>
        </w:rPr>
        <w:t>需提前投入使用的单位工程在专用合同条款中明确。</w:t>
      </w:r>
    </w:p>
    <w:p w14:paraId="7ABCA31A">
      <w:pPr>
        <w:pStyle w:val="318"/>
        <w:spacing w:line="360" w:lineRule="auto"/>
        <w:rPr>
          <w:rFonts w:ascii="宋体" w:cs="宋体"/>
          <w:sz w:val="21"/>
          <w:szCs w:val="21"/>
        </w:rPr>
      </w:pPr>
      <w:bookmarkStart w:id="1436" w:name="_Toc256000134"/>
      <w:bookmarkStart w:id="1437" w:name="_Toc689"/>
      <w:bookmarkStart w:id="1438" w:name="_Toc23192"/>
      <w:bookmarkStart w:id="1439" w:name="bookmark1406"/>
      <w:bookmarkStart w:id="1440" w:name="_Toc24227"/>
      <w:bookmarkStart w:id="1441" w:name="bookmark1407"/>
      <w:bookmarkStart w:id="1442" w:name="_Toc256000384"/>
      <w:bookmarkStart w:id="1443" w:name="_Toc17797"/>
      <w:bookmarkStart w:id="1444" w:name="bookmark1405"/>
      <w:r>
        <w:rPr>
          <w:rFonts w:ascii="宋体" w:hAnsi="宋体" w:cs="宋体"/>
          <w:sz w:val="21"/>
          <w:szCs w:val="21"/>
        </w:rPr>
        <w:t>18.4</w:t>
      </w:r>
      <w:r>
        <w:rPr>
          <w:rFonts w:hint="eastAsia" w:ascii="宋体" w:hAnsi="宋体" w:cs="宋体"/>
          <w:sz w:val="21"/>
          <w:szCs w:val="21"/>
        </w:rPr>
        <w:t>合同工程完工验收</w:t>
      </w:r>
      <w:bookmarkEnd w:id="1436"/>
      <w:bookmarkEnd w:id="1437"/>
      <w:bookmarkEnd w:id="1438"/>
      <w:bookmarkEnd w:id="1439"/>
      <w:bookmarkEnd w:id="1440"/>
      <w:bookmarkEnd w:id="1441"/>
      <w:bookmarkEnd w:id="1442"/>
      <w:bookmarkEnd w:id="1443"/>
      <w:bookmarkEnd w:id="1444"/>
    </w:p>
    <w:p w14:paraId="30494616">
      <w:pPr>
        <w:pStyle w:val="319"/>
        <w:ind w:firstLine="440"/>
        <w:rPr>
          <w:rFonts w:cs="Times New Roman"/>
          <w:sz w:val="21"/>
          <w:szCs w:val="21"/>
        </w:rPr>
      </w:pPr>
      <w:r>
        <w:rPr>
          <w:sz w:val="21"/>
          <w:szCs w:val="21"/>
          <w:lang w:val="en-US"/>
        </w:rPr>
        <w:t>18.4.1</w:t>
      </w:r>
      <w:r>
        <w:rPr>
          <w:rFonts w:hint="eastAsia"/>
          <w:sz w:val="21"/>
          <w:szCs w:val="21"/>
        </w:rPr>
        <w:t>合同工程具备验收条件时，承包人应向发包人提交验收申请报告，发包人应在收到验收申请报告之日起</w:t>
      </w:r>
      <w:r>
        <w:rPr>
          <w:sz w:val="21"/>
          <w:szCs w:val="21"/>
        </w:rPr>
        <w:t>20</w:t>
      </w:r>
      <w:r>
        <w:rPr>
          <w:rFonts w:hint="eastAsia"/>
          <w:sz w:val="21"/>
          <w:szCs w:val="21"/>
        </w:rPr>
        <w:t>个工作日内决定是否同意进行验收。</w:t>
      </w:r>
    </w:p>
    <w:p w14:paraId="012A307A">
      <w:pPr>
        <w:pStyle w:val="319"/>
        <w:ind w:firstLine="420"/>
        <w:rPr>
          <w:rFonts w:cs="Times New Roman"/>
          <w:sz w:val="21"/>
          <w:szCs w:val="21"/>
        </w:rPr>
      </w:pPr>
      <w:r>
        <w:rPr>
          <w:sz w:val="21"/>
          <w:szCs w:val="21"/>
          <w:lang w:val="en-US"/>
        </w:rPr>
        <w:t>18.4.2</w:t>
      </w:r>
      <w:r>
        <w:rPr>
          <w:rFonts w:hint="eastAsia"/>
          <w:sz w:val="21"/>
          <w:szCs w:val="21"/>
        </w:rPr>
        <w:t>发包人主持合同工程完工验收，承包人应派项目经理参加验收工作组。</w:t>
      </w:r>
    </w:p>
    <w:p w14:paraId="26D4F980">
      <w:pPr>
        <w:pStyle w:val="319"/>
        <w:ind w:firstLine="440"/>
        <w:rPr>
          <w:rFonts w:cs="Times New Roman"/>
          <w:sz w:val="21"/>
          <w:szCs w:val="21"/>
        </w:rPr>
      </w:pPr>
      <w:r>
        <w:rPr>
          <w:sz w:val="21"/>
          <w:szCs w:val="21"/>
          <w:lang w:val="en-US"/>
        </w:rPr>
        <w:t>18.4.3</w:t>
      </w:r>
      <w:r>
        <w:rPr>
          <w:rFonts w:hint="eastAsia"/>
          <w:sz w:val="21"/>
          <w:szCs w:val="21"/>
        </w:rPr>
        <w:t>合同工程完工验收通过后，发包人向承包人发送合同工程完工验收鉴定书。承包人应及时完成合同工程完工验收鉴定书载明应由承包人处理的遗留问题。</w:t>
      </w:r>
    </w:p>
    <w:p w14:paraId="00CD8EE0">
      <w:pPr>
        <w:pStyle w:val="319"/>
        <w:spacing w:after="160"/>
        <w:ind w:firstLine="440"/>
        <w:rPr>
          <w:rFonts w:cs="Times New Roman"/>
          <w:sz w:val="21"/>
          <w:szCs w:val="21"/>
        </w:rPr>
      </w:pPr>
      <w:r>
        <w:rPr>
          <w:sz w:val="21"/>
          <w:szCs w:val="21"/>
          <w:lang w:val="en-US"/>
        </w:rPr>
        <w:t>18.4.4</w:t>
      </w:r>
      <w:r>
        <w:rPr>
          <w:rFonts w:hint="eastAsia"/>
          <w:sz w:val="21"/>
          <w:szCs w:val="21"/>
        </w:rPr>
        <w:t>合同工程完工验收通过后，发包人与承包人应在</w:t>
      </w:r>
      <w:r>
        <w:rPr>
          <w:sz w:val="21"/>
          <w:szCs w:val="21"/>
        </w:rPr>
        <w:t>30</w:t>
      </w:r>
      <w:r>
        <w:rPr>
          <w:rFonts w:hint="eastAsia"/>
          <w:sz w:val="21"/>
          <w:szCs w:val="21"/>
        </w:rPr>
        <w:t>个工作日内组织专人负责工程交接，双方交接负责人应在交接记录上签字。承包人应按验收鉴定书约定的时间及时</w:t>
      </w:r>
      <w:r>
        <w:rPr>
          <w:sz w:val="21"/>
          <w:szCs w:val="21"/>
        </w:rPr>
        <w:t xml:space="preserve"> </w:t>
      </w:r>
      <w:r>
        <w:rPr>
          <w:rFonts w:hint="eastAsia"/>
          <w:sz w:val="21"/>
          <w:szCs w:val="21"/>
        </w:rPr>
        <w:t>移交工程及其档案资料。工程移交时，承包人应向发包人递交工程质量保修书。在承包人</w:t>
      </w:r>
      <w:r>
        <w:rPr>
          <w:sz w:val="21"/>
          <w:szCs w:val="21"/>
        </w:rPr>
        <w:t xml:space="preserve"> </w:t>
      </w:r>
      <w:r>
        <w:rPr>
          <w:rFonts w:hint="eastAsia"/>
          <w:sz w:val="21"/>
          <w:szCs w:val="21"/>
        </w:rPr>
        <w:t>递交了工程质量保修书、完成施工场地清理以及提交有关资料后，发包人应</w:t>
      </w:r>
      <w:r>
        <w:rPr>
          <w:sz w:val="21"/>
          <w:szCs w:val="21"/>
        </w:rPr>
        <w:t>30</w:t>
      </w:r>
      <w:r>
        <w:rPr>
          <w:rFonts w:hint="eastAsia"/>
          <w:sz w:val="21"/>
          <w:szCs w:val="21"/>
        </w:rPr>
        <w:t>个工作日内</w:t>
      </w:r>
      <w:r>
        <w:rPr>
          <w:sz w:val="21"/>
          <w:szCs w:val="21"/>
        </w:rPr>
        <w:t xml:space="preserve"> </w:t>
      </w:r>
      <w:r>
        <w:rPr>
          <w:rFonts w:hint="eastAsia"/>
          <w:sz w:val="21"/>
          <w:szCs w:val="21"/>
        </w:rPr>
        <w:t>向承包人颁发合同工程完工证书。</w:t>
      </w:r>
    </w:p>
    <w:p w14:paraId="0FEF9D8F">
      <w:pPr>
        <w:pStyle w:val="318"/>
        <w:spacing w:line="360" w:lineRule="auto"/>
        <w:rPr>
          <w:rFonts w:ascii="宋体" w:cs="宋体"/>
          <w:sz w:val="21"/>
          <w:szCs w:val="21"/>
        </w:rPr>
      </w:pPr>
      <w:bookmarkStart w:id="1445" w:name="bookmark1409"/>
      <w:bookmarkStart w:id="1446" w:name="_Toc2092"/>
      <w:bookmarkStart w:id="1447" w:name="_Toc3560"/>
      <w:bookmarkStart w:id="1448" w:name="bookmark1408"/>
      <w:bookmarkStart w:id="1449" w:name="_Toc256000385"/>
      <w:bookmarkStart w:id="1450" w:name="_Toc256000135"/>
      <w:bookmarkStart w:id="1451" w:name="bookmark1410"/>
      <w:bookmarkStart w:id="1452" w:name="_Toc32064"/>
      <w:bookmarkStart w:id="1453" w:name="_Toc14197"/>
      <w:r>
        <w:rPr>
          <w:rFonts w:ascii="宋体" w:hAnsi="宋体" w:cs="宋体"/>
          <w:sz w:val="21"/>
          <w:szCs w:val="21"/>
        </w:rPr>
        <w:t>18.5</w:t>
      </w:r>
      <w:r>
        <w:rPr>
          <w:rFonts w:hint="eastAsia" w:ascii="宋体" w:hAnsi="宋体" w:cs="宋体"/>
          <w:sz w:val="21"/>
          <w:szCs w:val="21"/>
        </w:rPr>
        <w:t>阶段验收</w:t>
      </w:r>
      <w:bookmarkEnd w:id="1445"/>
      <w:bookmarkEnd w:id="1446"/>
      <w:bookmarkEnd w:id="1447"/>
      <w:bookmarkEnd w:id="1448"/>
      <w:bookmarkEnd w:id="1449"/>
      <w:bookmarkEnd w:id="1450"/>
      <w:bookmarkEnd w:id="1451"/>
      <w:bookmarkEnd w:id="1452"/>
      <w:bookmarkEnd w:id="1453"/>
    </w:p>
    <w:p w14:paraId="417083CE">
      <w:pPr>
        <w:pStyle w:val="319"/>
        <w:ind w:firstLine="447" w:firstLineChars="213"/>
        <w:rPr>
          <w:rFonts w:cs="Times New Roman"/>
          <w:sz w:val="21"/>
          <w:szCs w:val="21"/>
        </w:rPr>
      </w:pPr>
      <w:r>
        <w:rPr>
          <w:sz w:val="21"/>
          <w:szCs w:val="21"/>
          <w:lang w:val="en-US"/>
        </w:rPr>
        <w:t>18.5.1</w:t>
      </w:r>
      <w:r>
        <w:rPr>
          <w:rFonts w:hint="eastAsia"/>
          <w:sz w:val="21"/>
          <w:szCs w:val="21"/>
        </w:rPr>
        <w:t>工程建设具备阶段验收条件时，发包人负责提出阶段验收申请报告。承包人应派代表参加阶段验收，并作为被验收单位在验收鉴定书上签字。阶段验收的具体类别在专用合同条款中约定。</w:t>
      </w:r>
    </w:p>
    <w:p w14:paraId="651BFB15">
      <w:pPr>
        <w:pStyle w:val="319"/>
        <w:tabs>
          <w:tab w:val="left" w:pos="841"/>
        </w:tabs>
        <w:spacing w:after="140"/>
        <w:ind w:left="420" w:firstLine="0"/>
        <w:rPr>
          <w:rFonts w:cs="Times New Roman"/>
          <w:sz w:val="21"/>
          <w:szCs w:val="21"/>
        </w:rPr>
      </w:pPr>
      <w:r>
        <w:rPr>
          <w:sz w:val="21"/>
          <w:szCs w:val="21"/>
          <w:lang w:val="en-US"/>
        </w:rPr>
        <w:t>18.5.</w:t>
      </w:r>
      <w:r>
        <w:rPr>
          <w:sz w:val="21"/>
          <w:szCs w:val="21"/>
        </w:rPr>
        <w:t>2</w:t>
      </w:r>
      <w:r>
        <w:rPr>
          <w:rFonts w:hint="eastAsia"/>
          <w:sz w:val="21"/>
          <w:szCs w:val="21"/>
        </w:rPr>
        <w:t>承包人应及时完成阶段验收鉴定书载明应由承包人处理的遗留问题。</w:t>
      </w:r>
    </w:p>
    <w:p w14:paraId="11F69C0C">
      <w:pPr>
        <w:pStyle w:val="318"/>
        <w:spacing w:line="360" w:lineRule="auto"/>
        <w:rPr>
          <w:rFonts w:ascii="宋体" w:cs="宋体"/>
          <w:sz w:val="21"/>
          <w:szCs w:val="21"/>
        </w:rPr>
      </w:pPr>
      <w:bookmarkStart w:id="1454" w:name="_Toc1582"/>
      <w:bookmarkStart w:id="1455" w:name="_Toc22175"/>
      <w:bookmarkStart w:id="1456" w:name="_Toc16235"/>
      <w:bookmarkStart w:id="1457" w:name="_Toc256000136"/>
      <w:bookmarkStart w:id="1458" w:name="_Toc256000386"/>
      <w:bookmarkStart w:id="1459" w:name="bookmark1413"/>
      <w:bookmarkStart w:id="1460" w:name="bookmark1414"/>
      <w:bookmarkStart w:id="1461" w:name="bookmark1412"/>
      <w:bookmarkStart w:id="1462" w:name="_Toc28946"/>
      <w:r>
        <w:rPr>
          <w:rFonts w:ascii="宋体" w:hAnsi="宋体" w:cs="宋体"/>
          <w:sz w:val="21"/>
          <w:szCs w:val="21"/>
        </w:rPr>
        <w:t>18.6</w:t>
      </w:r>
      <w:r>
        <w:rPr>
          <w:rFonts w:hint="eastAsia" w:ascii="宋体" w:hAnsi="宋体" w:cs="宋体"/>
          <w:sz w:val="21"/>
          <w:szCs w:val="21"/>
        </w:rPr>
        <w:t>专项验收</w:t>
      </w:r>
      <w:bookmarkEnd w:id="1454"/>
      <w:bookmarkEnd w:id="1455"/>
      <w:bookmarkEnd w:id="1456"/>
      <w:bookmarkEnd w:id="1457"/>
      <w:bookmarkEnd w:id="1458"/>
      <w:bookmarkEnd w:id="1459"/>
      <w:bookmarkEnd w:id="1460"/>
      <w:bookmarkEnd w:id="1461"/>
      <w:bookmarkEnd w:id="1462"/>
    </w:p>
    <w:p w14:paraId="49547016">
      <w:pPr>
        <w:pStyle w:val="319"/>
        <w:ind w:firstLine="440"/>
        <w:rPr>
          <w:rFonts w:cs="Times New Roman"/>
          <w:sz w:val="21"/>
          <w:szCs w:val="21"/>
        </w:rPr>
      </w:pPr>
      <w:r>
        <w:rPr>
          <w:sz w:val="21"/>
          <w:szCs w:val="21"/>
          <w:lang w:val="en-US"/>
        </w:rPr>
        <w:t>18.6.1</w:t>
      </w:r>
      <w:r>
        <w:rPr>
          <w:rFonts w:hint="eastAsia"/>
          <w:sz w:val="21"/>
          <w:szCs w:val="21"/>
        </w:rPr>
        <w:t>发包人负责提出专项验收申请报告。承包人应按专项验收的相关规定参加专项验收。专项验收的具体类别在专用合同条款中约定。</w:t>
      </w:r>
    </w:p>
    <w:p w14:paraId="6AA2EE21">
      <w:pPr>
        <w:pStyle w:val="319"/>
        <w:spacing w:after="140"/>
        <w:ind w:firstLine="420"/>
        <w:rPr>
          <w:rFonts w:cs="Times New Roman"/>
          <w:sz w:val="21"/>
          <w:szCs w:val="21"/>
        </w:rPr>
      </w:pPr>
      <w:r>
        <w:rPr>
          <w:sz w:val="21"/>
          <w:szCs w:val="21"/>
          <w:lang w:val="en-US"/>
        </w:rPr>
        <w:t>18.6.</w:t>
      </w:r>
      <w:r>
        <w:rPr>
          <w:sz w:val="21"/>
          <w:szCs w:val="21"/>
        </w:rPr>
        <w:t>2</w:t>
      </w:r>
      <w:r>
        <w:rPr>
          <w:rFonts w:hint="eastAsia"/>
          <w:sz w:val="21"/>
          <w:szCs w:val="21"/>
        </w:rPr>
        <w:t>承包应及时完成专项验收成果性文件载明应由承包人处理的遗留问题。</w:t>
      </w:r>
    </w:p>
    <w:p w14:paraId="3CC321BB">
      <w:pPr>
        <w:pStyle w:val="318"/>
        <w:spacing w:line="360" w:lineRule="auto"/>
        <w:rPr>
          <w:rFonts w:ascii="宋体" w:cs="宋体"/>
          <w:sz w:val="21"/>
          <w:szCs w:val="21"/>
        </w:rPr>
      </w:pPr>
      <w:bookmarkStart w:id="1463" w:name="bookmark1416"/>
      <w:bookmarkStart w:id="1464" w:name="bookmark1415"/>
      <w:bookmarkStart w:id="1465" w:name="_Toc13138"/>
      <w:bookmarkStart w:id="1466" w:name="_Toc31377"/>
      <w:bookmarkStart w:id="1467" w:name="_Toc9492"/>
      <w:bookmarkStart w:id="1468" w:name="_Toc15102"/>
      <w:bookmarkStart w:id="1469" w:name="_Toc256000387"/>
      <w:bookmarkStart w:id="1470" w:name="bookmark1417"/>
      <w:bookmarkStart w:id="1471" w:name="_Toc256000137"/>
      <w:r>
        <w:rPr>
          <w:rFonts w:ascii="宋体" w:hAnsi="宋体" w:cs="宋体"/>
          <w:sz w:val="21"/>
          <w:szCs w:val="21"/>
        </w:rPr>
        <w:t>18.7</w:t>
      </w:r>
      <w:r>
        <w:rPr>
          <w:rFonts w:hint="eastAsia" w:ascii="宋体" w:hAnsi="宋体" w:cs="宋体"/>
          <w:sz w:val="21"/>
          <w:szCs w:val="21"/>
        </w:rPr>
        <w:t>竣工验收</w:t>
      </w:r>
      <w:bookmarkEnd w:id="1463"/>
      <w:bookmarkEnd w:id="1464"/>
      <w:bookmarkEnd w:id="1465"/>
      <w:bookmarkEnd w:id="1466"/>
      <w:bookmarkEnd w:id="1467"/>
      <w:bookmarkEnd w:id="1468"/>
      <w:bookmarkEnd w:id="1469"/>
      <w:bookmarkEnd w:id="1470"/>
      <w:bookmarkEnd w:id="1471"/>
    </w:p>
    <w:p w14:paraId="1C80C4D1">
      <w:pPr>
        <w:pStyle w:val="319"/>
        <w:ind w:firstLine="440"/>
        <w:rPr>
          <w:rFonts w:cs="Times New Roman"/>
          <w:sz w:val="21"/>
          <w:szCs w:val="21"/>
        </w:rPr>
      </w:pPr>
      <w:r>
        <w:rPr>
          <w:sz w:val="21"/>
          <w:szCs w:val="21"/>
          <w:lang w:val="en-US"/>
        </w:rPr>
        <w:t>18.7.1</w:t>
      </w:r>
      <w:r>
        <w:rPr>
          <w:rFonts w:hint="eastAsia"/>
          <w:sz w:val="21"/>
          <w:szCs w:val="21"/>
        </w:rPr>
        <w:t>申请竣工验收前，发包人组织竣工验收自查，承包人应派项目经理或技术负责人参加。</w:t>
      </w:r>
    </w:p>
    <w:p w14:paraId="4077B0C6">
      <w:pPr>
        <w:pStyle w:val="319"/>
        <w:ind w:firstLine="440"/>
        <w:rPr>
          <w:rFonts w:cs="Times New Roman"/>
          <w:sz w:val="21"/>
          <w:szCs w:val="21"/>
        </w:rPr>
      </w:pPr>
      <w:r>
        <w:rPr>
          <w:sz w:val="21"/>
          <w:szCs w:val="21"/>
          <w:lang w:val="en-US"/>
        </w:rPr>
        <w:t>18.7.2</w:t>
      </w:r>
      <w:r>
        <w:rPr>
          <w:rFonts w:hint="eastAsia"/>
          <w:sz w:val="21"/>
          <w:szCs w:val="21"/>
        </w:rPr>
        <w:t>竣工验收分为竣工技术预验收和竣工验收两个阶段，发包人应通知承包人派法定代表人或项目经理参加技术预验收和竣工验收。</w:t>
      </w:r>
    </w:p>
    <w:p w14:paraId="359DB396">
      <w:pPr>
        <w:pStyle w:val="319"/>
        <w:ind w:firstLine="440"/>
        <w:rPr>
          <w:rFonts w:cs="Times New Roman"/>
          <w:sz w:val="21"/>
          <w:szCs w:val="21"/>
        </w:rPr>
      </w:pPr>
      <w:r>
        <w:rPr>
          <w:sz w:val="21"/>
          <w:szCs w:val="21"/>
          <w:lang w:val="en-US"/>
        </w:rPr>
        <w:t>18.7.3</w:t>
      </w:r>
      <w:r>
        <w:rPr>
          <w:rFonts w:hint="eastAsia"/>
          <w:sz w:val="21"/>
          <w:szCs w:val="21"/>
        </w:rPr>
        <w:t>专用合同条款约定工程需要进行技术鉴定的，承包人应提交有关资料并完成配合工作。</w:t>
      </w:r>
    </w:p>
    <w:p w14:paraId="61B9438E">
      <w:pPr>
        <w:pStyle w:val="319"/>
        <w:ind w:firstLine="440"/>
        <w:rPr>
          <w:rFonts w:cs="Times New Roman"/>
          <w:sz w:val="21"/>
          <w:szCs w:val="21"/>
        </w:rPr>
      </w:pPr>
      <w:r>
        <w:rPr>
          <w:sz w:val="21"/>
          <w:szCs w:val="21"/>
          <w:lang w:val="en-US"/>
        </w:rPr>
        <w:t>18.7.4</w:t>
      </w:r>
      <w:r>
        <w:rPr>
          <w:rFonts w:hint="eastAsia"/>
          <w:sz w:val="21"/>
          <w:szCs w:val="21"/>
        </w:rPr>
        <w:t>竣工验收需要进行质量检测的，所需费用由发包人承担，但因承包人原因造成质量不合格的除外。</w:t>
      </w:r>
    </w:p>
    <w:p w14:paraId="7A48E22B">
      <w:pPr>
        <w:pStyle w:val="319"/>
        <w:spacing w:after="140"/>
        <w:ind w:firstLine="440"/>
        <w:rPr>
          <w:rFonts w:cs="Times New Roman"/>
          <w:sz w:val="21"/>
          <w:szCs w:val="21"/>
        </w:rPr>
      </w:pPr>
      <w:r>
        <w:rPr>
          <w:sz w:val="21"/>
          <w:szCs w:val="21"/>
          <w:lang w:val="en-US"/>
        </w:rPr>
        <w:t>18.7.5</w:t>
      </w:r>
      <w:r>
        <w:rPr>
          <w:rFonts w:hint="eastAsia"/>
          <w:sz w:val="21"/>
          <w:szCs w:val="21"/>
        </w:rPr>
        <w:t>工程质量保修期满以及竣工验收遗留问题和尾工处理完成并通过验收后，发包人负责将处理情况和验收成果报送竣工验收主持单位，申请领取工程竣工证书，并发送承包人。</w:t>
      </w:r>
    </w:p>
    <w:p w14:paraId="247DAAC1">
      <w:pPr>
        <w:pStyle w:val="318"/>
        <w:spacing w:line="360" w:lineRule="auto"/>
        <w:rPr>
          <w:rFonts w:ascii="宋体" w:cs="宋体"/>
          <w:sz w:val="21"/>
          <w:szCs w:val="21"/>
        </w:rPr>
      </w:pPr>
      <w:bookmarkStart w:id="1472" w:name="bookmark1420"/>
      <w:bookmarkStart w:id="1473" w:name="_Toc256000138"/>
      <w:bookmarkStart w:id="1474" w:name="_Toc256000388"/>
      <w:bookmarkStart w:id="1475" w:name="_Toc844"/>
      <w:bookmarkStart w:id="1476" w:name="_Toc28956"/>
      <w:bookmarkStart w:id="1477" w:name="bookmark1419"/>
      <w:bookmarkStart w:id="1478" w:name="_Toc18903"/>
      <w:bookmarkStart w:id="1479" w:name="_Toc7258"/>
      <w:bookmarkStart w:id="1480" w:name="bookmark1418"/>
      <w:r>
        <w:rPr>
          <w:rFonts w:ascii="宋体" w:hAnsi="宋体" w:cs="宋体"/>
          <w:sz w:val="21"/>
          <w:szCs w:val="21"/>
        </w:rPr>
        <w:t>18.8</w:t>
      </w:r>
      <w:r>
        <w:rPr>
          <w:rFonts w:hint="eastAsia" w:ascii="宋体" w:hAnsi="宋体" w:cs="宋体"/>
          <w:sz w:val="21"/>
          <w:szCs w:val="21"/>
        </w:rPr>
        <w:t>施工期运行</w:t>
      </w:r>
      <w:bookmarkEnd w:id="1472"/>
      <w:bookmarkEnd w:id="1473"/>
      <w:bookmarkEnd w:id="1474"/>
      <w:bookmarkEnd w:id="1475"/>
      <w:bookmarkEnd w:id="1476"/>
      <w:bookmarkEnd w:id="1477"/>
      <w:bookmarkEnd w:id="1478"/>
      <w:bookmarkEnd w:id="1479"/>
      <w:bookmarkEnd w:id="1480"/>
    </w:p>
    <w:p w14:paraId="34B00992">
      <w:pPr>
        <w:pStyle w:val="319"/>
        <w:ind w:firstLine="440"/>
        <w:rPr>
          <w:rFonts w:cs="Times New Roman"/>
          <w:sz w:val="21"/>
          <w:szCs w:val="21"/>
        </w:rPr>
      </w:pPr>
      <w:r>
        <w:rPr>
          <w:sz w:val="21"/>
          <w:szCs w:val="21"/>
          <w:lang w:val="en-US"/>
        </w:rPr>
        <w:t>18.8.1</w:t>
      </w:r>
      <w:r>
        <w:rPr>
          <w:rFonts w:hint="eastAsia"/>
          <w:sz w:val="21"/>
          <w:szCs w:val="21"/>
        </w:rPr>
        <w:t>施工期运行是指合同工程尚未全部完工，其中某单位工程或部分工程已完工</w:t>
      </w:r>
      <w:r>
        <w:rPr>
          <w:sz w:val="21"/>
          <w:szCs w:val="21"/>
        </w:rPr>
        <w:t xml:space="preserve">, </w:t>
      </w:r>
      <w:r>
        <w:rPr>
          <w:rFonts w:hint="eastAsia"/>
          <w:sz w:val="21"/>
          <w:szCs w:val="21"/>
        </w:rPr>
        <w:t>需要投入施工期运行的，经发包人按第</w:t>
      </w:r>
      <w:r>
        <w:rPr>
          <w:sz w:val="21"/>
          <w:szCs w:val="21"/>
          <w:lang w:val="en-US"/>
        </w:rPr>
        <w:t>18.2</w:t>
      </w:r>
      <w:r>
        <w:rPr>
          <w:rFonts w:hint="eastAsia"/>
          <w:sz w:val="21"/>
          <w:szCs w:val="21"/>
        </w:rPr>
        <w:t>款或第</w:t>
      </w:r>
      <w:r>
        <w:rPr>
          <w:sz w:val="21"/>
          <w:szCs w:val="21"/>
          <w:lang w:val="en-US"/>
        </w:rPr>
        <w:t xml:space="preserve">18. </w:t>
      </w:r>
      <w:r>
        <w:rPr>
          <w:sz w:val="21"/>
          <w:szCs w:val="21"/>
        </w:rPr>
        <w:t>3</w:t>
      </w:r>
      <w:r>
        <w:rPr>
          <w:rFonts w:hint="eastAsia"/>
          <w:sz w:val="21"/>
          <w:szCs w:val="21"/>
        </w:rPr>
        <w:t>款的约定验收合格，证明能确保安全后，才能在施工期投入运行。需要在施工期运行的单位工程或部分工程在专用合同条款中约定。</w:t>
      </w:r>
    </w:p>
    <w:p w14:paraId="7F49B0C9">
      <w:pPr>
        <w:pStyle w:val="319"/>
        <w:spacing w:after="140"/>
        <w:ind w:firstLine="440"/>
        <w:rPr>
          <w:rFonts w:cs="Times New Roman"/>
          <w:sz w:val="21"/>
          <w:szCs w:val="21"/>
        </w:rPr>
      </w:pPr>
      <w:r>
        <w:rPr>
          <w:sz w:val="21"/>
          <w:szCs w:val="21"/>
          <w:lang w:val="en-US"/>
        </w:rPr>
        <w:t>18.8.2</w:t>
      </w:r>
      <w:r>
        <w:rPr>
          <w:rFonts w:hint="eastAsia"/>
          <w:sz w:val="21"/>
          <w:szCs w:val="21"/>
        </w:rPr>
        <w:t>在施工期运行中发现工程或工程设备损坏或存在缺陷的，由承包人按第</w:t>
      </w:r>
      <w:r>
        <w:rPr>
          <w:sz w:val="21"/>
          <w:szCs w:val="21"/>
          <w:lang w:val="en-US"/>
        </w:rPr>
        <w:t>19.2</w:t>
      </w:r>
      <w:r>
        <w:rPr>
          <w:rFonts w:hint="eastAsia"/>
          <w:sz w:val="21"/>
          <w:szCs w:val="21"/>
        </w:rPr>
        <w:t>款约定进行修复。</w:t>
      </w:r>
    </w:p>
    <w:p w14:paraId="19515757">
      <w:pPr>
        <w:pStyle w:val="318"/>
        <w:spacing w:line="360" w:lineRule="auto"/>
        <w:rPr>
          <w:rFonts w:ascii="宋体" w:cs="宋体"/>
          <w:sz w:val="21"/>
          <w:szCs w:val="21"/>
        </w:rPr>
      </w:pPr>
      <w:bookmarkStart w:id="1481" w:name="_Toc256000139"/>
      <w:bookmarkStart w:id="1482" w:name="_Toc6863"/>
      <w:bookmarkStart w:id="1483" w:name="bookmark1423"/>
      <w:bookmarkStart w:id="1484" w:name="_Toc10278"/>
      <w:bookmarkStart w:id="1485" w:name="_Toc20150"/>
      <w:bookmarkStart w:id="1486" w:name="_Toc256000389"/>
      <w:bookmarkStart w:id="1487" w:name="bookmark1421"/>
      <w:bookmarkStart w:id="1488" w:name="_Toc27673"/>
      <w:bookmarkStart w:id="1489" w:name="bookmark1422"/>
      <w:r>
        <w:rPr>
          <w:rFonts w:ascii="宋体" w:hAnsi="宋体" w:cs="宋体"/>
          <w:sz w:val="21"/>
          <w:szCs w:val="21"/>
        </w:rPr>
        <w:t>18.9</w:t>
      </w:r>
      <w:r>
        <w:rPr>
          <w:rFonts w:hint="eastAsia" w:ascii="宋体" w:hAnsi="宋体" w:cs="宋体"/>
          <w:sz w:val="21"/>
          <w:szCs w:val="21"/>
        </w:rPr>
        <w:t>试运行</w:t>
      </w:r>
      <w:bookmarkEnd w:id="1481"/>
      <w:bookmarkEnd w:id="1482"/>
      <w:bookmarkEnd w:id="1483"/>
      <w:bookmarkEnd w:id="1484"/>
      <w:bookmarkEnd w:id="1485"/>
      <w:bookmarkEnd w:id="1486"/>
      <w:bookmarkEnd w:id="1487"/>
      <w:bookmarkEnd w:id="1488"/>
      <w:bookmarkEnd w:id="1489"/>
    </w:p>
    <w:p w14:paraId="7E87728E">
      <w:pPr>
        <w:pStyle w:val="319"/>
        <w:ind w:firstLine="440"/>
        <w:rPr>
          <w:rFonts w:cs="Times New Roman"/>
          <w:sz w:val="21"/>
          <w:szCs w:val="21"/>
        </w:rPr>
      </w:pPr>
      <w:r>
        <w:rPr>
          <w:sz w:val="21"/>
          <w:szCs w:val="21"/>
          <w:lang w:val="en-US"/>
        </w:rPr>
        <w:t>18.9.1</w:t>
      </w:r>
      <w:r>
        <w:rPr>
          <w:rFonts w:hint="eastAsia"/>
          <w:sz w:val="21"/>
          <w:szCs w:val="21"/>
        </w:rPr>
        <w:t>除专用合同条款另有约定外，承包人应按规定进行工程及工程设备试运行</w:t>
      </w:r>
      <w:r>
        <w:rPr>
          <w:sz w:val="21"/>
          <w:szCs w:val="21"/>
        </w:rPr>
        <w:t xml:space="preserve">, </w:t>
      </w:r>
      <w:r>
        <w:rPr>
          <w:rFonts w:hint="eastAsia"/>
          <w:sz w:val="21"/>
          <w:szCs w:val="21"/>
        </w:rPr>
        <w:t>负责提供试运行所需的人员、器材和必要的条件，并承担全部试运行费用。</w:t>
      </w:r>
    </w:p>
    <w:p w14:paraId="721B1C34">
      <w:pPr>
        <w:pStyle w:val="319"/>
        <w:spacing w:after="240"/>
        <w:ind w:firstLine="447" w:firstLineChars="213"/>
        <w:rPr>
          <w:rFonts w:cs="Times New Roman"/>
          <w:sz w:val="21"/>
          <w:szCs w:val="21"/>
        </w:rPr>
      </w:pPr>
      <w:r>
        <w:rPr>
          <w:sz w:val="21"/>
          <w:szCs w:val="21"/>
          <w:lang w:val="en-US"/>
        </w:rPr>
        <w:t>18.9.2</w:t>
      </w:r>
      <w:r>
        <w:rPr>
          <w:rFonts w:hint="eastAsia"/>
          <w:sz w:val="21"/>
          <w:szCs w:val="21"/>
        </w:rPr>
        <w:t>由于承包人的原因导致试运行失败的，承包人应采取措施保证试运行合格</w:t>
      </w:r>
      <w:r>
        <w:rPr>
          <w:sz w:val="21"/>
          <w:szCs w:val="21"/>
        </w:rPr>
        <w:t xml:space="preserve">, </w:t>
      </w:r>
      <w:r>
        <w:rPr>
          <w:rFonts w:hint="eastAsia"/>
          <w:sz w:val="21"/>
          <w:szCs w:val="21"/>
        </w:rPr>
        <w:t>并承担相应费用。由于发包人的原因导致试运行失败的，承包人应当采取措施保证试运行合格，发包人应承担由此产生的费用，并支付承包人合理利润。</w:t>
      </w:r>
      <w:bookmarkStart w:id="1490" w:name="bookmark1411"/>
      <w:bookmarkEnd w:id="1490"/>
    </w:p>
    <w:p w14:paraId="29030A0C">
      <w:pPr>
        <w:pStyle w:val="318"/>
        <w:spacing w:line="360" w:lineRule="auto"/>
        <w:rPr>
          <w:rFonts w:ascii="宋体" w:cs="宋体"/>
          <w:sz w:val="21"/>
          <w:szCs w:val="21"/>
        </w:rPr>
      </w:pPr>
      <w:bookmarkStart w:id="1491" w:name="bookmark1425"/>
      <w:bookmarkStart w:id="1492" w:name="_Toc256000140"/>
      <w:bookmarkStart w:id="1493" w:name="_Toc3577"/>
      <w:bookmarkStart w:id="1494" w:name="_Toc256000390"/>
      <w:bookmarkStart w:id="1495" w:name="_Toc15000"/>
      <w:bookmarkStart w:id="1496" w:name="bookmark1424"/>
      <w:bookmarkStart w:id="1497" w:name="bookmark1426"/>
      <w:bookmarkStart w:id="1498" w:name="_Toc3320"/>
      <w:bookmarkStart w:id="1499" w:name="_Toc1706"/>
      <w:r>
        <w:rPr>
          <w:rFonts w:ascii="宋体" w:hAnsi="宋体" w:cs="宋体"/>
          <w:sz w:val="21"/>
          <w:szCs w:val="21"/>
        </w:rPr>
        <w:t>18.10</w:t>
      </w:r>
      <w:r>
        <w:rPr>
          <w:rFonts w:hint="eastAsia" w:ascii="宋体" w:hAnsi="宋体" w:cs="宋体"/>
          <w:sz w:val="21"/>
          <w:szCs w:val="21"/>
        </w:rPr>
        <w:t>竣工（完工）清场</w:t>
      </w:r>
      <w:bookmarkEnd w:id="1491"/>
      <w:bookmarkEnd w:id="1492"/>
      <w:bookmarkEnd w:id="1493"/>
      <w:bookmarkEnd w:id="1494"/>
      <w:bookmarkEnd w:id="1495"/>
      <w:bookmarkEnd w:id="1496"/>
      <w:bookmarkEnd w:id="1497"/>
      <w:bookmarkEnd w:id="1498"/>
      <w:bookmarkEnd w:id="1499"/>
    </w:p>
    <w:p w14:paraId="7ABAC3AD">
      <w:pPr>
        <w:pStyle w:val="319"/>
        <w:ind w:firstLine="440"/>
        <w:rPr>
          <w:rFonts w:cs="Times New Roman"/>
          <w:sz w:val="21"/>
          <w:szCs w:val="21"/>
        </w:rPr>
      </w:pPr>
      <w:r>
        <w:rPr>
          <w:sz w:val="21"/>
          <w:szCs w:val="21"/>
          <w:lang w:val="en-US"/>
        </w:rPr>
        <w:t>18.10.1</w:t>
      </w:r>
      <w:r>
        <w:rPr>
          <w:rFonts w:hint="eastAsia"/>
          <w:sz w:val="21"/>
          <w:szCs w:val="21"/>
        </w:rPr>
        <w:t>工程项目竣工（完工）清场的工作范围和内容在技术标准和要求（合同技术条款）中约定。</w:t>
      </w:r>
    </w:p>
    <w:p w14:paraId="7C36903C">
      <w:pPr>
        <w:pStyle w:val="319"/>
        <w:spacing w:after="240"/>
        <w:ind w:firstLine="440"/>
        <w:rPr>
          <w:rFonts w:cs="Times New Roman"/>
          <w:sz w:val="21"/>
          <w:szCs w:val="21"/>
        </w:rPr>
      </w:pPr>
      <w:r>
        <w:rPr>
          <w:sz w:val="21"/>
          <w:szCs w:val="21"/>
          <w:lang w:val="en-US"/>
        </w:rPr>
        <w:t>18.10.2</w:t>
      </w:r>
      <w:r>
        <w:rPr>
          <w:rFonts w:hint="eastAsia"/>
          <w:sz w:val="21"/>
          <w:szCs w:val="21"/>
        </w:rPr>
        <w:t>承包未按监理人的要求恢复临时占地，或者场地清理未达到合同约定的，发包人有权委托其它人恢复或清理，所发生的金额从拟支付给承包人的款项中扣除。</w:t>
      </w:r>
    </w:p>
    <w:p w14:paraId="23268CDD">
      <w:pPr>
        <w:pStyle w:val="318"/>
        <w:spacing w:line="360" w:lineRule="auto"/>
        <w:rPr>
          <w:rFonts w:ascii="宋体" w:cs="宋体"/>
          <w:sz w:val="21"/>
          <w:szCs w:val="21"/>
        </w:rPr>
      </w:pPr>
      <w:bookmarkStart w:id="1500" w:name="_Toc256000141"/>
      <w:bookmarkStart w:id="1501" w:name="_Toc28474"/>
      <w:bookmarkStart w:id="1502" w:name="_Toc20819"/>
      <w:bookmarkStart w:id="1503" w:name="_Toc256000391"/>
      <w:bookmarkStart w:id="1504" w:name="bookmark1429"/>
      <w:bookmarkStart w:id="1505" w:name="bookmark1428"/>
      <w:bookmarkStart w:id="1506" w:name="_Toc29173"/>
      <w:bookmarkStart w:id="1507" w:name="bookmark1427"/>
      <w:bookmarkStart w:id="1508" w:name="_Toc22352"/>
      <w:r>
        <w:rPr>
          <w:rFonts w:ascii="宋体" w:hAnsi="宋体" w:cs="宋体"/>
          <w:sz w:val="21"/>
          <w:szCs w:val="21"/>
        </w:rPr>
        <w:t>18.11</w:t>
      </w:r>
      <w:r>
        <w:rPr>
          <w:rFonts w:hint="eastAsia" w:ascii="宋体" w:hAnsi="宋体" w:cs="宋体"/>
          <w:sz w:val="21"/>
          <w:szCs w:val="21"/>
        </w:rPr>
        <w:t>施工队伍的撤离</w:t>
      </w:r>
      <w:bookmarkEnd w:id="1500"/>
      <w:bookmarkEnd w:id="1501"/>
      <w:bookmarkEnd w:id="1502"/>
      <w:bookmarkEnd w:id="1503"/>
      <w:bookmarkEnd w:id="1504"/>
      <w:bookmarkEnd w:id="1505"/>
      <w:bookmarkEnd w:id="1506"/>
      <w:bookmarkEnd w:id="1507"/>
      <w:bookmarkEnd w:id="1508"/>
    </w:p>
    <w:p w14:paraId="52A72D1A">
      <w:pPr>
        <w:pStyle w:val="319"/>
        <w:spacing w:after="300"/>
        <w:ind w:firstLine="420"/>
        <w:rPr>
          <w:rFonts w:cs="Times New Roman"/>
          <w:sz w:val="21"/>
          <w:szCs w:val="21"/>
        </w:rPr>
      </w:pPr>
      <w:r>
        <w:rPr>
          <w:rFonts w:hint="eastAsia"/>
          <w:sz w:val="21"/>
          <w:szCs w:val="21"/>
        </w:rPr>
        <w:t>合同工程完工证书颁发后的</w:t>
      </w:r>
      <w:r>
        <w:rPr>
          <w:sz w:val="21"/>
          <w:szCs w:val="21"/>
        </w:rPr>
        <w:t>56</w:t>
      </w:r>
      <w:r>
        <w:rPr>
          <w:rFonts w:hint="eastAsia"/>
          <w:sz w:val="21"/>
          <w:szCs w:val="21"/>
        </w:rPr>
        <w:t>天内，除了经监理人同意需在缺陷责任期（工程质量保修期）内继续工作和使用的人员、施工设备和临时工程外，其余的人员、施工设备和临时工程均应撤离施工场地或拆除。除合同另有约定外，缺陷责任期（工程质量保修期）满时</w:t>
      </w:r>
      <w:r>
        <w:rPr>
          <w:sz w:val="21"/>
          <w:szCs w:val="21"/>
        </w:rPr>
        <w:t xml:space="preserve">, </w:t>
      </w:r>
      <w:r>
        <w:rPr>
          <w:rFonts w:hint="eastAsia"/>
          <w:sz w:val="21"/>
          <w:szCs w:val="21"/>
        </w:rPr>
        <w:t>承包人的人员和施工设备应全部撤离施工场地。</w:t>
      </w:r>
    </w:p>
    <w:p w14:paraId="145BAD18">
      <w:pPr>
        <w:pStyle w:val="318"/>
        <w:spacing w:line="360" w:lineRule="auto"/>
        <w:rPr>
          <w:rFonts w:ascii="宋体" w:cs="宋体"/>
          <w:sz w:val="21"/>
          <w:szCs w:val="21"/>
        </w:rPr>
      </w:pPr>
      <w:bookmarkStart w:id="1509" w:name="bookmark1432"/>
      <w:bookmarkStart w:id="1510" w:name="_Toc24671"/>
      <w:bookmarkStart w:id="1511" w:name="_Toc15410"/>
      <w:bookmarkStart w:id="1512" w:name="_Toc8163"/>
      <w:bookmarkStart w:id="1513" w:name="_Toc256000392"/>
      <w:bookmarkStart w:id="1514" w:name="_Toc1913"/>
      <w:bookmarkStart w:id="1515" w:name="bookmark1431"/>
      <w:bookmarkStart w:id="1516" w:name="bookmark1430"/>
      <w:bookmarkStart w:id="1517" w:name="_Toc256000142"/>
      <w:r>
        <w:rPr>
          <w:rFonts w:ascii="宋体" w:hAnsi="宋体" w:cs="宋体"/>
          <w:sz w:val="21"/>
          <w:szCs w:val="21"/>
        </w:rPr>
        <w:t>19.</w:t>
      </w:r>
      <w:r>
        <w:rPr>
          <w:rFonts w:hint="eastAsia" w:ascii="宋体" w:hAnsi="宋体" w:cs="宋体"/>
          <w:sz w:val="21"/>
          <w:szCs w:val="21"/>
        </w:rPr>
        <w:t>缺陷责任与保修责任</w:t>
      </w:r>
      <w:bookmarkEnd w:id="1509"/>
      <w:bookmarkEnd w:id="1510"/>
      <w:bookmarkEnd w:id="1511"/>
      <w:bookmarkEnd w:id="1512"/>
      <w:bookmarkEnd w:id="1513"/>
      <w:bookmarkEnd w:id="1514"/>
      <w:bookmarkEnd w:id="1515"/>
      <w:bookmarkEnd w:id="1516"/>
      <w:bookmarkEnd w:id="1517"/>
    </w:p>
    <w:p w14:paraId="71D7F7CB">
      <w:pPr>
        <w:pStyle w:val="318"/>
        <w:spacing w:line="360" w:lineRule="auto"/>
        <w:rPr>
          <w:rFonts w:ascii="宋体" w:cs="宋体"/>
          <w:sz w:val="21"/>
          <w:szCs w:val="21"/>
        </w:rPr>
      </w:pPr>
      <w:bookmarkStart w:id="1518" w:name="_Toc16689"/>
      <w:bookmarkStart w:id="1519" w:name="bookmark1433"/>
      <w:bookmarkStart w:id="1520" w:name="bookmark1435"/>
      <w:bookmarkStart w:id="1521" w:name="_Toc256000393"/>
      <w:bookmarkStart w:id="1522" w:name="_Toc256000143"/>
      <w:bookmarkStart w:id="1523" w:name="_Toc9306"/>
      <w:bookmarkStart w:id="1524" w:name="bookmark1434"/>
      <w:bookmarkStart w:id="1525" w:name="_Toc13406"/>
      <w:bookmarkStart w:id="1526" w:name="_Toc22913"/>
      <w:r>
        <w:rPr>
          <w:rFonts w:ascii="宋体" w:hAnsi="宋体" w:cs="宋体"/>
          <w:sz w:val="21"/>
          <w:szCs w:val="21"/>
        </w:rPr>
        <w:t>19.1</w:t>
      </w:r>
      <w:r>
        <w:rPr>
          <w:rFonts w:hint="eastAsia" w:ascii="宋体" w:hAnsi="宋体" w:cs="宋体"/>
          <w:sz w:val="21"/>
          <w:szCs w:val="21"/>
        </w:rPr>
        <w:t>缺陷责任期（工程质量保修期）的起算时间</w:t>
      </w:r>
      <w:bookmarkEnd w:id="1518"/>
      <w:bookmarkEnd w:id="1519"/>
      <w:bookmarkEnd w:id="1520"/>
      <w:bookmarkEnd w:id="1521"/>
      <w:bookmarkEnd w:id="1522"/>
      <w:bookmarkEnd w:id="1523"/>
      <w:bookmarkEnd w:id="1524"/>
      <w:bookmarkEnd w:id="1525"/>
      <w:bookmarkEnd w:id="1526"/>
    </w:p>
    <w:p w14:paraId="0633038A">
      <w:pPr>
        <w:pStyle w:val="319"/>
        <w:spacing w:after="160"/>
        <w:ind w:firstLine="440"/>
        <w:rPr>
          <w:rFonts w:cs="Times New Roman"/>
          <w:sz w:val="21"/>
          <w:szCs w:val="21"/>
        </w:rPr>
      </w:pPr>
      <w:r>
        <w:rPr>
          <w:rFonts w:hint="eastAsia"/>
          <w:sz w:val="21"/>
          <w:szCs w:val="21"/>
        </w:rPr>
        <w:t>除专用合同条款另有约定外，缺陷责任期（工程质量保修期）从工程通过合同工程完</w:t>
      </w:r>
      <w:r>
        <w:rPr>
          <w:sz w:val="21"/>
          <w:szCs w:val="21"/>
        </w:rPr>
        <w:t xml:space="preserve"> </w:t>
      </w:r>
      <w:r>
        <w:rPr>
          <w:rFonts w:hint="eastAsia"/>
          <w:sz w:val="21"/>
          <w:szCs w:val="21"/>
        </w:rPr>
        <w:t>工验收后开始计算。在合同工程完工验收前，已经发包人提前验收的单位工程或部分工程</w:t>
      </w:r>
      <w:r>
        <w:rPr>
          <w:sz w:val="21"/>
          <w:szCs w:val="21"/>
        </w:rPr>
        <w:t xml:space="preserve">, </w:t>
      </w:r>
      <w:r>
        <w:rPr>
          <w:rFonts w:hint="eastAsia"/>
          <w:sz w:val="21"/>
          <w:szCs w:val="21"/>
        </w:rPr>
        <w:t>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4B2DFE76">
      <w:pPr>
        <w:pStyle w:val="318"/>
        <w:spacing w:line="360" w:lineRule="auto"/>
        <w:rPr>
          <w:rFonts w:ascii="宋体" w:cs="宋体"/>
          <w:sz w:val="21"/>
          <w:szCs w:val="21"/>
        </w:rPr>
      </w:pPr>
      <w:bookmarkStart w:id="1527" w:name="_Toc256000144"/>
      <w:bookmarkStart w:id="1528" w:name="bookmark1437"/>
      <w:bookmarkStart w:id="1529" w:name="bookmark1436"/>
      <w:bookmarkStart w:id="1530" w:name="_Toc256000394"/>
      <w:bookmarkStart w:id="1531" w:name="_Toc7625"/>
      <w:bookmarkStart w:id="1532" w:name="bookmark1438"/>
      <w:bookmarkStart w:id="1533" w:name="_Toc27743"/>
      <w:bookmarkStart w:id="1534" w:name="_Toc15711"/>
      <w:bookmarkStart w:id="1535" w:name="_Toc4030"/>
      <w:r>
        <w:rPr>
          <w:rFonts w:ascii="宋体" w:hAnsi="宋体" w:cs="宋体"/>
          <w:sz w:val="21"/>
          <w:szCs w:val="21"/>
        </w:rPr>
        <w:t>19.2</w:t>
      </w:r>
      <w:r>
        <w:rPr>
          <w:rFonts w:hint="eastAsia" w:ascii="宋体" w:hAnsi="宋体" w:cs="宋体"/>
          <w:sz w:val="21"/>
          <w:szCs w:val="21"/>
        </w:rPr>
        <w:t>缺陷责任</w:t>
      </w:r>
      <w:bookmarkEnd w:id="1527"/>
      <w:bookmarkEnd w:id="1528"/>
      <w:bookmarkEnd w:id="1529"/>
      <w:bookmarkEnd w:id="1530"/>
      <w:bookmarkEnd w:id="1531"/>
      <w:bookmarkEnd w:id="1532"/>
      <w:bookmarkEnd w:id="1533"/>
      <w:bookmarkEnd w:id="1534"/>
      <w:bookmarkEnd w:id="1535"/>
    </w:p>
    <w:p w14:paraId="1F153003">
      <w:pPr>
        <w:pStyle w:val="319"/>
        <w:tabs>
          <w:tab w:val="left" w:pos="853"/>
        </w:tabs>
        <w:ind w:left="440" w:firstLine="0"/>
        <w:rPr>
          <w:rFonts w:cs="Times New Roman"/>
          <w:sz w:val="21"/>
          <w:szCs w:val="21"/>
        </w:rPr>
      </w:pPr>
      <w:bookmarkStart w:id="1536" w:name="bookmark1439"/>
      <w:bookmarkEnd w:id="1536"/>
      <w:r>
        <w:rPr>
          <w:sz w:val="21"/>
          <w:szCs w:val="21"/>
          <w:lang w:val="en-US"/>
        </w:rPr>
        <w:t xml:space="preserve">19.2. </w:t>
      </w:r>
      <w:r>
        <w:rPr>
          <w:sz w:val="21"/>
          <w:szCs w:val="21"/>
        </w:rPr>
        <w:t>1</w:t>
      </w:r>
      <w:r>
        <w:rPr>
          <w:rFonts w:hint="eastAsia"/>
          <w:sz w:val="21"/>
          <w:szCs w:val="21"/>
        </w:rPr>
        <w:t>承包人应在缺陷责任期内对已交付使用的工程承担缺陷责任。</w:t>
      </w:r>
    </w:p>
    <w:p w14:paraId="5898F391">
      <w:pPr>
        <w:pStyle w:val="319"/>
        <w:ind w:firstLine="440"/>
        <w:rPr>
          <w:rFonts w:cs="Times New Roman"/>
          <w:sz w:val="21"/>
          <w:szCs w:val="21"/>
        </w:rPr>
      </w:pPr>
      <w:r>
        <w:rPr>
          <w:sz w:val="21"/>
          <w:szCs w:val="21"/>
          <w:lang w:val="en-US"/>
        </w:rPr>
        <w:t>19.2.2</w:t>
      </w:r>
      <w:r>
        <w:rPr>
          <w:rFonts w:hint="eastAsia"/>
          <w:sz w:val="21"/>
          <w:szCs w:val="21"/>
        </w:rPr>
        <w:t>缺陷责任期内，发包人对已接收使用的工程负责日常维护工作。发包人在使用过程中，发现已接收的工程存在新的缺陷或已修复的缺陷部位或部件又遭损坏的，承包人应负责修复，直至检验合格为止。</w:t>
      </w:r>
    </w:p>
    <w:p w14:paraId="40BA7156">
      <w:pPr>
        <w:pStyle w:val="319"/>
        <w:ind w:firstLine="440"/>
        <w:rPr>
          <w:rFonts w:cs="Times New Roman"/>
          <w:sz w:val="21"/>
          <w:szCs w:val="21"/>
        </w:rPr>
      </w:pPr>
      <w:r>
        <w:rPr>
          <w:sz w:val="21"/>
          <w:szCs w:val="21"/>
          <w:lang w:val="en-US"/>
        </w:rPr>
        <w:t>19.2.3</w:t>
      </w:r>
      <w:r>
        <w:rPr>
          <w:rFonts w:hint="eastAsia"/>
          <w:sz w:val="21"/>
          <w:szCs w:val="21"/>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243D0A86">
      <w:pPr>
        <w:pStyle w:val="319"/>
        <w:spacing w:after="160"/>
        <w:ind w:firstLine="440"/>
        <w:rPr>
          <w:rFonts w:cs="Times New Roman"/>
          <w:sz w:val="21"/>
          <w:szCs w:val="21"/>
        </w:rPr>
      </w:pPr>
      <w:r>
        <w:rPr>
          <w:sz w:val="21"/>
          <w:szCs w:val="21"/>
          <w:lang w:val="en-US"/>
        </w:rPr>
        <w:t>19.2.4</w:t>
      </w:r>
      <w:r>
        <w:rPr>
          <w:rFonts w:hint="eastAsia"/>
          <w:sz w:val="21"/>
          <w:szCs w:val="21"/>
        </w:rPr>
        <w:t>承包人不能在合理时间内修复缺陷的，发包人可自行修复或委托其他人修复</w:t>
      </w:r>
      <w:r>
        <w:rPr>
          <w:sz w:val="21"/>
          <w:szCs w:val="21"/>
        </w:rPr>
        <w:t xml:space="preserve">, </w:t>
      </w:r>
      <w:r>
        <w:rPr>
          <w:rFonts w:hint="eastAsia"/>
          <w:sz w:val="21"/>
          <w:szCs w:val="21"/>
        </w:rPr>
        <w:t>所需费用和利润的承担，按第</w:t>
      </w:r>
      <w:r>
        <w:rPr>
          <w:sz w:val="21"/>
          <w:szCs w:val="21"/>
          <w:lang w:val="en-US"/>
        </w:rPr>
        <w:t xml:space="preserve">19.2. </w:t>
      </w:r>
      <w:r>
        <w:rPr>
          <w:sz w:val="21"/>
          <w:szCs w:val="21"/>
        </w:rPr>
        <w:t>3</w:t>
      </w:r>
      <w:r>
        <w:rPr>
          <w:rFonts w:hint="eastAsia"/>
          <w:sz w:val="21"/>
          <w:szCs w:val="21"/>
        </w:rPr>
        <w:t>项约定办理。</w:t>
      </w:r>
    </w:p>
    <w:p w14:paraId="6D11BBA4">
      <w:pPr>
        <w:pStyle w:val="318"/>
        <w:spacing w:line="360" w:lineRule="auto"/>
        <w:rPr>
          <w:rFonts w:ascii="宋体" w:cs="宋体"/>
          <w:sz w:val="21"/>
          <w:szCs w:val="21"/>
        </w:rPr>
      </w:pPr>
      <w:bookmarkStart w:id="1537" w:name="bookmark1441"/>
      <w:bookmarkStart w:id="1538" w:name="bookmark1442"/>
      <w:bookmarkStart w:id="1539" w:name="_Toc256000395"/>
      <w:bookmarkStart w:id="1540" w:name="_Toc19334"/>
      <w:bookmarkStart w:id="1541" w:name="_Toc256000145"/>
      <w:bookmarkStart w:id="1542" w:name="_Toc20483"/>
      <w:bookmarkStart w:id="1543" w:name="_Toc19734"/>
      <w:bookmarkStart w:id="1544" w:name="bookmark1440"/>
      <w:bookmarkStart w:id="1545" w:name="_Toc18661"/>
      <w:r>
        <w:rPr>
          <w:rFonts w:ascii="宋体" w:hAnsi="宋体" w:cs="宋体"/>
          <w:sz w:val="21"/>
          <w:szCs w:val="21"/>
        </w:rPr>
        <w:t>19.3</w:t>
      </w:r>
      <w:r>
        <w:rPr>
          <w:rFonts w:hint="eastAsia" w:ascii="宋体" w:hAnsi="宋体" w:cs="宋体"/>
          <w:sz w:val="21"/>
          <w:szCs w:val="21"/>
        </w:rPr>
        <w:t>缺陷责任期的延长</w:t>
      </w:r>
      <w:bookmarkEnd w:id="1537"/>
      <w:bookmarkEnd w:id="1538"/>
      <w:bookmarkEnd w:id="1539"/>
      <w:bookmarkEnd w:id="1540"/>
      <w:bookmarkEnd w:id="1541"/>
      <w:bookmarkEnd w:id="1542"/>
      <w:bookmarkEnd w:id="1543"/>
      <w:bookmarkEnd w:id="1544"/>
      <w:bookmarkEnd w:id="1545"/>
    </w:p>
    <w:p w14:paraId="4C7E290F">
      <w:pPr>
        <w:pStyle w:val="319"/>
        <w:spacing w:after="160"/>
        <w:ind w:firstLine="440"/>
        <w:rPr>
          <w:rFonts w:cs="Times New Roman"/>
          <w:sz w:val="21"/>
          <w:szCs w:val="21"/>
        </w:rPr>
      </w:pPr>
      <w:r>
        <w:rPr>
          <w:rFonts w:hint="eastAsia"/>
          <w:sz w:val="21"/>
          <w:szCs w:val="21"/>
        </w:rPr>
        <w:t>由于承包人原因造成某项缺陷或损坏使某项工程或工程设备不能按原定目标使用而需要再次检查、检验和修复的，发包人有权要求承包人相应延长缺陷责任期，但缺陷责任期最长不超过</w:t>
      </w:r>
      <w:r>
        <w:rPr>
          <w:sz w:val="21"/>
          <w:szCs w:val="21"/>
        </w:rPr>
        <w:t>2</w:t>
      </w:r>
      <w:r>
        <w:rPr>
          <w:rFonts w:hint="eastAsia"/>
          <w:sz w:val="21"/>
          <w:szCs w:val="21"/>
        </w:rPr>
        <w:t>年。</w:t>
      </w:r>
    </w:p>
    <w:p w14:paraId="38FA2319">
      <w:pPr>
        <w:pStyle w:val="318"/>
        <w:spacing w:line="360" w:lineRule="auto"/>
        <w:rPr>
          <w:rFonts w:ascii="宋体" w:cs="宋体"/>
          <w:sz w:val="21"/>
          <w:szCs w:val="21"/>
        </w:rPr>
      </w:pPr>
      <w:bookmarkStart w:id="1546" w:name="bookmark1444"/>
      <w:bookmarkStart w:id="1547" w:name="_Toc256000146"/>
      <w:bookmarkStart w:id="1548" w:name="_Toc10058"/>
      <w:bookmarkStart w:id="1549" w:name="_Toc4593"/>
      <w:bookmarkStart w:id="1550" w:name="bookmark1445"/>
      <w:bookmarkStart w:id="1551" w:name="_Toc256000396"/>
      <w:bookmarkStart w:id="1552" w:name="_Toc28699"/>
      <w:bookmarkStart w:id="1553" w:name="bookmark1443"/>
      <w:bookmarkStart w:id="1554" w:name="_Toc20930"/>
      <w:r>
        <w:rPr>
          <w:rFonts w:ascii="宋体" w:hAnsi="宋体" w:cs="宋体"/>
          <w:sz w:val="21"/>
          <w:szCs w:val="21"/>
        </w:rPr>
        <w:t>19.4</w:t>
      </w:r>
      <w:r>
        <w:rPr>
          <w:rFonts w:hint="eastAsia" w:ascii="宋体" w:hAnsi="宋体" w:cs="宋体"/>
          <w:sz w:val="21"/>
          <w:szCs w:val="21"/>
        </w:rPr>
        <w:t>进一步试验和试运行</w:t>
      </w:r>
      <w:bookmarkEnd w:id="1546"/>
      <w:bookmarkEnd w:id="1547"/>
      <w:bookmarkEnd w:id="1548"/>
      <w:bookmarkEnd w:id="1549"/>
      <w:bookmarkEnd w:id="1550"/>
      <w:bookmarkEnd w:id="1551"/>
      <w:bookmarkEnd w:id="1552"/>
      <w:bookmarkEnd w:id="1553"/>
      <w:bookmarkEnd w:id="1554"/>
    </w:p>
    <w:p w14:paraId="54FEFE96">
      <w:pPr>
        <w:pStyle w:val="319"/>
        <w:spacing w:after="160"/>
        <w:ind w:firstLine="440"/>
        <w:rPr>
          <w:rFonts w:cs="Times New Roman"/>
          <w:sz w:val="21"/>
          <w:szCs w:val="21"/>
        </w:rPr>
      </w:pPr>
      <w:r>
        <w:rPr>
          <w:rFonts w:hint="eastAsia"/>
          <w:sz w:val="21"/>
          <w:szCs w:val="21"/>
        </w:rPr>
        <w:t>任何一项缺陷或损坏修复后，经检查证明其影响了工程或工程设备的使用性能，承包人应重新进行合同约定的试验和试运行，试验和试运行的全部费用应由责任方承担。</w:t>
      </w:r>
    </w:p>
    <w:p w14:paraId="05BCFAC6">
      <w:pPr>
        <w:pStyle w:val="318"/>
        <w:spacing w:line="360" w:lineRule="auto"/>
        <w:rPr>
          <w:rFonts w:ascii="宋体" w:cs="宋体"/>
          <w:sz w:val="21"/>
          <w:szCs w:val="21"/>
        </w:rPr>
      </w:pPr>
      <w:bookmarkStart w:id="1555" w:name="bookmark1448"/>
      <w:bookmarkStart w:id="1556" w:name="bookmark1446"/>
      <w:bookmarkStart w:id="1557" w:name="bookmark1447"/>
      <w:bookmarkStart w:id="1558" w:name="_Toc29168"/>
      <w:bookmarkStart w:id="1559" w:name="_Toc13710"/>
      <w:bookmarkStart w:id="1560" w:name="_Toc256000397"/>
      <w:bookmarkStart w:id="1561" w:name="_Toc17707"/>
      <w:bookmarkStart w:id="1562" w:name="_Toc256000147"/>
      <w:bookmarkStart w:id="1563" w:name="_Toc27517"/>
      <w:r>
        <w:rPr>
          <w:rFonts w:ascii="宋体" w:hAnsi="宋体" w:cs="宋体"/>
          <w:sz w:val="21"/>
          <w:szCs w:val="21"/>
        </w:rPr>
        <w:t>19.5</w:t>
      </w:r>
      <w:r>
        <w:rPr>
          <w:rFonts w:hint="eastAsia" w:ascii="宋体" w:hAnsi="宋体" w:cs="宋体"/>
          <w:sz w:val="21"/>
          <w:szCs w:val="21"/>
        </w:rPr>
        <w:t>承包人的进入权</w:t>
      </w:r>
      <w:bookmarkEnd w:id="1555"/>
      <w:bookmarkEnd w:id="1556"/>
      <w:bookmarkEnd w:id="1557"/>
      <w:bookmarkEnd w:id="1558"/>
      <w:bookmarkEnd w:id="1559"/>
      <w:bookmarkEnd w:id="1560"/>
      <w:bookmarkEnd w:id="1561"/>
      <w:bookmarkEnd w:id="1562"/>
      <w:bookmarkEnd w:id="1563"/>
    </w:p>
    <w:p w14:paraId="6E951528">
      <w:pPr>
        <w:pStyle w:val="319"/>
        <w:spacing w:after="160"/>
        <w:ind w:firstLine="440"/>
        <w:rPr>
          <w:rFonts w:cs="Times New Roman"/>
          <w:sz w:val="21"/>
          <w:szCs w:val="21"/>
        </w:rPr>
      </w:pPr>
      <w:r>
        <w:rPr>
          <w:rFonts w:hint="eastAsia"/>
          <w:sz w:val="21"/>
          <w:szCs w:val="21"/>
        </w:rPr>
        <w:t>缺陷责任期内承包人为缺陷修复工作需要，有权进入工程现场，但应遵守发包人的保安和保密规定。</w:t>
      </w:r>
    </w:p>
    <w:p w14:paraId="18B69E4D">
      <w:pPr>
        <w:pStyle w:val="318"/>
        <w:spacing w:line="360" w:lineRule="auto"/>
        <w:rPr>
          <w:rFonts w:ascii="宋体" w:cs="宋体"/>
          <w:sz w:val="21"/>
          <w:szCs w:val="21"/>
        </w:rPr>
      </w:pPr>
      <w:bookmarkStart w:id="1564" w:name="bookmark1450"/>
      <w:bookmarkStart w:id="1565" w:name="_Toc16024"/>
      <w:bookmarkStart w:id="1566" w:name="_Toc256000398"/>
      <w:bookmarkStart w:id="1567" w:name="_Toc18929"/>
      <w:bookmarkStart w:id="1568" w:name="_Toc256000148"/>
      <w:bookmarkStart w:id="1569" w:name="_Toc5395"/>
      <w:bookmarkStart w:id="1570" w:name="_Toc11713"/>
      <w:bookmarkStart w:id="1571" w:name="bookmark1449"/>
      <w:bookmarkStart w:id="1572" w:name="bookmark1451"/>
      <w:r>
        <w:rPr>
          <w:rFonts w:ascii="宋体" w:hAnsi="宋体" w:cs="宋体"/>
          <w:sz w:val="21"/>
          <w:szCs w:val="21"/>
        </w:rPr>
        <w:t>19.6</w:t>
      </w:r>
      <w:r>
        <w:rPr>
          <w:rFonts w:hint="eastAsia" w:ascii="宋体" w:hAnsi="宋体" w:cs="宋体"/>
          <w:sz w:val="21"/>
          <w:szCs w:val="21"/>
        </w:rPr>
        <w:t>缺陷责任期终止证书（工程质量保修责任终止证书）</w:t>
      </w:r>
      <w:bookmarkEnd w:id="1564"/>
      <w:bookmarkEnd w:id="1565"/>
      <w:bookmarkEnd w:id="1566"/>
      <w:bookmarkEnd w:id="1567"/>
      <w:bookmarkEnd w:id="1568"/>
      <w:bookmarkEnd w:id="1569"/>
      <w:bookmarkEnd w:id="1570"/>
      <w:bookmarkEnd w:id="1571"/>
      <w:bookmarkEnd w:id="1572"/>
    </w:p>
    <w:p w14:paraId="1C73559A">
      <w:pPr>
        <w:pStyle w:val="319"/>
        <w:ind w:firstLine="440"/>
        <w:rPr>
          <w:rFonts w:cs="Times New Roman"/>
          <w:sz w:val="21"/>
          <w:szCs w:val="21"/>
        </w:rPr>
      </w:pPr>
      <w:r>
        <w:rPr>
          <w:rFonts w:hint="eastAsia"/>
          <w:sz w:val="21"/>
          <w:szCs w:val="21"/>
        </w:rPr>
        <w:t>合同工程完工验收后，发包人与承包人应办理工程交接手续，承包人应向发包人递交工程质量保修书。</w:t>
      </w:r>
    </w:p>
    <w:p w14:paraId="5B8310DA">
      <w:pPr>
        <w:pStyle w:val="319"/>
        <w:spacing w:after="160"/>
        <w:ind w:firstLine="440"/>
        <w:rPr>
          <w:rFonts w:cs="Times New Roman"/>
          <w:sz w:val="21"/>
          <w:szCs w:val="21"/>
        </w:rPr>
      </w:pPr>
      <w:r>
        <w:rPr>
          <w:rFonts w:hint="eastAsia"/>
          <w:sz w:val="21"/>
          <w:szCs w:val="21"/>
        </w:rPr>
        <w:t>缺陷责任期（工程质量保修期）满后</w:t>
      </w:r>
      <w:r>
        <w:rPr>
          <w:sz w:val="21"/>
          <w:szCs w:val="21"/>
        </w:rPr>
        <w:t>30</w:t>
      </w:r>
      <w:r>
        <w:rPr>
          <w:rFonts w:hint="eastAsia"/>
          <w:sz w:val="21"/>
          <w:szCs w:val="21"/>
        </w:rPr>
        <w:t>个工作日内，发包人应向承包人颁发工程质量保修责任终止证书，并退还剩余的质量保证金，但保修责任范围内的质量缺陷未处理完成的应除外。</w:t>
      </w:r>
    </w:p>
    <w:p w14:paraId="5C05E60A">
      <w:pPr>
        <w:pStyle w:val="318"/>
        <w:spacing w:line="360" w:lineRule="auto"/>
        <w:rPr>
          <w:rFonts w:ascii="宋体" w:cs="宋体"/>
          <w:sz w:val="21"/>
          <w:szCs w:val="21"/>
        </w:rPr>
      </w:pPr>
      <w:bookmarkStart w:id="1573" w:name="_Toc10377"/>
      <w:bookmarkStart w:id="1574" w:name="_Toc256000399"/>
      <w:bookmarkStart w:id="1575" w:name="bookmark1452"/>
      <w:bookmarkStart w:id="1576" w:name="bookmark1454"/>
      <w:bookmarkStart w:id="1577" w:name="bookmark1453"/>
      <w:bookmarkStart w:id="1578" w:name="_Toc256000149"/>
      <w:bookmarkStart w:id="1579" w:name="_Toc1240"/>
      <w:bookmarkStart w:id="1580" w:name="_Toc4569"/>
      <w:bookmarkStart w:id="1581" w:name="_Toc27679"/>
      <w:r>
        <w:rPr>
          <w:rFonts w:ascii="宋体" w:hAnsi="宋体" w:cs="宋体"/>
          <w:sz w:val="21"/>
          <w:szCs w:val="21"/>
        </w:rPr>
        <w:t>19.7</w:t>
      </w:r>
      <w:r>
        <w:rPr>
          <w:rFonts w:hint="eastAsia" w:ascii="宋体" w:hAnsi="宋体" w:cs="宋体"/>
          <w:sz w:val="21"/>
          <w:szCs w:val="21"/>
        </w:rPr>
        <w:t>保修责任</w:t>
      </w:r>
      <w:bookmarkEnd w:id="1573"/>
      <w:bookmarkEnd w:id="1574"/>
      <w:bookmarkEnd w:id="1575"/>
      <w:bookmarkEnd w:id="1576"/>
      <w:bookmarkEnd w:id="1577"/>
      <w:bookmarkEnd w:id="1578"/>
      <w:bookmarkEnd w:id="1579"/>
      <w:bookmarkEnd w:id="1580"/>
      <w:bookmarkEnd w:id="1581"/>
    </w:p>
    <w:p w14:paraId="44936F8E">
      <w:pPr>
        <w:pStyle w:val="319"/>
        <w:spacing w:after="260"/>
        <w:ind w:firstLine="440"/>
        <w:rPr>
          <w:rFonts w:cs="Times New Roman"/>
          <w:sz w:val="21"/>
          <w:szCs w:val="21"/>
        </w:rPr>
      </w:pPr>
      <w:r>
        <w:rPr>
          <w:rFonts w:hint="eastAsia"/>
          <w:sz w:val="21"/>
          <w:szCs w:val="21"/>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48828405">
      <w:pPr>
        <w:pStyle w:val="318"/>
        <w:spacing w:line="360" w:lineRule="auto"/>
        <w:rPr>
          <w:rFonts w:ascii="宋体" w:cs="宋体"/>
          <w:sz w:val="21"/>
          <w:szCs w:val="21"/>
        </w:rPr>
      </w:pPr>
      <w:bookmarkStart w:id="1582" w:name="bookmark1457"/>
      <w:bookmarkStart w:id="1583" w:name="_Toc256000400"/>
      <w:bookmarkStart w:id="1584" w:name="_Toc8963"/>
      <w:bookmarkStart w:id="1585" w:name="_Toc31099"/>
      <w:bookmarkStart w:id="1586" w:name="_Toc256000150"/>
      <w:bookmarkStart w:id="1587" w:name="_Toc15725"/>
      <w:bookmarkStart w:id="1588" w:name="_Toc31316"/>
      <w:bookmarkStart w:id="1589" w:name="bookmark1455"/>
      <w:bookmarkStart w:id="1590" w:name="bookmark1456"/>
      <w:r>
        <w:rPr>
          <w:rFonts w:ascii="宋体" w:hAnsi="宋体" w:cs="宋体"/>
          <w:sz w:val="21"/>
          <w:szCs w:val="21"/>
        </w:rPr>
        <w:t>20.</w:t>
      </w:r>
      <w:r>
        <w:rPr>
          <w:rFonts w:hint="eastAsia" w:ascii="宋体" w:hAnsi="宋体" w:cs="宋体"/>
          <w:sz w:val="21"/>
          <w:szCs w:val="21"/>
        </w:rPr>
        <w:t>保险</w:t>
      </w:r>
      <w:bookmarkEnd w:id="1582"/>
      <w:bookmarkEnd w:id="1583"/>
      <w:bookmarkEnd w:id="1584"/>
      <w:bookmarkEnd w:id="1585"/>
      <w:bookmarkEnd w:id="1586"/>
      <w:bookmarkEnd w:id="1587"/>
      <w:bookmarkEnd w:id="1588"/>
    </w:p>
    <w:p w14:paraId="0E184E8A">
      <w:pPr>
        <w:pStyle w:val="318"/>
        <w:spacing w:line="360" w:lineRule="auto"/>
        <w:rPr>
          <w:rFonts w:ascii="宋体" w:cs="宋体"/>
          <w:sz w:val="21"/>
          <w:szCs w:val="21"/>
        </w:rPr>
      </w:pPr>
      <w:bookmarkStart w:id="1591" w:name="_Toc429"/>
      <w:bookmarkStart w:id="1592" w:name="_Toc7867"/>
      <w:bookmarkStart w:id="1593" w:name="bookmark1458"/>
      <w:bookmarkStart w:id="1594" w:name="_Toc16520"/>
      <w:bookmarkStart w:id="1595" w:name="_Toc15571"/>
      <w:bookmarkStart w:id="1596" w:name="_Toc256000401"/>
      <w:bookmarkStart w:id="1597" w:name="_Toc256000151"/>
      <w:r>
        <w:rPr>
          <w:rFonts w:ascii="宋体" w:hAnsi="宋体" w:cs="宋体"/>
          <w:sz w:val="21"/>
          <w:szCs w:val="21"/>
        </w:rPr>
        <w:t>20.1</w:t>
      </w:r>
      <w:r>
        <w:rPr>
          <w:rFonts w:hint="eastAsia" w:ascii="宋体" w:hAnsi="宋体" w:cs="宋体"/>
          <w:sz w:val="21"/>
          <w:szCs w:val="21"/>
        </w:rPr>
        <w:t>工程保险</w:t>
      </w:r>
      <w:bookmarkEnd w:id="1589"/>
      <w:bookmarkEnd w:id="1590"/>
      <w:bookmarkEnd w:id="1591"/>
      <w:bookmarkEnd w:id="1592"/>
      <w:bookmarkEnd w:id="1593"/>
      <w:bookmarkEnd w:id="1594"/>
      <w:bookmarkEnd w:id="1595"/>
      <w:bookmarkEnd w:id="1596"/>
      <w:bookmarkEnd w:id="1597"/>
    </w:p>
    <w:p w14:paraId="0BD63268">
      <w:pPr>
        <w:pStyle w:val="319"/>
        <w:spacing w:after="120"/>
        <w:ind w:firstLine="440"/>
        <w:rPr>
          <w:rFonts w:cs="Times New Roman"/>
          <w:sz w:val="21"/>
          <w:szCs w:val="21"/>
        </w:rPr>
      </w:pPr>
      <w:r>
        <w:rPr>
          <w:rFonts w:hint="eastAsia"/>
          <w:sz w:val="21"/>
          <w:szCs w:val="21"/>
        </w:rPr>
        <w:t>除专用合同条款另有约定外，承包人应以发包人和承包人的共同名义向双方同意的保险人投保建筑工程一切险、安装工程一切险。其具体的投保内容、保险金额、保险费率、</w:t>
      </w:r>
      <w:r>
        <w:rPr>
          <w:sz w:val="21"/>
          <w:szCs w:val="21"/>
        </w:rPr>
        <w:t xml:space="preserve"> </w:t>
      </w:r>
      <w:r>
        <w:rPr>
          <w:rFonts w:hint="eastAsia"/>
          <w:sz w:val="21"/>
          <w:szCs w:val="21"/>
        </w:rPr>
        <w:t>保险期限等有关内容在专用合同条款中约定。</w:t>
      </w:r>
    </w:p>
    <w:p w14:paraId="3557115E">
      <w:pPr>
        <w:pStyle w:val="318"/>
        <w:spacing w:line="360" w:lineRule="auto"/>
        <w:rPr>
          <w:rFonts w:ascii="宋体" w:cs="宋体"/>
          <w:sz w:val="21"/>
          <w:szCs w:val="21"/>
        </w:rPr>
      </w:pPr>
      <w:bookmarkStart w:id="1598" w:name="_Toc6625"/>
      <w:bookmarkStart w:id="1599" w:name="bookmark1459"/>
      <w:bookmarkStart w:id="1600" w:name="_Toc932"/>
      <w:bookmarkStart w:id="1601" w:name="bookmark1461"/>
      <w:bookmarkStart w:id="1602" w:name="_Toc12206"/>
      <w:bookmarkStart w:id="1603" w:name="_Toc256000402"/>
      <w:bookmarkStart w:id="1604" w:name="_Toc19236"/>
      <w:bookmarkStart w:id="1605" w:name="bookmark1460"/>
      <w:bookmarkStart w:id="1606" w:name="_Toc256000152"/>
      <w:r>
        <w:rPr>
          <w:rFonts w:ascii="宋体" w:hAnsi="宋体" w:cs="宋体"/>
          <w:sz w:val="21"/>
          <w:szCs w:val="21"/>
        </w:rPr>
        <w:t>20.2</w:t>
      </w:r>
      <w:r>
        <w:rPr>
          <w:rFonts w:hint="eastAsia" w:ascii="宋体" w:hAnsi="宋体" w:cs="宋体"/>
          <w:sz w:val="21"/>
          <w:szCs w:val="21"/>
        </w:rPr>
        <w:t>人员工伤事故的保险</w:t>
      </w:r>
      <w:bookmarkEnd w:id="1598"/>
      <w:bookmarkEnd w:id="1599"/>
      <w:bookmarkEnd w:id="1600"/>
      <w:bookmarkEnd w:id="1601"/>
      <w:bookmarkEnd w:id="1602"/>
      <w:bookmarkEnd w:id="1603"/>
      <w:bookmarkEnd w:id="1604"/>
      <w:bookmarkEnd w:id="1605"/>
      <w:bookmarkEnd w:id="1606"/>
    </w:p>
    <w:p w14:paraId="7AA4180F">
      <w:pPr>
        <w:pStyle w:val="319"/>
        <w:tabs>
          <w:tab w:val="left" w:pos="878"/>
        </w:tabs>
        <w:ind w:left="440" w:firstLine="0"/>
        <w:rPr>
          <w:rFonts w:cs="Times New Roman"/>
          <w:sz w:val="21"/>
          <w:szCs w:val="21"/>
        </w:rPr>
      </w:pPr>
      <w:bookmarkStart w:id="1607" w:name="bookmark1462"/>
      <w:bookmarkEnd w:id="1607"/>
      <w:r>
        <w:rPr>
          <w:sz w:val="21"/>
          <w:szCs w:val="21"/>
          <w:lang w:val="en-US"/>
        </w:rPr>
        <w:t>20.2.</w:t>
      </w:r>
      <w:r>
        <w:rPr>
          <w:sz w:val="21"/>
          <w:szCs w:val="21"/>
        </w:rPr>
        <w:t>1</w:t>
      </w:r>
      <w:r>
        <w:rPr>
          <w:rFonts w:hint="eastAsia"/>
          <w:sz w:val="21"/>
          <w:szCs w:val="21"/>
        </w:rPr>
        <w:t>承包人员工伤事故的保险</w:t>
      </w:r>
    </w:p>
    <w:p w14:paraId="155FCC98">
      <w:pPr>
        <w:pStyle w:val="319"/>
        <w:ind w:firstLine="440"/>
        <w:rPr>
          <w:rFonts w:cs="Times New Roman"/>
          <w:sz w:val="21"/>
          <w:szCs w:val="21"/>
        </w:rPr>
      </w:pPr>
      <w:r>
        <w:rPr>
          <w:rFonts w:hint="eastAsia"/>
          <w:sz w:val="21"/>
          <w:szCs w:val="21"/>
        </w:rPr>
        <w:t>承包人应依照有关法律规定参加工伤保险，为其履行合同所雇佣的全部人员，缴纳工</w:t>
      </w:r>
      <w:r>
        <w:rPr>
          <w:sz w:val="21"/>
          <w:szCs w:val="21"/>
        </w:rPr>
        <w:t xml:space="preserve"> </w:t>
      </w:r>
      <w:r>
        <w:rPr>
          <w:rFonts w:hint="eastAsia"/>
          <w:sz w:val="21"/>
          <w:szCs w:val="21"/>
        </w:rPr>
        <w:t>伤保险费，并要求其分包人也进行此项保险。</w:t>
      </w:r>
    </w:p>
    <w:p w14:paraId="678D8289">
      <w:pPr>
        <w:pStyle w:val="319"/>
        <w:ind w:firstLine="440"/>
        <w:rPr>
          <w:rFonts w:cs="Times New Roman"/>
          <w:sz w:val="21"/>
          <w:szCs w:val="21"/>
        </w:rPr>
      </w:pPr>
      <w:r>
        <w:rPr>
          <w:sz w:val="21"/>
          <w:szCs w:val="21"/>
          <w:lang w:val="en-US"/>
        </w:rPr>
        <w:t>20.2.</w:t>
      </w:r>
      <w:r>
        <w:rPr>
          <w:sz w:val="21"/>
          <w:szCs w:val="21"/>
        </w:rPr>
        <w:t>2</w:t>
      </w:r>
      <w:r>
        <w:rPr>
          <w:rFonts w:hint="eastAsia"/>
          <w:sz w:val="21"/>
          <w:szCs w:val="21"/>
        </w:rPr>
        <w:t>发包人员工伤事故的保险</w:t>
      </w:r>
    </w:p>
    <w:p w14:paraId="549CAD90">
      <w:pPr>
        <w:pStyle w:val="319"/>
        <w:spacing w:after="120"/>
        <w:ind w:firstLine="440"/>
        <w:rPr>
          <w:rFonts w:cs="Times New Roman"/>
          <w:sz w:val="21"/>
          <w:szCs w:val="21"/>
        </w:rPr>
      </w:pPr>
      <w:r>
        <w:rPr>
          <w:rFonts w:hint="eastAsia"/>
          <w:sz w:val="21"/>
          <w:szCs w:val="21"/>
        </w:rPr>
        <w:t>发包人应依照有关法律规定参加工伤保险，为其现场机构雇佣的全部人员，缴纳工伤保险费，并要求其监理人也进行此项保险。</w:t>
      </w:r>
    </w:p>
    <w:p w14:paraId="2FC71159">
      <w:pPr>
        <w:pStyle w:val="318"/>
        <w:spacing w:line="360" w:lineRule="auto"/>
        <w:rPr>
          <w:rFonts w:ascii="宋体" w:cs="宋体"/>
          <w:sz w:val="21"/>
          <w:szCs w:val="21"/>
        </w:rPr>
      </w:pPr>
      <w:bookmarkStart w:id="1608" w:name="_Toc256000153"/>
      <w:bookmarkStart w:id="1609" w:name="_Toc21916"/>
      <w:bookmarkStart w:id="1610" w:name="_Toc9146"/>
      <w:bookmarkStart w:id="1611" w:name="_Toc256000403"/>
      <w:bookmarkStart w:id="1612" w:name="bookmark1464"/>
      <w:bookmarkStart w:id="1613" w:name="bookmark1463"/>
      <w:bookmarkStart w:id="1614" w:name="_Toc24830"/>
      <w:bookmarkStart w:id="1615" w:name="_Toc23979"/>
      <w:bookmarkStart w:id="1616" w:name="bookmark1465"/>
      <w:r>
        <w:rPr>
          <w:rFonts w:ascii="宋体" w:hAnsi="宋体" w:cs="宋体"/>
          <w:sz w:val="21"/>
          <w:szCs w:val="21"/>
        </w:rPr>
        <w:t>20.3</w:t>
      </w:r>
      <w:r>
        <w:rPr>
          <w:rFonts w:hint="eastAsia" w:ascii="宋体" w:hAnsi="宋体" w:cs="宋体"/>
          <w:sz w:val="21"/>
          <w:szCs w:val="21"/>
        </w:rPr>
        <w:t>人身意外伤害险</w:t>
      </w:r>
      <w:bookmarkEnd w:id="1608"/>
      <w:bookmarkEnd w:id="1609"/>
      <w:bookmarkEnd w:id="1610"/>
      <w:bookmarkEnd w:id="1611"/>
      <w:bookmarkEnd w:id="1612"/>
      <w:bookmarkEnd w:id="1613"/>
      <w:bookmarkEnd w:id="1614"/>
      <w:bookmarkEnd w:id="1615"/>
      <w:bookmarkEnd w:id="1616"/>
    </w:p>
    <w:p w14:paraId="73461AD4">
      <w:pPr>
        <w:pStyle w:val="319"/>
        <w:ind w:firstLine="440"/>
        <w:rPr>
          <w:rFonts w:cs="Times New Roman"/>
          <w:sz w:val="21"/>
          <w:szCs w:val="21"/>
        </w:rPr>
      </w:pPr>
      <w:r>
        <w:rPr>
          <w:sz w:val="21"/>
          <w:szCs w:val="21"/>
          <w:lang w:val="en-US"/>
        </w:rPr>
        <w:t>20.3.1</w:t>
      </w:r>
      <w:r>
        <w:rPr>
          <w:rFonts w:hint="eastAsia"/>
          <w:sz w:val="21"/>
          <w:szCs w:val="21"/>
        </w:rPr>
        <w:t>发包人应在整个施工期间为其现场机构雇用的全部人员，投保人身意外伤害险，缴纳保险费，并要求其监理人也进行此项保险。</w:t>
      </w:r>
    </w:p>
    <w:p w14:paraId="27EF8F94">
      <w:pPr>
        <w:pStyle w:val="319"/>
        <w:spacing w:after="120"/>
        <w:ind w:firstLine="440"/>
        <w:rPr>
          <w:rFonts w:cs="Times New Roman"/>
          <w:sz w:val="21"/>
          <w:szCs w:val="21"/>
        </w:rPr>
      </w:pPr>
      <w:r>
        <w:rPr>
          <w:sz w:val="21"/>
          <w:szCs w:val="21"/>
          <w:lang w:val="en-US"/>
        </w:rPr>
        <w:t>20.3.2</w:t>
      </w:r>
      <w:r>
        <w:rPr>
          <w:rFonts w:hint="eastAsia"/>
          <w:sz w:val="21"/>
          <w:szCs w:val="21"/>
        </w:rPr>
        <w:t>承包人应在整个施工期间为其现场机构雇用的全部人员，投保人身意外伤害险，缴纳保险费，并要求其分包人也进行此项保险。</w:t>
      </w:r>
    </w:p>
    <w:p w14:paraId="16F6D8D2">
      <w:pPr>
        <w:pStyle w:val="318"/>
        <w:spacing w:line="360" w:lineRule="auto"/>
        <w:rPr>
          <w:rFonts w:ascii="宋体" w:cs="宋体"/>
          <w:sz w:val="21"/>
          <w:szCs w:val="21"/>
        </w:rPr>
      </w:pPr>
      <w:bookmarkStart w:id="1617" w:name="_Toc23900"/>
      <w:bookmarkStart w:id="1618" w:name="_Toc15319"/>
      <w:bookmarkStart w:id="1619" w:name="_Toc256000154"/>
      <w:bookmarkStart w:id="1620" w:name="_Toc10666"/>
      <w:bookmarkStart w:id="1621" w:name="_Toc10679"/>
      <w:bookmarkStart w:id="1622" w:name="bookmark1467"/>
      <w:bookmarkStart w:id="1623" w:name="bookmark1468"/>
      <w:bookmarkStart w:id="1624" w:name="_Toc256000404"/>
      <w:bookmarkStart w:id="1625" w:name="bookmark1466"/>
      <w:r>
        <w:rPr>
          <w:rFonts w:ascii="宋体" w:hAnsi="宋体" w:cs="宋体"/>
          <w:sz w:val="21"/>
          <w:szCs w:val="21"/>
        </w:rPr>
        <w:t>20.4</w:t>
      </w:r>
      <w:r>
        <w:rPr>
          <w:rFonts w:hint="eastAsia" w:ascii="宋体" w:hAnsi="宋体" w:cs="宋体"/>
          <w:sz w:val="21"/>
          <w:szCs w:val="21"/>
        </w:rPr>
        <w:t>第三者责任险</w:t>
      </w:r>
      <w:bookmarkEnd w:id="1617"/>
      <w:bookmarkEnd w:id="1618"/>
      <w:bookmarkEnd w:id="1619"/>
      <w:bookmarkEnd w:id="1620"/>
      <w:bookmarkEnd w:id="1621"/>
      <w:bookmarkEnd w:id="1622"/>
      <w:bookmarkEnd w:id="1623"/>
      <w:bookmarkEnd w:id="1624"/>
      <w:bookmarkEnd w:id="1625"/>
    </w:p>
    <w:p w14:paraId="51BBA47D">
      <w:pPr>
        <w:pStyle w:val="319"/>
        <w:ind w:firstLine="440"/>
        <w:rPr>
          <w:rFonts w:cs="Times New Roman"/>
          <w:sz w:val="21"/>
          <w:szCs w:val="21"/>
        </w:rPr>
      </w:pPr>
      <w:r>
        <w:rPr>
          <w:sz w:val="21"/>
          <w:szCs w:val="21"/>
          <w:lang w:val="en-US"/>
        </w:rPr>
        <w:t>20.4.1</w:t>
      </w:r>
      <w:r>
        <w:rPr>
          <w:rFonts w:hint="eastAsia"/>
          <w:sz w:val="21"/>
          <w:szCs w:val="21"/>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8102A75">
      <w:pPr>
        <w:pStyle w:val="319"/>
        <w:spacing w:after="120"/>
        <w:ind w:firstLine="440"/>
        <w:rPr>
          <w:rFonts w:cs="Times New Roman"/>
          <w:sz w:val="21"/>
          <w:szCs w:val="21"/>
        </w:rPr>
      </w:pPr>
      <w:r>
        <w:rPr>
          <w:sz w:val="21"/>
          <w:szCs w:val="21"/>
          <w:lang w:val="en-US"/>
        </w:rPr>
        <w:t>20.4.2</w:t>
      </w:r>
      <w:r>
        <w:rPr>
          <w:rFonts w:hint="eastAsia"/>
          <w:sz w:val="21"/>
          <w:szCs w:val="21"/>
        </w:rPr>
        <w:t>在缺陷责任期终止证书颁发前，承包人应以承包人和发包人的共同名义，投保第</w:t>
      </w:r>
      <w:r>
        <w:rPr>
          <w:sz w:val="21"/>
          <w:szCs w:val="21"/>
          <w:lang w:val="en-US"/>
        </w:rPr>
        <w:t>20. 4.1</w:t>
      </w:r>
      <w:r>
        <w:rPr>
          <w:rFonts w:hint="eastAsia"/>
          <w:sz w:val="21"/>
          <w:szCs w:val="21"/>
        </w:rPr>
        <w:t>项约定的第三者责任险，其保险费率、保险金额等有关内容在专用合同条款中约定。</w:t>
      </w:r>
    </w:p>
    <w:p w14:paraId="65CFFC2F">
      <w:pPr>
        <w:pStyle w:val="318"/>
        <w:spacing w:line="360" w:lineRule="auto"/>
        <w:rPr>
          <w:rFonts w:ascii="宋体" w:cs="宋体"/>
          <w:sz w:val="21"/>
          <w:szCs w:val="21"/>
        </w:rPr>
      </w:pPr>
      <w:bookmarkStart w:id="1626" w:name="_Toc18039"/>
      <w:bookmarkStart w:id="1627" w:name="_Toc15855"/>
      <w:bookmarkStart w:id="1628" w:name="bookmark1470"/>
      <w:bookmarkStart w:id="1629" w:name="bookmark1469"/>
      <w:bookmarkStart w:id="1630" w:name="_Toc16621"/>
      <w:bookmarkStart w:id="1631" w:name="_Toc256000405"/>
      <w:bookmarkStart w:id="1632" w:name="_Toc2451"/>
      <w:bookmarkStart w:id="1633" w:name="bookmark1471"/>
      <w:bookmarkStart w:id="1634" w:name="_Toc256000155"/>
      <w:r>
        <w:rPr>
          <w:rFonts w:ascii="宋体" w:hAnsi="宋体" w:cs="宋体"/>
          <w:sz w:val="21"/>
          <w:szCs w:val="21"/>
        </w:rPr>
        <w:t>20.5</w:t>
      </w:r>
      <w:r>
        <w:rPr>
          <w:rFonts w:hint="eastAsia" w:ascii="宋体" w:hAnsi="宋体" w:cs="宋体"/>
          <w:sz w:val="21"/>
          <w:szCs w:val="21"/>
        </w:rPr>
        <w:t>其他保险</w:t>
      </w:r>
      <w:bookmarkEnd w:id="1626"/>
      <w:bookmarkEnd w:id="1627"/>
      <w:bookmarkEnd w:id="1628"/>
      <w:bookmarkEnd w:id="1629"/>
      <w:bookmarkEnd w:id="1630"/>
      <w:bookmarkEnd w:id="1631"/>
      <w:bookmarkEnd w:id="1632"/>
      <w:bookmarkEnd w:id="1633"/>
      <w:bookmarkEnd w:id="1634"/>
    </w:p>
    <w:p w14:paraId="2A411E51">
      <w:pPr>
        <w:pStyle w:val="319"/>
        <w:spacing w:after="120"/>
        <w:ind w:firstLine="440"/>
        <w:rPr>
          <w:rFonts w:cs="Times New Roman"/>
          <w:sz w:val="21"/>
          <w:szCs w:val="21"/>
        </w:rPr>
      </w:pPr>
      <w:r>
        <w:rPr>
          <w:rFonts w:hint="eastAsia"/>
          <w:sz w:val="21"/>
          <w:szCs w:val="21"/>
        </w:rPr>
        <w:t>除专用合同条款另有约定外，承包人应为其施工设备、进场的材料和工程设备等办理保险。</w:t>
      </w:r>
    </w:p>
    <w:p w14:paraId="61033DD9">
      <w:pPr>
        <w:pStyle w:val="318"/>
        <w:spacing w:line="360" w:lineRule="auto"/>
        <w:rPr>
          <w:rFonts w:ascii="宋体" w:cs="宋体"/>
          <w:sz w:val="21"/>
          <w:szCs w:val="21"/>
        </w:rPr>
      </w:pPr>
      <w:bookmarkStart w:id="1635" w:name="_Toc30983"/>
      <w:bookmarkStart w:id="1636" w:name="_Toc2669"/>
      <w:bookmarkStart w:id="1637" w:name="bookmark1473"/>
      <w:bookmarkStart w:id="1638" w:name="bookmark1472"/>
      <w:bookmarkStart w:id="1639" w:name="bookmark1474"/>
      <w:bookmarkStart w:id="1640" w:name="_Toc256000156"/>
      <w:bookmarkStart w:id="1641" w:name="_Toc20306"/>
      <w:bookmarkStart w:id="1642" w:name="_Toc9403"/>
      <w:bookmarkStart w:id="1643" w:name="_Toc256000406"/>
      <w:r>
        <w:rPr>
          <w:rFonts w:ascii="宋体" w:hAnsi="宋体" w:cs="宋体"/>
          <w:sz w:val="21"/>
          <w:szCs w:val="21"/>
        </w:rPr>
        <w:t>20.6</w:t>
      </w:r>
      <w:r>
        <w:rPr>
          <w:rFonts w:hint="eastAsia" w:ascii="宋体" w:hAnsi="宋体" w:cs="宋体"/>
          <w:sz w:val="21"/>
          <w:szCs w:val="21"/>
        </w:rPr>
        <w:t>对各项保险的一般要求</w:t>
      </w:r>
      <w:bookmarkEnd w:id="1635"/>
      <w:bookmarkEnd w:id="1636"/>
      <w:bookmarkEnd w:id="1637"/>
      <w:bookmarkEnd w:id="1638"/>
      <w:bookmarkEnd w:id="1639"/>
      <w:bookmarkEnd w:id="1640"/>
      <w:bookmarkEnd w:id="1641"/>
      <w:bookmarkEnd w:id="1642"/>
      <w:bookmarkEnd w:id="1643"/>
    </w:p>
    <w:p w14:paraId="4E5EDF9D">
      <w:pPr>
        <w:pStyle w:val="320"/>
        <w:spacing w:after="0" w:line="360" w:lineRule="auto"/>
        <w:ind w:firstLine="442"/>
        <w:rPr>
          <w:rFonts w:ascii="宋体" w:cs="宋体"/>
          <w:sz w:val="21"/>
          <w:szCs w:val="21"/>
        </w:rPr>
      </w:pPr>
      <w:r>
        <w:rPr>
          <w:rFonts w:ascii="宋体" w:hAnsi="宋体" w:cs="宋体"/>
          <w:sz w:val="21"/>
          <w:szCs w:val="21"/>
        </w:rPr>
        <w:t>20. 6.</w:t>
      </w:r>
      <w:r>
        <w:rPr>
          <w:rFonts w:ascii="宋体" w:hAnsi="宋体" w:cs="宋体"/>
          <w:sz w:val="21"/>
          <w:szCs w:val="21"/>
          <w:lang w:val="zh-CN"/>
        </w:rPr>
        <w:t>1</w:t>
      </w:r>
      <w:r>
        <w:rPr>
          <w:rFonts w:hint="eastAsia" w:ascii="宋体" w:hAnsi="宋体" w:cs="宋体"/>
          <w:sz w:val="21"/>
          <w:szCs w:val="21"/>
          <w:lang w:val="zh-CN"/>
        </w:rPr>
        <w:t>保险凭证</w:t>
      </w:r>
    </w:p>
    <w:p w14:paraId="2324268C">
      <w:pPr>
        <w:pStyle w:val="319"/>
        <w:ind w:firstLine="442"/>
        <w:rPr>
          <w:rFonts w:cs="Times New Roman"/>
          <w:sz w:val="21"/>
          <w:szCs w:val="21"/>
        </w:rPr>
      </w:pPr>
      <w:r>
        <w:rPr>
          <w:rFonts w:hint="eastAsia"/>
          <w:sz w:val="21"/>
          <w:szCs w:val="21"/>
        </w:rPr>
        <w:t>承包人应在专用合同条款约定的期限内向发包人提交各项保险生效的证据和保险单副本，保险单必须与专用合同条款约定的条件保持一致。</w:t>
      </w:r>
    </w:p>
    <w:p w14:paraId="7AC95955">
      <w:pPr>
        <w:pStyle w:val="319"/>
        <w:ind w:firstLine="442"/>
        <w:rPr>
          <w:rFonts w:cs="Times New Roman"/>
          <w:sz w:val="21"/>
          <w:szCs w:val="21"/>
        </w:rPr>
      </w:pPr>
      <w:r>
        <w:rPr>
          <w:sz w:val="21"/>
          <w:szCs w:val="21"/>
          <w:lang w:val="en-US"/>
        </w:rPr>
        <w:t>20.6.2</w:t>
      </w:r>
      <w:r>
        <w:rPr>
          <w:rFonts w:hint="eastAsia"/>
          <w:sz w:val="21"/>
          <w:szCs w:val="21"/>
        </w:rPr>
        <w:t>保险合同条款的变动</w:t>
      </w:r>
    </w:p>
    <w:p w14:paraId="229EAED4">
      <w:pPr>
        <w:pStyle w:val="319"/>
        <w:spacing w:after="120"/>
        <w:ind w:firstLine="442"/>
        <w:rPr>
          <w:rFonts w:cs="Times New Roman"/>
          <w:sz w:val="21"/>
          <w:szCs w:val="21"/>
        </w:rPr>
      </w:pPr>
      <w:r>
        <w:rPr>
          <w:rFonts w:hint="eastAsia"/>
          <w:sz w:val="21"/>
          <w:szCs w:val="21"/>
        </w:rPr>
        <w:t>承包人需要变动保险合同条款时，应事先征得发包人同意，并通知监理人。保险人作出变动的，承包人应在收到保险人通知后立即通知发包人和监理人。</w:t>
      </w:r>
    </w:p>
    <w:p w14:paraId="0476070A">
      <w:pPr>
        <w:pStyle w:val="320"/>
        <w:spacing w:after="0" w:line="360" w:lineRule="auto"/>
        <w:ind w:firstLine="442"/>
        <w:rPr>
          <w:rFonts w:ascii="宋体" w:cs="宋体"/>
          <w:sz w:val="21"/>
          <w:szCs w:val="21"/>
        </w:rPr>
      </w:pPr>
      <w:r>
        <w:rPr>
          <w:rFonts w:ascii="宋体" w:hAnsi="宋体" w:cs="宋体"/>
          <w:sz w:val="21"/>
          <w:szCs w:val="21"/>
        </w:rPr>
        <w:t>20.6.</w:t>
      </w:r>
      <w:r>
        <w:rPr>
          <w:rFonts w:ascii="宋体" w:hAnsi="宋体" w:cs="宋体"/>
          <w:sz w:val="21"/>
          <w:szCs w:val="21"/>
          <w:lang w:val="zh-CN"/>
        </w:rPr>
        <w:t>3</w:t>
      </w:r>
      <w:r>
        <w:rPr>
          <w:rFonts w:hint="eastAsia" w:ascii="宋体" w:hAnsi="宋体" w:cs="宋体"/>
          <w:sz w:val="21"/>
          <w:szCs w:val="21"/>
          <w:lang w:val="zh-CN"/>
        </w:rPr>
        <w:t>持续保险</w:t>
      </w:r>
    </w:p>
    <w:p w14:paraId="25E59C01">
      <w:pPr>
        <w:pStyle w:val="319"/>
        <w:ind w:firstLine="442"/>
        <w:rPr>
          <w:rFonts w:cs="Times New Roman"/>
          <w:sz w:val="21"/>
          <w:szCs w:val="21"/>
        </w:rPr>
      </w:pPr>
      <w:r>
        <w:rPr>
          <w:rFonts w:hint="eastAsia"/>
          <w:sz w:val="21"/>
          <w:szCs w:val="21"/>
        </w:rPr>
        <w:t>承包人应与保险人保持联系，使保险人能够随时了解工程实施中的变动，并确保按保险合同条款要求持续保险。</w:t>
      </w:r>
    </w:p>
    <w:p w14:paraId="6FADA873">
      <w:pPr>
        <w:pStyle w:val="319"/>
        <w:ind w:firstLine="442"/>
        <w:rPr>
          <w:rFonts w:cs="Times New Roman"/>
          <w:sz w:val="21"/>
          <w:szCs w:val="21"/>
        </w:rPr>
      </w:pPr>
      <w:r>
        <w:rPr>
          <w:sz w:val="21"/>
          <w:szCs w:val="21"/>
          <w:lang w:val="en-US"/>
        </w:rPr>
        <w:t>20.6.4</w:t>
      </w:r>
      <w:r>
        <w:rPr>
          <w:rFonts w:hint="eastAsia"/>
          <w:sz w:val="21"/>
          <w:szCs w:val="21"/>
        </w:rPr>
        <w:t>保险金不足的补偿</w:t>
      </w:r>
    </w:p>
    <w:p w14:paraId="2A63902D">
      <w:pPr>
        <w:pStyle w:val="319"/>
        <w:spacing w:after="120"/>
        <w:ind w:firstLine="442"/>
        <w:rPr>
          <w:rFonts w:cs="Times New Roman"/>
          <w:sz w:val="21"/>
          <w:szCs w:val="21"/>
        </w:rPr>
      </w:pPr>
      <w:r>
        <w:rPr>
          <w:rFonts w:hint="eastAsia"/>
          <w:sz w:val="21"/>
          <w:szCs w:val="21"/>
        </w:rPr>
        <w:t>保险金不足以补偿损失时，应由承包人和发包人各自负责补偿的范围和金额在专用合</w:t>
      </w:r>
      <w:r>
        <w:rPr>
          <w:sz w:val="21"/>
          <w:szCs w:val="21"/>
        </w:rPr>
        <w:t xml:space="preserve"> </w:t>
      </w:r>
      <w:r>
        <w:rPr>
          <w:rFonts w:hint="eastAsia"/>
          <w:sz w:val="21"/>
          <w:szCs w:val="21"/>
        </w:rPr>
        <w:t>同条款中约定。</w:t>
      </w:r>
    </w:p>
    <w:p w14:paraId="29035305">
      <w:pPr>
        <w:pStyle w:val="319"/>
        <w:ind w:firstLine="442"/>
        <w:rPr>
          <w:rFonts w:cs="Times New Roman"/>
          <w:sz w:val="21"/>
          <w:szCs w:val="21"/>
        </w:rPr>
      </w:pPr>
      <w:r>
        <w:rPr>
          <w:sz w:val="21"/>
          <w:szCs w:val="21"/>
          <w:lang w:val="en-US" w:eastAsia="en-US"/>
        </w:rPr>
        <w:t>20. 6.</w:t>
      </w:r>
      <w:r>
        <w:rPr>
          <w:sz w:val="21"/>
          <w:szCs w:val="21"/>
        </w:rPr>
        <w:t>5</w:t>
      </w:r>
      <w:r>
        <w:rPr>
          <w:rFonts w:hint="eastAsia"/>
          <w:sz w:val="21"/>
          <w:szCs w:val="21"/>
        </w:rPr>
        <w:t>未按约定投保的补救</w:t>
      </w:r>
    </w:p>
    <w:p w14:paraId="24243258">
      <w:pPr>
        <w:pStyle w:val="319"/>
        <w:numPr>
          <w:ilvl w:val="0"/>
          <w:numId w:val="22"/>
        </w:numPr>
        <w:tabs>
          <w:tab w:val="left" w:pos="903"/>
        </w:tabs>
        <w:ind w:firstLine="440"/>
        <w:rPr>
          <w:rFonts w:cs="Times New Roman"/>
          <w:sz w:val="21"/>
          <w:szCs w:val="21"/>
        </w:rPr>
      </w:pPr>
      <w:bookmarkStart w:id="1644" w:name="bookmark1475"/>
      <w:bookmarkEnd w:id="1644"/>
      <w:r>
        <w:rPr>
          <w:rFonts w:hint="eastAsia"/>
          <w:sz w:val="21"/>
          <w:szCs w:val="21"/>
        </w:rPr>
        <w:t>由于负有投保义务的一方当事人未按合同约定办理保险，或未能使保险持续有效的，另一方当事人可代为办理，所需费用由对方当事人承担。</w:t>
      </w:r>
    </w:p>
    <w:p w14:paraId="3A1BA5EA">
      <w:pPr>
        <w:pStyle w:val="319"/>
        <w:numPr>
          <w:ilvl w:val="0"/>
          <w:numId w:val="22"/>
        </w:numPr>
        <w:tabs>
          <w:tab w:val="left" w:pos="915"/>
        </w:tabs>
        <w:ind w:firstLine="440"/>
        <w:rPr>
          <w:rFonts w:cs="Times New Roman"/>
          <w:sz w:val="21"/>
          <w:szCs w:val="21"/>
        </w:rPr>
      </w:pPr>
      <w:bookmarkStart w:id="1645" w:name="bookmark1476"/>
      <w:bookmarkEnd w:id="1645"/>
      <w:r>
        <w:rPr>
          <w:rFonts w:hint="eastAsia"/>
          <w:sz w:val="21"/>
          <w:szCs w:val="21"/>
        </w:rPr>
        <w:t>由于负有投保义务的一方当事人未按合同约定办理某项保险，导致受益人未能得到保险人的赔偿，原应从该项保险得到的保险金应由负有投保义务的一方当事人支付。</w:t>
      </w:r>
    </w:p>
    <w:p w14:paraId="10BDE1C2">
      <w:pPr>
        <w:pStyle w:val="320"/>
        <w:spacing w:after="0" w:line="360" w:lineRule="auto"/>
        <w:rPr>
          <w:rFonts w:ascii="宋体" w:cs="宋体"/>
          <w:sz w:val="21"/>
          <w:szCs w:val="21"/>
        </w:rPr>
      </w:pPr>
      <w:r>
        <w:rPr>
          <w:rFonts w:ascii="宋体" w:hAnsi="宋体" w:cs="宋体"/>
          <w:sz w:val="21"/>
          <w:szCs w:val="21"/>
        </w:rPr>
        <w:t>20.6.6</w:t>
      </w:r>
      <w:r>
        <w:rPr>
          <w:rFonts w:hint="eastAsia" w:ascii="宋体" w:hAnsi="宋体" w:cs="宋体"/>
          <w:sz w:val="21"/>
          <w:szCs w:val="21"/>
          <w:lang w:val="zh-CN"/>
        </w:rPr>
        <w:t>报告义务</w:t>
      </w:r>
    </w:p>
    <w:p w14:paraId="3F941E5B">
      <w:pPr>
        <w:pStyle w:val="319"/>
        <w:spacing w:after="120"/>
        <w:ind w:firstLine="420"/>
        <w:rPr>
          <w:rFonts w:cs="Times New Roman"/>
          <w:sz w:val="21"/>
          <w:szCs w:val="21"/>
        </w:rPr>
      </w:pPr>
      <w:r>
        <w:rPr>
          <w:rFonts w:hint="eastAsia"/>
          <w:sz w:val="21"/>
          <w:szCs w:val="21"/>
        </w:rPr>
        <w:t>当保险事故发生时，投保人应按照保险单规定的条件和期限及时向保险人报告。</w:t>
      </w:r>
    </w:p>
    <w:p w14:paraId="4267C617">
      <w:pPr>
        <w:pStyle w:val="318"/>
        <w:spacing w:line="360" w:lineRule="auto"/>
        <w:rPr>
          <w:rFonts w:ascii="宋体" w:cs="宋体"/>
          <w:sz w:val="21"/>
          <w:szCs w:val="21"/>
        </w:rPr>
      </w:pPr>
      <w:bookmarkStart w:id="1646" w:name="bookmark1478"/>
      <w:bookmarkStart w:id="1647" w:name="_Toc256000407"/>
      <w:bookmarkStart w:id="1648" w:name="_Toc1749"/>
      <w:bookmarkStart w:id="1649" w:name="_Toc21222"/>
      <w:bookmarkStart w:id="1650" w:name="bookmark1477"/>
      <w:bookmarkStart w:id="1651" w:name="_Toc5829"/>
      <w:bookmarkStart w:id="1652" w:name="bookmark1479"/>
      <w:bookmarkStart w:id="1653" w:name="_Toc256000157"/>
      <w:bookmarkStart w:id="1654" w:name="_Toc12103"/>
      <w:r>
        <w:rPr>
          <w:rFonts w:ascii="宋体" w:hAnsi="宋体" w:cs="宋体"/>
          <w:sz w:val="21"/>
          <w:szCs w:val="21"/>
        </w:rPr>
        <w:t>20.7</w:t>
      </w:r>
      <w:r>
        <w:rPr>
          <w:rFonts w:hint="eastAsia" w:ascii="宋体" w:hAnsi="宋体" w:cs="宋体"/>
          <w:sz w:val="21"/>
          <w:szCs w:val="21"/>
        </w:rPr>
        <w:t>风险责任的转移</w:t>
      </w:r>
      <w:bookmarkEnd w:id="1646"/>
      <w:bookmarkEnd w:id="1647"/>
      <w:bookmarkEnd w:id="1648"/>
      <w:bookmarkEnd w:id="1649"/>
      <w:bookmarkEnd w:id="1650"/>
      <w:bookmarkEnd w:id="1651"/>
      <w:bookmarkEnd w:id="1652"/>
      <w:bookmarkEnd w:id="1653"/>
      <w:bookmarkEnd w:id="1654"/>
    </w:p>
    <w:p w14:paraId="1198D566">
      <w:pPr>
        <w:pStyle w:val="319"/>
        <w:spacing w:after="260"/>
        <w:ind w:firstLine="440"/>
        <w:rPr>
          <w:rFonts w:cs="Times New Roman"/>
          <w:sz w:val="21"/>
          <w:szCs w:val="21"/>
        </w:rPr>
      </w:pPr>
      <w:r>
        <w:rPr>
          <w:rFonts w:hint="eastAsia"/>
          <w:sz w:val="21"/>
          <w:szCs w:val="21"/>
        </w:rPr>
        <w:t>工程通过合同工程完工验收并移交给发包人后，原由承包人应承担的风险责任，以及保险的责任、权利和义务同时转移给发包人，但承包人在缺陷责任期</w:t>
      </w:r>
      <w:r>
        <w:rPr>
          <w:sz w:val="21"/>
          <w:szCs w:val="21"/>
        </w:rPr>
        <w:t>(</w:t>
      </w:r>
      <w:r>
        <w:rPr>
          <w:rFonts w:hint="eastAsia"/>
          <w:sz w:val="21"/>
          <w:szCs w:val="21"/>
        </w:rPr>
        <w:t>工程质量保修期</w:t>
      </w:r>
      <w:r>
        <w:rPr>
          <w:sz w:val="21"/>
          <w:szCs w:val="21"/>
        </w:rPr>
        <w:t xml:space="preserve">) </w:t>
      </w:r>
      <w:r>
        <w:rPr>
          <w:rFonts w:hint="eastAsia"/>
          <w:sz w:val="21"/>
          <w:szCs w:val="21"/>
        </w:rPr>
        <w:t>前造成损失和损坏情形除外</w:t>
      </w:r>
      <w:r>
        <w:rPr>
          <w:rFonts w:hint="eastAsia"/>
          <w:sz w:val="21"/>
          <w:szCs w:val="21"/>
          <w:lang w:val="en-US"/>
        </w:rPr>
        <w:t>。</w:t>
      </w:r>
    </w:p>
    <w:p w14:paraId="0B46D646">
      <w:pPr>
        <w:pStyle w:val="318"/>
        <w:spacing w:line="360" w:lineRule="auto"/>
        <w:rPr>
          <w:rFonts w:ascii="宋体" w:cs="宋体"/>
          <w:sz w:val="21"/>
          <w:szCs w:val="21"/>
        </w:rPr>
      </w:pPr>
      <w:bookmarkStart w:id="1655" w:name="_Toc24408"/>
      <w:bookmarkStart w:id="1656" w:name="bookmark1482"/>
      <w:bookmarkStart w:id="1657" w:name="bookmark1481"/>
      <w:bookmarkStart w:id="1658" w:name="_Toc256000158"/>
      <w:bookmarkStart w:id="1659" w:name="_Toc18430"/>
      <w:bookmarkStart w:id="1660" w:name="bookmark1480"/>
      <w:bookmarkStart w:id="1661" w:name="_Toc5879"/>
      <w:bookmarkStart w:id="1662" w:name="_Toc256000408"/>
      <w:bookmarkStart w:id="1663" w:name="_Toc30214"/>
      <w:r>
        <w:rPr>
          <w:rFonts w:ascii="宋体" w:hAnsi="宋体" w:cs="宋体"/>
          <w:sz w:val="21"/>
          <w:szCs w:val="21"/>
        </w:rPr>
        <w:t>21.</w:t>
      </w:r>
      <w:r>
        <w:rPr>
          <w:rFonts w:hint="eastAsia" w:ascii="宋体" w:hAnsi="宋体" w:cs="宋体"/>
          <w:sz w:val="21"/>
          <w:szCs w:val="21"/>
        </w:rPr>
        <w:t>不可抗力</w:t>
      </w:r>
      <w:bookmarkEnd w:id="1655"/>
      <w:bookmarkEnd w:id="1656"/>
      <w:bookmarkEnd w:id="1657"/>
      <w:bookmarkEnd w:id="1658"/>
      <w:bookmarkEnd w:id="1659"/>
      <w:bookmarkEnd w:id="1660"/>
      <w:bookmarkEnd w:id="1661"/>
      <w:bookmarkEnd w:id="1662"/>
      <w:bookmarkEnd w:id="1663"/>
    </w:p>
    <w:p w14:paraId="61D8B62D">
      <w:pPr>
        <w:pStyle w:val="318"/>
        <w:spacing w:line="360" w:lineRule="auto"/>
        <w:rPr>
          <w:rFonts w:ascii="宋体" w:cs="宋体"/>
          <w:sz w:val="21"/>
          <w:szCs w:val="21"/>
        </w:rPr>
      </w:pPr>
      <w:bookmarkStart w:id="1664" w:name="bookmark1483"/>
      <w:bookmarkStart w:id="1665" w:name="_Toc256000409"/>
      <w:bookmarkStart w:id="1666" w:name="bookmark1484"/>
      <w:bookmarkStart w:id="1667" w:name="bookmark1485"/>
      <w:bookmarkStart w:id="1668" w:name="_Toc11061"/>
      <w:bookmarkStart w:id="1669" w:name="_Toc15722"/>
      <w:bookmarkStart w:id="1670" w:name="_Toc15901"/>
      <w:bookmarkStart w:id="1671" w:name="_Toc18271"/>
      <w:bookmarkStart w:id="1672" w:name="_Toc256000159"/>
      <w:r>
        <w:rPr>
          <w:rFonts w:ascii="宋体" w:hAnsi="宋体" w:cs="宋体"/>
          <w:sz w:val="21"/>
          <w:szCs w:val="21"/>
        </w:rPr>
        <w:t>21.1</w:t>
      </w:r>
      <w:r>
        <w:rPr>
          <w:rFonts w:hint="eastAsia" w:ascii="宋体" w:hAnsi="宋体" w:cs="宋体"/>
          <w:sz w:val="21"/>
          <w:szCs w:val="21"/>
        </w:rPr>
        <w:t>不可抗力的确认</w:t>
      </w:r>
      <w:bookmarkEnd w:id="1664"/>
      <w:bookmarkEnd w:id="1665"/>
      <w:bookmarkEnd w:id="1666"/>
      <w:bookmarkEnd w:id="1667"/>
      <w:bookmarkEnd w:id="1668"/>
      <w:bookmarkEnd w:id="1669"/>
      <w:bookmarkEnd w:id="1670"/>
      <w:bookmarkEnd w:id="1671"/>
      <w:bookmarkEnd w:id="1672"/>
    </w:p>
    <w:p w14:paraId="079D2E04">
      <w:pPr>
        <w:pStyle w:val="319"/>
        <w:ind w:firstLine="440"/>
        <w:rPr>
          <w:rFonts w:cs="Times New Roman"/>
          <w:sz w:val="21"/>
          <w:szCs w:val="21"/>
        </w:rPr>
      </w:pPr>
      <w:r>
        <w:rPr>
          <w:sz w:val="21"/>
          <w:szCs w:val="21"/>
          <w:lang w:val="en-US"/>
        </w:rPr>
        <w:t>21.1.1</w:t>
      </w:r>
      <w:r>
        <w:rPr>
          <w:rFonts w:hint="eastAsia"/>
          <w:sz w:val="21"/>
          <w:szCs w:val="21"/>
        </w:rPr>
        <w:t>不可抗力是指承包人和发包人在订立合同时不可预见，在工程施工过程中不可避免发生并不能克服的自然灾害和社会性突发事件，如地震、海啸、瘟疫、水灾、骚乱、</w:t>
      </w:r>
      <w:r>
        <w:rPr>
          <w:sz w:val="21"/>
          <w:szCs w:val="21"/>
        </w:rPr>
        <w:t xml:space="preserve"> </w:t>
      </w:r>
      <w:r>
        <w:rPr>
          <w:rFonts w:hint="eastAsia"/>
          <w:sz w:val="21"/>
          <w:szCs w:val="21"/>
        </w:rPr>
        <w:t>暴动、战争和专用合同条款约定的其他情形。</w:t>
      </w:r>
    </w:p>
    <w:p w14:paraId="4C7EEA00">
      <w:pPr>
        <w:pStyle w:val="319"/>
        <w:spacing w:after="120"/>
        <w:ind w:firstLine="440"/>
        <w:rPr>
          <w:rFonts w:cs="Times New Roman"/>
          <w:sz w:val="21"/>
          <w:szCs w:val="21"/>
        </w:rPr>
      </w:pPr>
      <w:r>
        <w:rPr>
          <w:sz w:val="21"/>
          <w:szCs w:val="21"/>
          <w:lang w:val="en-US"/>
        </w:rPr>
        <w:t>21.1.2</w:t>
      </w:r>
      <w:r>
        <w:rPr>
          <w:rFonts w:hint="eastAsia"/>
          <w:sz w:val="21"/>
          <w:szCs w:val="21"/>
        </w:rPr>
        <w:t>不可抗力发生后，发包人和承包人应及时认真统计所造成的损失，收集不可抗力造成损失的证据。合同双方对是否属于不可抗力或其损失的意见不一致的，由监理人按第</w:t>
      </w:r>
      <w:r>
        <w:rPr>
          <w:sz w:val="21"/>
          <w:szCs w:val="21"/>
          <w:lang w:val="en-US"/>
        </w:rPr>
        <w:t xml:space="preserve">3. </w:t>
      </w:r>
      <w:r>
        <w:rPr>
          <w:sz w:val="21"/>
          <w:szCs w:val="21"/>
        </w:rPr>
        <w:t>5</w:t>
      </w:r>
      <w:r>
        <w:rPr>
          <w:rFonts w:hint="eastAsia"/>
          <w:sz w:val="21"/>
          <w:szCs w:val="21"/>
        </w:rPr>
        <w:t>款商定或确定。发生争议时，按第</w:t>
      </w:r>
      <w:r>
        <w:rPr>
          <w:sz w:val="21"/>
          <w:szCs w:val="21"/>
        </w:rPr>
        <w:t>24</w:t>
      </w:r>
      <w:r>
        <w:rPr>
          <w:rFonts w:hint="eastAsia"/>
          <w:sz w:val="21"/>
          <w:szCs w:val="21"/>
        </w:rPr>
        <w:t>条的约定办理。</w:t>
      </w:r>
    </w:p>
    <w:p w14:paraId="5B062099">
      <w:pPr>
        <w:pStyle w:val="318"/>
        <w:spacing w:line="360" w:lineRule="auto"/>
        <w:rPr>
          <w:rFonts w:ascii="宋体" w:cs="宋体"/>
          <w:sz w:val="21"/>
          <w:szCs w:val="21"/>
        </w:rPr>
      </w:pPr>
      <w:bookmarkStart w:id="1673" w:name="bookmark1486"/>
      <w:bookmarkStart w:id="1674" w:name="_Toc256000410"/>
      <w:bookmarkStart w:id="1675" w:name="_Toc28214"/>
      <w:bookmarkStart w:id="1676" w:name="_Toc2385"/>
      <w:bookmarkStart w:id="1677" w:name="bookmark1488"/>
      <w:bookmarkStart w:id="1678" w:name="_Toc18016"/>
      <w:bookmarkStart w:id="1679" w:name="_Toc256000160"/>
      <w:bookmarkStart w:id="1680" w:name="bookmark1487"/>
      <w:bookmarkStart w:id="1681" w:name="_Toc5372"/>
      <w:r>
        <w:rPr>
          <w:rFonts w:ascii="宋体" w:hAnsi="宋体" w:cs="宋体"/>
          <w:sz w:val="21"/>
          <w:szCs w:val="21"/>
        </w:rPr>
        <w:t>21.2</w:t>
      </w:r>
      <w:r>
        <w:rPr>
          <w:rFonts w:hint="eastAsia" w:ascii="宋体" w:hAnsi="宋体" w:cs="宋体"/>
          <w:sz w:val="21"/>
          <w:szCs w:val="21"/>
        </w:rPr>
        <w:t>不可抗力的通知</w:t>
      </w:r>
      <w:bookmarkEnd w:id="1673"/>
      <w:bookmarkEnd w:id="1674"/>
      <w:bookmarkEnd w:id="1675"/>
      <w:bookmarkEnd w:id="1676"/>
      <w:bookmarkEnd w:id="1677"/>
      <w:bookmarkEnd w:id="1678"/>
      <w:bookmarkEnd w:id="1679"/>
      <w:bookmarkEnd w:id="1680"/>
      <w:bookmarkEnd w:id="1681"/>
    </w:p>
    <w:p w14:paraId="37F91A34">
      <w:pPr>
        <w:pStyle w:val="319"/>
        <w:ind w:firstLine="440"/>
        <w:rPr>
          <w:rFonts w:cs="Times New Roman"/>
          <w:sz w:val="21"/>
          <w:szCs w:val="21"/>
        </w:rPr>
      </w:pPr>
      <w:r>
        <w:rPr>
          <w:sz w:val="21"/>
          <w:szCs w:val="21"/>
          <w:lang w:val="en-US"/>
        </w:rPr>
        <w:t>21.2.1</w:t>
      </w:r>
      <w:r>
        <w:rPr>
          <w:rFonts w:hint="eastAsia"/>
          <w:sz w:val="21"/>
          <w:szCs w:val="21"/>
        </w:rPr>
        <w:t>合同一方当事人遇到不可抗力事件，使其履行合同义务受到阻碍时，应立即通知合同另一方当事人和监理人，书面说明不可抗力和受阻碍的详细情况，并提供必要的证明。</w:t>
      </w:r>
    </w:p>
    <w:p w14:paraId="22D9DEA8">
      <w:pPr>
        <w:pStyle w:val="319"/>
        <w:spacing w:after="240"/>
        <w:ind w:firstLine="440"/>
        <w:rPr>
          <w:rFonts w:cs="Times New Roman"/>
          <w:sz w:val="21"/>
          <w:szCs w:val="21"/>
        </w:rPr>
      </w:pPr>
      <w:r>
        <w:rPr>
          <w:sz w:val="21"/>
          <w:szCs w:val="21"/>
          <w:lang w:val="en-US"/>
        </w:rPr>
        <w:t>21.2.2</w:t>
      </w:r>
      <w:r>
        <w:rPr>
          <w:rFonts w:hint="eastAsia"/>
          <w:sz w:val="21"/>
          <w:szCs w:val="21"/>
        </w:rPr>
        <w:t>如不可抗力持续发生，合同一方当事人应及时向合同另一方当事人和监理人提交中间报告，说明不可抗力和履行合同受阻的情况，并于不可抗力事件结束后</w:t>
      </w:r>
      <w:r>
        <w:rPr>
          <w:sz w:val="21"/>
          <w:szCs w:val="21"/>
        </w:rPr>
        <w:t>28</w:t>
      </w:r>
      <w:r>
        <w:rPr>
          <w:rFonts w:hint="eastAsia"/>
          <w:sz w:val="21"/>
          <w:szCs w:val="21"/>
        </w:rPr>
        <w:t>天内提交最终报告及有关资料。</w:t>
      </w:r>
    </w:p>
    <w:p w14:paraId="27CE2140">
      <w:pPr>
        <w:pStyle w:val="318"/>
        <w:spacing w:line="360" w:lineRule="auto"/>
        <w:rPr>
          <w:rFonts w:ascii="宋体" w:cs="宋体"/>
          <w:sz w:val="21"/>
          <w:szCs w:val="21"/>
        </w:rPr>
      </w:pPr>
      <w:bookmarkStart w:id="1682" w:name="bookmark1489"/>
      <w:bookmarkStart w:id="1683" w:name="_Toc256000411"/>
      <w:bookmarkStart w:id="1684" w:name="bookmark1490"/>
      <w:bookmarkStart w:id="1685" w:name="_Toc256000161"/>
      <w:bookmarkStart w:id="1686" w:name="_Toc23657"/>
      <w:bookmarkStart w:id="1687" w:name="bookmark1491"/>
      <w:bookmarkStart w:id="1688" w:name="_Toc27955"/>
      <w:bookmarkStart w:id="1689" w:name="_Toc32024"/>
      <w:bookmarkStart w:id="1690" w:name="_Toc17208"/>
      <w:r>
        <w:rPr>
          <w:rFonts w:ascii="宋体" w:hAnsi="宋体" w:cs="宋体"/>
          <w:sz w:val="21"/>
          <w:szCs w:val="21"/>
        </w:rPr>
        <w:t>21.3</w:t>
      </w:r>
      <w:r>
        <w:rPr>
          <w:rFonts w:hint="eastAsia" w:ascii="宋体" w:hAnsi="宋体" w:cs="宋体"/>
          <w:sz w:val="21"/>
          <w:szCs w:val="21"/>
        </w:rPr>
        <w:t>不可抗力后果及其处理</w:t>
      </w:r>
      <w:bookmarkEnd w:id="1682"/>
      <w:bookmarkEnd w:id="1683"/>
      <w:bookmarkEnd w:id="1684"/>
      <w:bookmarkEnd w:id="1685"/>
      <w:bookmarkEnd w:id="1686"/>
      <w:bookmarkEnd w:id="1687"/>
      <w:bookmarkEnd w:id="1688"/>
      <w:bookmarkEnd w:id="1689"/>
      <w:bookmarkEnd w:id="1690"/>
    </w:p>
    <w:p w14:paraId="5560B0E8">
      <w:pPr>
        <w:pStyle w:val="319"/>
        <w:ind w:firstLine="440"/>
        <w:rPr>
          <w:rFonts w:cs="Times New Roman"/>
          <w:sz w:val="21"/>
          <w:szCs w:val="21"/>
        </w:rPr>
      </w:pPr>
      <w:r>
        <w:rPr>
          <w:sz w:val="21"/>
          <w:szCs w:val="21"/>
          <w:lang w:val="en-US"/>
        </w:rPr>
        <w:t>21.3.1</w:t>
      </w:r>
      <w:r>
        <w:rPr>
          <w:rFonts w:hint="eastAsia"/>
          <w:sz w:val="21"/>
          <w:szCs w:val="21"/>
        </w:rPr>
        <w:t>不可抗力造成损害的责任</w:t>
      </w:r>
    </w:p>
    <w:p w14:paraId="25FD34C8">
      <w:pPr>
        <w:pStyle w:val="319"/>
        <w:ind w:firstLine="440"/>
        <w:rPr>
          <w:rFonts w:cs="Times New Roman"/>
          <w:sz w:val="21"/>
          <w:szCs w:val="21"/>
        </w:rPr>
      </w:pPr>
      <w:r>
        <w:rPr>
          <w:rFonts w:hint="eastAsia"/>
          <w:sz w:val="21"/>
          <w:szCs w:val="21"/>
        </w:rPr>
        <w:t>除专用合同条款另有约定外，不可抗力导致的人员伤亡、财产损失、费用增加和</w:t>
      </w:r>
      <w:r>
        <w:rPr>
          <w:sz w:val="21"/>
          <w:szCs w:val="21"/>
        </w:rPr>
        <w:t>(</w:t>
      </w:r>
      <w:r>
        <w:rPr>
          <w:rFonts w:hint="eastAsia"/>
          <w:sz w:val="21"/>
          <w:szCs w:val="21"/>
        </w:rPr>
        <w:t>或</w:t>
      </w:r>
      <w:r>
        <w:rPr>
          <w:sz w:val="21"/>
          <w:szCs w:val="21"/>
        </w:rPr>
        <w:t xml:space="preserve">) </w:t>
      </w:r>
      <w:r>
        <w:rPr>
          <w:rFonts w:hint="eastAsia"/>
          <w:sz w:val="21"/>
          <w:szCs w:val="21"/>
        </w:rPr>
        <w:t>工期延误等后果，由合同双方按以下原则承担：</w:t>
      </w:r>
    </w:p>
    <w:p w14:paraId="064808F1">
      <w:pPr>
        <w:pStyle w:val="319"/>
        <w:numPr>
          <w:ilvl w:val="0"/>
          <w:numId w:val="23"/>
        </w:numPr>
        <w:tabs>
          <w:tab w:val="left" w:pos="903"/>
        </w:tabs>
        <w:ind w:firstLine="440"/>
        <w:rPr>
          <w:rFonts w:cs="Times New Roman"/>
          <w:sz w:val="21"/>
          <w:szCs w:val="21"/>
        </w:rPr>
      </w:pPr>
      <w:bookmarkStart w:id="1691" w:name="bookmark1492"/>
      <w:bookmarkEnd w:id="1691"/>
      <w:r>
        <w:rPr>
          <w:rFonts w:hint="eastAsia"/>
          <w:sz w:val="21"/>
          <w:szCs w:val="21"/>
        </w:rPr>
        <w:t>永久工程，包括已运至施工场地的材料和工程设备的损害，以及因工程损害造成的第三者人员伤亡和财产损失由发包人承担；</w:t>
      </w:r>
    </w:p>
    <w:p w14:paraId="33D007A1">
      <w:pPr>
        <w:pStyle w:val="319"/>
        <w:numPr>
          <w:ilvl w:val="0"/>
          <w:numId w:val="23"/>
        </w:numPr>
        <w:tabs>
          <w:tab w:val="left" w:pos="923"/>
        </w:tabs>
        <w:ind w:firstLine="440"/>
        <w:rPr>
          <w:rFonts w:cs="Times New Roman"/>
          <w:sz w:val="21"/>
          <w:szCs w:val="21"/>
        </w:rPr>
      </w:pPr>
      <w:bookmarkStart w:id="1692" w:name="bookmark1493"/>
      <w:bookmarkEnd w:id="1692"/>
      <w:r>
        <w:rPr>
          <w:rFonts w:hint="eastAsia"/>
          <w:sz w:val="21"/>
          <w:szCs w:val="21"/>
        </w:rPr>
        <w:t>承包人设备的损坏由承包人承担；</w:t>
      </w:r>
    </w:p>
    <w:p w14:paraId="5264B7E0">
      <w:pPr>
        <w:pStyle w:val="319"/>
        <w:numPr>
          <w:ilvl w:val="0"/>
          <w:numId w:val="23"/>
        </w:numPr>
        <w:tabs>
          <w:tab w:val="left" w:pos="923"/>
        </w:tabs>
        <w:ind w:firstLine="440"/>
        <w:rPr>
          <w:rFonts w:cs="Times New Roman"/>
          <w:sz w:val="21"/>
          <w:szCs w:val="21"/>
        </w:rPr>
      </w:pPr>
      <w:bookmarkStart w:id="1693" w:name="bookmark1494"/>
      <w:bookmarkEnd w:id="1693"/>
      <w:r>
        <w:rPr>
          <w:rFonts w:hint="eastAsia"/>
          <w:sz w:val="21"/>
          <w:szCs w:val="21"/>
        </w:rPr>
        <w:t>发包人和承包人各自承担其人员伤亡和其他财产损失及其相关费用；</w:t>
      </w:r>
    </w:p>
    <w:p w14:paraId="25C20107">
      <w:pPr>
        <w:pStyle w:val="319"/>
        <w:numPr>
          <w:ilvl w:val="0"/>
          <w:numId w:val="23"/>
        </w:numPr>
        <w:tabs>
          <w:tab w:val="left" w:pos="915"/>
        </w:tabs>
        <w:ind w:firstLine="440"/>
        <w:rPr>
          <w:rFonts w:cs="Times New Roman"/>
          <w:sz w:val="21"/>
          <w:szCs w:val="21"/>
        </w:rPr>
      </w:pPr>
      <w:bookmarkStart w:id="1694" w:name="bookmark1495"/>
      <w:bookmarkEnd w:id="1694"/>
      <w:r>
        <w:rPr>
          <w:rFonts w:hint="eastAsia"/>
          <w:sz w:val="21"/>
          <w:szCs w:val="21"/>
        </w:rPr>
        <w:t>承包人的停工损失由承包人承担，但停工期间应监理人要求照管工程和清理、修复工程的金额由发包人承担；</w:t>
      </w:r>
    </w:p>
    <w:p w14:paraId="6F2C60DC">
      <w:pPr>
        <w:pStyle w:val="319"/>
        <w:numPr>
          <w:ilvl w:val="0"/>
          <w:numId w:val="23"/>
        </w:numPr>
        <w:tabs>
          <w:tab w:val="left" w:pos="920"/>
        </w:tabs>
        <w:ind w:firstLine="440"/>
        <w:rPr>
          <w:rFonts w:cs="Times New Roman"/>
          <w:sz w:val="21"/>
          <w:szCs w:val="21"/>
        </w:rPr>
      </w:pPr>
      <w:bookmarkStart w:id="1695" w:name="bookmark1496"/>
      <w:bookmarkEnd w:id="1695"/>
      <w:r>
        <w:rPr>
          <w:rFonts w:hint="eastAsia"/>
          <w:sz w:val="21"/>
          <w:szCs w:val="21"/>
        </w:rPr>
        <w:t>不能按期竣工的，应合理延长工期，承包人不需支付逾期竣工违约金。发包人要求赶工的，承包人应采取赶工措施，赶工费用由发包人承担。</w:t>
      </w:r>
    </w:p>
    <w:p w14:paraId="21A6D30B">
      <w:pPr>
        <w:pStyle w:val="319"/>
        <w:ind w:firstLine="440"/>
        <w:rPr>
          <w:rFonts w:cs="Times New Roman"/>
          <w:sz w:val="21"/>
          <w:szCs w:val="21"/>
        </w:rPr>
      </w:pPr>
      <w:r>
        <w:rPr>
          <w:sz w:val="21"/>
          <w:szCs w:val="21"/>
          <w:lang w:val="en-US"/>
        </w:rPr>
        <w:t>21.3.2</w:t>
      </w:r>
      <w:r>
        <w:rPr>
          <w:rFonts w:hint="eastAsia"/>
          <w:sz w:val="21"/>
          <w:szCs w:val="21"/>
        </w:rPr>
        <w:t>延迟履行期间发生的不可抗力</w:t>
      </w:r>
    </w:p>
    <w:p w14:paraId="4103211F">
      <w:pPr>
        <w:pStyle w:val="319"/>
        <w:ind w:firstLine="440"/>
        <w:rPr>
          <w:rFonts w:cs="Times New Roman"/>
          <w:sz w:val="21"/>
          <w:szCs w:val="21"/>
        </w:rPr>
      </w:pPr>
      <w:r>
        <w:rPr>
          <w:rFonts w:hint="eastAsia"/>
          <w:sz w:val="21"/>
          <w:szCs w:val="21"/>
        </w:rPr>
        <w:t>合同一方当事人延迟履行，在延迟履行期间发生不可抗力的，不免除其责任。</w:t>
      </w:r>
    </w:p>
    <w:p w14:paraId="3FF0FE7A">
      <w:pPr>
        <w:pStyle w:val="319"/>
        <w:ind w:firstLine="440"/>
        <w:rPr>
          <w:rFonts w:cs="Times New Roman"/>
          <w:sz w:val="21"/>
          <w:szCs w:val="21"/>
        </w:rPr>
      </w:pPr>
      <w:r>
        <w:rPr>
          <w:sz w:val="21"/>
          <w:szCs w:val="21"/>
          <w:lang w:val="en-US"/>
        </w:rPr>
        <w:t>21.3.3</w:t>
      </w:r>
      <w:r>
        <w:rPr>
          <w:rFonts w:hint="eastAsia"/>
          <w:sz w:val="21"/>
          <w:szCs w:val="21"/>
        </w:rPr>
        <w:t>避免和减少不可抗力损失</w:t>
      </w:r>
    </w:p>
    <w:p w14:paraId="4A96CB78">
      <w:pPr>
        <w:pStyle w:val="319"/>
        <w:ind w:firstLine="440"/>
        <w:rPr>
          <w:rFonts w:cs="Times New Roman"/>
          <w:sz w:val="21"/>
          <w:szCs w:val="21"/>
        </w:rPr>
      </w:pPr>
      <w:r>
        <w:rPr>
          <w:rFonts w:hint="eastAsia"/>
          <w:sz w:val="21"/>
          <w:szCs w:val="21"/>
        </w:rPr>
        <w:t>不可抗力发生后，发包人和承包人均应采取措施尽量避免和减少损失的扩大，任何一</w:t>
      </w:r>
      <w:r>
        <w:rPr>
          <w:sz w:val="21"/>
          <w:szCs w:val="21"/>
        </w:rPr>
        <w:t xml:space="preserve"> </w:t>
      </w:r>
      <w:r>
        <w:rPr>
          <w:rFonts w:hint="eastAsia"/>
          <w:sz w:val="21"/>
          <w:szCs w:val="21"/>
        </w:rPr>
        <w:t>方没有采取有效措施导致损失扩大的，应对扩大的损失承担责任。</w:t>
      </w:r>
    </w:p>
    <w:p w14:paraId="63DA6BAF">
      <w:pPr>
        <w:pStyle w:val="319"/>
        <w:ind w:firstLine="440"/>
        <w:rPr>
          <w:rFonts w:cs="Times New Roman"/>
          <w:sz w:val="21"/>
          <w:szCs w:val="21"/>
          <w:lang w:val="en-US"/>
        </w:rPr>
      </w:pPr>
      <w:r>
        <w:rPr>
          <w:sz w:val="21"/>
          <w:szCs w:val="21"/>
          <w:lang w:val="en-US"/>
        </w:rPr>
        <w:t>21.3.4</w:t>
      </w:r>
      <w:r>
        <w:rPr>
          <w:rFonts w:hint="eastAsia"/>
          <w:sz w:val="21"/>
          <w:szCs w:val="21"/>
          <w:lang w:val="en-US"/>
        </w:rPr>
        <w:t>因不可抗力解除合同</w:t>
      </w:r>
    </w:p>
    <w:p w14:paraId="24F5A61F">
      <w:pPr>
        <w:pStyle w:val="319"/>
        <w:spacing w:after="280"/>
        <w:ind w:firstLine="440"/>
        <w:rPr>
          <w:rFonts w:cs="Times New Roman"/>
          <w:sz w:val="21"/>
          <w:szCs w:val="21"/>
        </w:rPr>
      </w:pPr>
      <w:r>
        <w:rPr>
          <w:rFonts w:hint="eastAsia"/>
          <w:sz w:val="21"/>
          <w:szCs w:val="21"/>
        </w:rPr>
        <w:t>合同一方当事人因不可抗力不能履行合同的，应当及时通知对方解除合同。合同解除后，承包人应按照第</w:t>
      </w:r>
      <w:r>
        <w:rPr>
          <w:sz w:val="21"/>
          <w:szCs w:val="21"/>
          <w:lang w:val="en-US"/>
        </w:rPr>
        <w:t>22.2.5</w:t>
      </w:r>
      <w:r>
        <w:rPr>
          <w:rFonts w:hint="eastAsia"/>
          <w:sz w:val="21"/>
          <w:szCs w:val="21"/>
        </w:rPr>
        <w:t>项约定撤离施工场地。已经订货的材料、设备由订货方负责退货或解除订货合同，不能退还的货款和因退货、解除订货合同发生的费用，由发包人承担</w:t>
      </w:r>
      <w:r>
        <w:rPr>
          <w:sz w:val="21"/>
          <w:szCs w:val="21"/>
        </w:rPr>
        <w:t xml:space="preserve">, </w:t>
      </w:r>
      <w:r>
        <w:rPr>
          <w:rFonts w:hint="eastAsia"/>
          <w:sz w:val="21"/>
          <w:szCs w:val="21"/>
        </w:rPr>
        <w:t>因未及时退货造成的损失由责任方承担。合同解除后的付款，参照第</w:t>
      </w:r>
      <w:r>
        <w:rPr>
          <w:sz w:val="21"/>
          <w:szCs w:val="21"/>
          <w:lang w:val="en-US"/>
        </w:rPr>
        <w:t>22.2.4</w:t>
      </w:r>
      <w:r>
        <w:rPr>
          <w:rFonts w:hint="eastAsia"/>
          <w:sz w:val="21"/>
          <w:szCs w:val="21"/>
        </w:rPr>
        <w:t>项约定，由监理人按第</w:t>
      </w:r>
      <w:r>
        <w:rPr>
          <w:sz w:val="21"/>
          <w:szCs w:val="21"/>
          <w:lang w:val="en-US"/>
        </w:rPr>
        <w:t xml:space="preserve">3. </w:t>
      </w:r>
      <w:r>
        <w:rPr>
          <w:sz w:val="21"/>
          <w:szCs w:val="21"/>
        </w:rPr>
        <w:t>5</w:t>
      </w:r>
      <w:r>
        <w:rPr>
          <w:rFonts w:hint="eastAsia"/>
          <w:sz w:val="21"/>
          <w:szCs w:val="21"/>
        </w:rPr>
        <w:t>款商定或确定。</w:t>
      </w:r>
    </w:p>
    <w:p w14:paraId="467B283B">
      <w:pPr>
        <w:pStyle w:val="318"/>
        <w:spacing w:line="360" w:lineRule="auto"/>
        <w:rPr>
          <w:rFonts w:ascii="宋体" w:cs="宋体"/>
          <w:sz w:val="21"/>
          <w:szCs w:val="21"/>
        </w:rPr>
      </w:pPr>
      <w:bookmarkStart w:id="1696" w:name="_Toc15837"/>
      <w:bookmarkStart w:id="1697" w:name="_Toc256000412"/>
      <w:bookmarkStart w:id="1698" w:name="_Toc30816"/>
      <w:bookmarkStart w:id="1699" w:name="_Toc256000162"/>
      <w:bookmarkStart w:id="1700" w:name="_Toc22101"/>
      <w:bookmarkStart w:id="1701" w:name="bookmark1499"/>
      <w:bookmarkStart w:id="1702" w:name="_Toc6299"/>
      <w:bookmarkStart w:id="1703" w:name="bookmark1498"/>
      <w:bookmarkStart w:id="1704" w:name="bookmark1497"/>
      <w:r>
        <w:rPr>
          <w:rFonts w:ascii="宋体" w:hAnsi="宋体" w:cs="宋体"/>
          <w:sz w:val="21"/>
          <w:szCs w:val="21"/>
        </w:rPr>
        <w:t>22.</w:t>
      </w:r>
      <w:r>
        <w:rPr>
          <w:rFonts w:hint="eastAsia" w:ascii="宋体" w:hAnsi="宋体" w:cs="宋体"/>
          <w:sz w:val="21"/>
          <w:szCs w:val="21"/>
        </w:rPr>
        <w:t>违约</w:t>
      </w:r>
      <w:bookmarkEnd w:id="1696"/>
      <w:bookmarkEnd w:id="1697"/>
      <w:bookmarkEnd w:id="1698"/>
      <w:bookmarkEnd w:id="1699"/>
      <w:bookmarkEnd w:id="1700"/>
      <w:bookmarkEnd w:id="1701"/>
      <w:bookmarkEnd w:id="1702"/>
    </w:p>
    <w:p w14:paraId="4A8C4B5D">
      <w:pPr>
        <w:pStyle w:val="318"/>
        <w:spacing w:line="360" w:lineRule="auto"/>
        <w:rPr>
          <w:rFonts w:ascii="宋体" w:cs="宋体"/>
          <w:sz w:val="21"/>
          <w:szCs w:val="21"/>
        </w:rPr>
      </w:pPr>
      <w:bookmarkStart w:id="1705" w:name="_Toc3129"/>
      <w:bookmarkStart w:id="1706" w:name="_Toc15198"/>
      <w:bookmarkStart w:id="1707" w:name="_Toc3191"/>
      <w:bookmarkStart w:id="1708" w:name="_Toc256000413"/>
      <w:bookmarkStart w:id="1709" w:name="bookmark1500"/>
      <w:bookmarkStart w:id="1710" w:name="_Toc27854"/>
      <w:bookmarkStart w:id="1711" w:name="_Toc256000163"/>
      <w:r>
        <w:rPr>
          <w:rFonts w:ascii="宋体" w:hAnsi="宋体" w:cs="宋体"/>
          <w:sz w:val="21"/>
          <w:szCs w:val="21"/>
        </w:rPr>
        <w:t>22.1</w:t>
      </w:r>
      <w:r>
        <w:rPr>
          <w:rFonts w:hint="eastAsia" w:ascii="宋体" w:hAnsi="宋体" w:cs="宋体"/>
          <w:sz w:val="21"/>
          <w:szCs w:val="21"/>
        </w:rPr>
        <w:t>承包人违约</w:t>
      </w:r>
      <w:bookmarkEnd w:id="1703"/>
      <w:bookmarkEnd w:id="1704"/>
      <w:bookmarkEnd w:id="1705"/>
      <w:bookmarkEnd w:id="1706"/>
      <w:bookmarkEnd w:id="1707"/>
      <w:bookmarkEnd w:id="1708"/>
      <w:bookmarkEnd w:id="1709"/>
      <w:bookmarkEnd w:id="1710"/>
      <w:bookmarkEnd w:id="1711"/>
    </w:p>
    <w:p w14:paraId="08AB4635">
      <w:pPr>
        <w:pStyle w:val="319"/>
        <w:ind w:firstLine="420"/>
        <w:rPr>
          <w:rFonts w:cs="Times New Roman"/>
          <w:sz w:val="21"/>
          <w:szCs w:val="21"/>
        </w:rPr>
      </w:pPr>
      <w:r>
        <w:rPr>
          <w:sz w:val="21"/>
          <w:szCs w:val="21"/>
          <w:lang w:val="en-US"/>
        </w:rPr>
        <w:t>22.1.1</w:t>
      </w:r>
      <w:r>
        <w:rPr>
          <w:rFonts w:hint="eastAsia"/>
          <w:sz w:val="21"/>
          <w:szCs w:val="21"/>
        </w:rPr>
        <w:t>承包人违约的情形</w:t>
      </w:r>
    </w:p>
    <w:p w14:paraId="2FBBF85C">
      <w:pPr>
        <w:pStyle w:val="319"/>
        <w:ind w:firstLine="420"/>
        <w:rPr>
          <w:rFonts w:cs="Times New Roman"/>
          <w:sz w:val="21"/>
          <w:szCs w:val="21"/>
        </w:rPr>
      </w:pPr>
      <w:r>
        <w:rPr>
          <w:rFonts w:hint="eastAsia"/>
          <w:sz w:val="21"/>
          <w:szCs w:val="21"/>
        </w:rPr>
        <w:t>在履行合同过程中发生的下列情况属承包人违约：</w:t>
      </w:r>
    </w:p>
    <w:p w14:paraId="59285973">
      <w:pPr>
        <w:pStyle w:val="319"/>
        <w:numPr>
          <w:ilvl w:val="0"/>
          <w:numId w:val="24"/>
        </w:numPr>
        <w:tabs>
          <w:tab w:val="left" w:pos="920"/>
        </w:tabs>
        <w:ind w:firstLine="440"/>
        <w:rPr>
          <w:rFonts w:cs="Times New Roman"/>
          <w:sz w:val="21"/>
          <w:szCs w:val="21"/>
        </w:rPr>
      </w:pPr>
      <w:bookmarkStart w:id="1712" w:name="bookmark1501"/>
      <w:bookmarkEnd w:id="1712"/>
      <w:r>
        <w:rPr>
          <w:rFonts w:hint="eastAsia"/>
          <w:sz w:val="21"/>
          <w:szCs w:val="21"/>
        </w:rPr>
        <w:t>承包人违反第</w:t>
      </w:r>
      <w:r>
        <w:rPr>
          <w:sz w:val="21"/>
          <w:szCs w:val="21"/>
          <w:lang w:val="en-US"/>
        </w:rPr>
        <w:t>1.8</w:t>
      </w:r>
      <w:r>
        <w:rPr>
          <w:rFonts w:hint="eastAsia"/>
          <w:sz w:val="21"/>
          <w:szCs w:val="21"/>
        </w:rPr>
        <w:t>款或第</w:t>
      </w:r>
      <w:r>
        <w:rPr>
          <w:sz w:val="21"/>
          <w:szCs w:val="21"/>
          <w:lang w:val="en-US"/>
        </w:rPr>
        <w:t xml:space="preserve">4. </w:t>
      </w:r>
      <w:r>
        <w:rPr>
          <w:sz w:val="21"/>
          <w:szCs w:val="21"/>
        </w:rPr>
        <w:t>3</w:t>
      </w:r>
      <w:r>
        <w:rPr>
          <w:rFonts w:hint="eastAsia"/>
          <w:sz w:val="21"/>
          <w:szCs w:val="21"/>
        </w:rPr>
        <w:t>款的约定，私自将合同的全部或部分权利转让给其他人，或私自将合同的全部或部分义务转移给其他人；</w:t>
      </w:r>
    </w:p>
    <w:p w14:paraId="14FB8FBC">
      <w:pPr>
        <w:pStyle w:val="319"/>
        <w:numPr>
          <w:ilvl w:val="0"/>
          <w:numId w:val="24"/>
        </w:numPr>
        <w:tabs>
          <w:tab w:val="left" w:pos="920"/>
        </w:tabs>
        <w:ind w:firstLine="440"/>
        <w:rPr>
          <w:rFonts w:cs="Times New Roman"/>
          <w:sz w:val="21"/>
          <w:szCs w:val="21"/>
        </w:rPr>
      </w:pPr>
      <w:bookmarkStart w:id="1713" w:name="bookmark1502"/>
      <w:bookmarkEnd w:id="1713"/>
      <w:r>
        <w:rPr>
          <w:rFonts w:hint="eastAsia"/>
          <w:sz w:val="21"/>
          <w:szCs w:val="21"/>
        </w:rPr>
        <w:t>承包人违反第</w:t>
      </w:r>
      <w:r>
        <w:rPr>
          <w:sz w:val="21"/>
          <w:szCs w:val="21"/>
          <w:lang w:val="en-US"/>
        </w:rPr>
        <w:t xml:space="preserve">5. </w:t>
      </w:r>
      <w:r>
        <w:rPr>
          <w:sz w:val="21"/>
          <w:szCs w:val="21"/>
        </w:rPr>
        <w:t>3</w:t>
      </w:r>
      <w:r>
        <w:rPr>
          <w:rFonts w:hint="eastAsia"/>
          <w:sz w:val="21"/>
          <w:szCs w:val="21"/>
        </w:rPr>
        <w:t>款或第</w:t>
      </w:r>
      <w:r>
        <w:rPr>
          <w:sz w:val="21"/>
          <w:szCs w:val="21"/>
          <w:lang w:val="en-US"/>
        </w:rPr>
        <w:t xml:space="preserve">6. </w:t>
      </w:r>
      <w:r>
        <w:rPr>
          <w:sz w:val="21"/>
          <w:szCs w:val="21"/>
        </w:rPr>
        <w:t>4</w:t>
      </w:r>
      <w:r>
        <w:rPr>
          <w:rFonts w:hint="eastAsia"/>
          <w:sz w:val="21"/>
          <w:szCs w:val="21"/>
        </w:rPr>
        <w:t>款的约定，未经监理人批准，私自将已按合同约定进入施工场地的施工设备、临时设施或材料撤离施工场地；</w:t>
      </w:r>
    </w:p>
    <w:p w14:paraId="328B258D">
      <w:pPr>
        <w:pStyle w:val="319"/>
        <w:numPr>
          <w:ilvl w:val="0"/>
          <w:numId w:val="24"/>
        </w:numPr>
        <w:tabs>
          <w:tab w:val="left" w:pos="922"/>
        </w:tabs>
        <w:ind w:firstLine="440"/>
        <w:rPr>
          <w:rFonts w:cs="Times New Roman"/>
          <w:sz w:val="21"/>
          <w:szCs w:val="21"/>
        </w:rPr>
      </w:pPr>
      <w:bookmarkStart w:id="1714" w:name="bookmark1503"/>
      <w:bookmarkEnd w:id="1714"/>
      <w:r>
        <w:rPr>
          <w:rFonts w:hint="eastAsia"/>
          <w:sz w:val="21"/>
          <w:szCs w:val="21"/>
        </w:rPr>
        <w:t>承包人违反第</w:t>
      </w:r>
      <w:r>
        <w:rPr>
          <w:sz w:val="21"/>
          <w:szCs w:val="21"/>
          <w:lang w:val="en-US"/>
        </w:rPr>
        <w:t xml:space="preserve">5. </w:t>
      </w:r>
      <w:r>
        <w:rPr>
          <w:sz w:val="21"/>
          <w:szCs w:val="21"/>
        </w:rPr>
        <w:t>4</w:t>
      </w:r>
      <w:r>
        <w:rPr>
          <w:rFonts w:hint="eastAsia"/>
          <w:sz w:val="21"/>
          <w:szCs w:val="21"/>
        </w:rPr>
        <w:t>款的约定使用了不合格材料或工程设备，工程质量达不到标准要求，又拒绝清除不合格工程；</w:t>
      </w:r>
    </w:p>
    <w:p w14:paraId="58AC031F">
      <w:pPr>
        <w:pStyle w:val="319"/>
        <w:numPr>
          <w:ilvl w:val="0"/>
          <w:numId w:val="24"/>
        </w:numPr>
        <w:tabs>
          <w:tab w:val="left" w:pos="922"/>
        </w:tabs>
        <w:ind w:firstLine="440"/>
        <w:rPr>
          <w:rFonts w:cs="Times New Roman"/>
          <w:sz w:val="21"/>
          <w:szCs w:val="21"/>
        </w:rPr>
      </w:pPr>
      <w:bookmarkStart w:id="1715" w:name="bookmark1504"/>
      <w:bookmarkEnd w:id="1715"/>
      <w:r>
        <w:rPr>
          <w:rFonts w:hint="eastAsia"/>
          <w:sz w:val="21"/>
          <w:szCs w:val="21"/>
        </w:rPr>
        <w:t>承包人未能按合同进度计划及时完成合同约定的工作，已造成或预期造成工期延误；</w:t>
      </w:r>
    </w:p>
    <w:p w14:paraId="28AB9DF7">
      <w:pPr>
        <w:pStyle w:val="319"/>
        <w:numPr>
          <w:ilvl w:val="0"/>
          <w:numId w:val="24"/>
        </w:numPr>
        <w:tabs>
          <w:tab w:val="left" w:pos="922"/>
        </w:tabs>
        <w:ind w:firstLine="440"/>
        <w:rPr>
          <w:rFonts w:cs="Times New Roman"/>
          <w:sz w:val="21"/>
          <w:szCs w:val="21"/>
        </w:rPr>
      </w:pPr>
      <w:bookmarkStart w:id="1716" w:name="bookmark1505"/>
      <w:bookmarkEnd w:id="1716"/>
      <w:r>
        <w:rPr>
          <w:rFonts w:hint="eastAsia"/>
          <w:sz w:val="21"/>
          <w:szCs w:val="21"/>
        </w:rPr>
        <w:t>承包人在缺陷责任期</w:t>
      </w:r>
      <w:r>
        <w:rPr>
          <w:sz w:val="21"/>
          <w:szCs w:val="21"/>
        </w:rPr>
        <w:t>(</w:t>
      </w:r>
      <w:r>
        <w:rPr>
          <w:rFonts w:hint="eastAsia"/>
          <w:sz w:val="21"/>
          <w:szCs w:val="21"/>
        </w:rPr>
        <w:t>工程质量保修期</w:t>
      </w:r>
      <w:r>
        <w:rPr>
          <w:sz w:val="21"/>
          <w:szCs w:val="21"/>
        </w:rPr>
        <w:t>)</w:t>
      </w:r>
      <w:r>
        <w:rPr>
          <w:rFonts w:hint="eastAsia"/>
          <w:sz w:val="21"/>
          <w:szCs w:val="21"/>
        </w:rPr>
        <w:t>内，未能对合同工程完工验收鉴定书中所列的缺陷清单的内容或缺陷责任期</w:t>
      </w:r>
      <w:r>
        <w:rPr>
          <w:sz w:val="21"/>
          <w:szCs w:val="21"/>
        </w:rPr>
        <w:t>(</w:t>
      </w:r>
      <w:r>
        <w:rPr>
          <w:rFonts w:hint="eastAsia"/>
          <w:sz w:val="21"/>
          <w:szCs w:val="21"/>
        </w:rPr>
        <w:t>工程质量保修期</w:t>
      </w:r>
      <w:r>
        <w:rPr>
          <w:sz w:val="21"/>
          <w:szCs w:val="21"/>
        </w:rPr>
        <w:t>)</w:t>
      </w:r>
      <w:r>
        <w:rPr>
          <w:rFonts w:hint="eastAsia"/>
          <w:sz w:val="21"/>
          <w:szCs w:val="21"/>
        </w:rPr>
        <w:t>内发生的缺陷进行修复，而又拒绝按监理人指示再进行修补；</w:t>
      </w:r>
    </w:p>
    <w:p w14:paraId="31020082">
      <w:pPr>
        <w:pStyle w:val="319"/>
        <w:numPr>
          <w:ilvl w:val="0"/>
          <w:numId w:val="24"/>
        </w:numPr>
        <w:tabs>
          <w:tab w:val="left" w:pos="903"/>
        </w:tabs>
        <w:ind w:firstLine="420"/>
        <w:rPr>
          <w:rFonts w:cs="Times New Roman"/>
          <w:sz w:val="21"/>
          <w:szCs w:val="21"/>
        </w:rPr>
      </w:pPr>
      <w:bookmarkStart w:id="1717" w:name="bookmark1506"/>
      <w:bookmarkEnd w:id="1717"/>
      <w:r>
        <w:rPr>
          <w:rFonts w:hint="eastAsia"/>
          <w:sz w:val="21"/>
          <w:szCs w:val="21"/>
        </w:rPr>
        <w:t>承包人无法继续履行或明确表示不履行或实质上已停止履行合同；</w:t>
      </w:r>
    </w:p>
    <w:p w14:paraId="08118063">
      <w:pPr>
        <w:pStyle w:val="319"/>
        <w:numPr>
          <w:ilvl w:val="0"/>
          <w:numId w:val="24"/>
        </w:numPr>
        <w:tabs>
          <w:tab w:val="left" w:pos="903"/>
        </w:tabs>
        <w:ind w:firstLine="420"/>
        <w:rPr>
          <w:rFonts w:cs="Times New Roman"/>
          <w:sz w:val="21"/>
          <w:szCs w:val="21"/>
        </w:rPr>
      </w:pPr>
      <w:bookmarkStart w:id="1718" w:name="bookmark1507"/>
      <w:bookmarkEnd w:id="1718"/>
      <w:r>
        <w:rPr>
          <w:rFonts w:hint="eastAsia"/>
          <w:sz w:val="21"/>
          <w:szCs w:val="21"/>
        </w:rPr>
        <w:t>承包人不按合同约定履行义务的其他情况。</w:t>
      </w:r>
    </w:p>
    <w:p w14:paraId="06FF8BE1">
      <w:pPr>
        <w:pStyle w:val="319"/>
        <w:ind w:firstLine="420"/>
        <w:rPr>
          <w:rFonts w:cs="Times New Roman"/>
          <w:sz w:val="21"/>
          <w:szCs w:val="21"/>
        </w:rPr>
      </w:pPr>
      <w:r>
        <w:rPr>
          <w:sz w:val="21"/>
          <w:szCs w:val="21"/>
          <w:lang w:val="en-US" w:eastAsia="en-US"/>
        </w:rPr>
        <w:t>22.1.2</w:t>
      </w:r>
      <w:r>
        <w:rPr>
          <w:rFonts w:hint="eastAsia"/>
          <w:sz w:val="21"/>
          <w:szCs w:val="21"/>
        </w:rPr>
        <w:t>对承包人违约的处理</w:t>
      </w:r>
    </w:p>
    <w:p w14:paraId="65949E27">
      <w:pPr>
        <w:pStyle w:val="319"/>
        <w:numPr>
          <w:ilvl w:val="0"/>
          <w:numId w:val="25"/>
        </w:numPr>
        <w:tabs>
          <w:tab w:val="left" w:pos="922"/>
        </w:tabs>
        <w:ind w:firstLine="440"/>
        <w:rPr>
          <w:rFonts w:cs="Times New Roman"/>
          <w:sz w:val="21"/>
          <w:szCs w:val="21"/>
        </w:rPr>
      </w:pPr>
      <w:bookmarkStart w:id="1719" w:name="bookmark1508"/>
      <w:bookmarkEnd w:id="1719"/>
      <w:r>
        <w:rPr>
          <w:rFonts w:hint="eastAsia"/>
          <w:sz w:val="21"/>
          <w:szCs w:val="21"/>
        </w:rPr>
        <w:t>承包人发生第</w:t>
      </w:r>
      <w:r>
        <w:rPr>
          <w:sz w:val="21"/>
          <w:szCs w:val="21"/>
          <w:lang w:val="en-US"/>
        </w:rPr>
        <w:t xml:space="preserve">22.1.1 </w:t>
      </w:r>
      <w:r>
        <w:rPr>
          <w:sz w:val="21"/>
          <w:szCs w:val="21"/>
        </w:rPr>
        <w:t>(6)</w:t>
      </w:r>
      <w:r>
        <w:rPr>
          <w:rFonts w:hint="eastAsia"/>
          <w:sz w:val="21"/>
          <w:szCs w:val="21"/>
        </w:rPr>
        <w:t>目约定的违约情况时，发包人可通知承包人立即解除合同，并按有关法律处理。</w:t>
      </w:r>
    </w:p>
    <w:p w14:paraId="623733FE">
      <w:pPr>
        <w:pStyle w:val="319"/>
        <w:numPr>
          <w:ilvl w:val="0"/>
          <w:numId w:val="25"/>
        </w:numPr>
        <w:tabs>
          <w:tab w:val="left" w:pos="920"/>
        </w:tabs>
        <w:ind w:firstLine="440"/>
        <w:rPr>
          <w:rFonts w:cs="Times New Roman"/>
          <w:sz w:val="21"/>
          <w:szCs w:val="21"/>
        </w:rPr>
      </w:pPr>
      <w:bookmarkStart w:id="1720" w:name="bookmark1509"/>
      <w:bookmarkEnd w:id="1720"/>
      <w:r>
        <w:rPr>
          <w:rFonts w:hint="eastAsia"/>
          <w:sz w:val="21"/>
          <w:szCs w:val="21"/>
        </w:rPr>
        <w:t>承包人发生除第</w:t>
      </w:r>
      <w:r>
        <w:rPr>
          <w:sz w:val="21"/>
          <w:szCs w:val="21"/>
          <w:lang w:val="en-US"/>
        </w:rPr>
        <w:t>22. 1.1</w:t>
      </w:r>
      <w:r>
        <w:rPr>
          <w:sz w:val="21"/>
          <w:szCs w:val="21"/>
        </w:rPr>
        <w:t>(6)</w:t>
      </w:r>
      <w:r>
        <w:rPr>
          <w:rFonts w:hint="eastAsia"/>
          <w:sz w:val="21"/>
          <w:szCs w:val="21"/>
        </w:rPr>
        <w:t>目约定以外的其他违约情况时，监理人可向承包人发出整改通知，要求其在指定的期限内改正。承包人应承担其违约所引起的费用增加和</w:t>
      </w:r>
      <w:r>
        <w:rPr>
          <w:sz w:val="21"/>
          <w:szCs w:val="21"/>
        </w:rPr>
        <w:t xml:space="preserve"> (</w:t>
      </w:r>
      <w:r>
        <w:rPr>
          <w:rFonts w:hint="eastAsia"/>
          <w:sz w:val="21"/>
          <w:szCs w:val="21"/>
        </w:rPr>
        <w:t>或</w:t>
      </w:r>
      <w:r>
        <w:rPr>
          <w:sz w:val="21"/>
          <w:szCs w:val="21"/>
        </w:rPr>
        <w:t>)</w:t>
      </w:r>
      <w:r>
        <w:rPr>
          <w:rFonts w:hint="eastAsia"/>
          <w:sz w:val="21"/>
          <w:szCs w:val="21"/>
        </w:rPr>
        <w:t>工期延误。</w:t>
      </w:r>
    </w:p>
    <w:p w14:paraId="60DD9292">
      <w:pPr>
        <w:pStyle w:val="319"/>
        <w:numPr>
          <w:ilvl w:val="0"/>
          <w:numId w:val="25"/>
        </w:numPr>
        <w:tabs>
          <w:tab w:val="left" w:pos="922"/>
        </w:tabs>
        <w:ind w:firstLine="440"/>
        <w:rPr>
          <w:rFonts w:cs="Times New Roman"/>
          <w:sz w:val="21"/>
          <w:szCs w:val="21"/>
        </w:rPr>
      </w:pPr>
      <w:bookmarkStart w:id="1721" w:name="bookmark1510"/>
      <w:bookmarkEnd w:id="1721"/>
      <w:r>
        <w:rPr>
          <w:rFonts w:hint="eastAsia"/>
          <w:sz w:val="21"/>
          <w:szCs w:val="21"/>
        </w:rPr>
        <w:t>经检查证明承包人已采取了有效措施纠正违约行为，具备复工条件的，可由监理人签发复工通知复工。</w:t>
      </w:r>
    </w:p>
    <w:p w14:paraId="3D0F8336">
      <w:pPr>
        <w:pStyle w:val="319"/>
        <w:ind w:firstLine="440"/>
        <w:rPr>
          <w:rFonts w:cs="Times New Roman"/>
          <w:sz w:val="21"/>
          <w:szCs w:val="21"/>
        </w:rPr>
      </w:pPr>
      <w:r>
        <w:rPr>
          <w:sz w:val="21"/>
          <w:szCs w:val="21"/>
          <w:lang w:val="en-US"/>
        </w:rPr>
        <w:t>22.1.3</w:t>
      </w:r>
      <w:r>
        <w:rPr>
          <w:rFonts w:hint="eastAsia"/>
          <w:sz w:val="21"/>
          <w:szCs w:val="21"/>
        </w:rPr>
        <w:t>承包人违约解除合同</w:t>
      </w:r>
    </w:p>
    <w:p w14:paraId="5339797C">
      <w:pPr>
        <w:pStyle w:val="319"/>
        <w:ind w:firstLine="440"/>
        <w:rPr>
          <w:rFonts w:cs="Times New Roman"/>
          <w:sz w:val="21"/>
          <w:szCs w:val="21"/>
        </w:rPr>
      </w:pPr>
      <w:r>
        <w:rPr>
          <w:rFonts w:hint="eastAsia"/>
          <w:sz w:val="21"/>
          <w:szCs w:val="21"/>
        </w:rPr>
        <w:t>监理人发出整改通知</w:t>
      </w:r>
      <w:r>
        <w:rPr>
          <w:sz w:val="21"/>
          <w:szCs w:val="21"/>
        </w:rPr>
        <w:t>28</w:t>
      </w:r>
      <w:r>
        <w:rPr>
          <w:rFonts w:hint="eastAsia"/>
          <w:sz w:val="21"/>
          <w:szCs w:val="21"/>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w:t>
      </w:r>
      <w:r>
        <w:rPr>
          <w:sz w:val="21"/>
          <w:szCs w:val="21"/>
        </w:rPr>
        <w:t xml:space="preserve"> </w:t>
      </w:r>
      <w:r>
        <w:rPr>
          <w:rFonts w:hint="eastAsia"/>
          <w:sz w:val="21"/>
          <w:szCs w:val="21"/>
        </w:rPr>
        <w:t>定享有的索赔权利。</w:t>
      </w:r>
    </w:p>
    <w:p w14:paraId="595342B0">
      <w:pPr>
        <w:pStyle w:val="319"/>
        <w:ind w:firstLine="440"/>
        <w:rPr>
          <w:rFonts w:cs="Times New Roman"/>
          <w:sz w:val="21"/>
          <w:szCs w:val="21"/>
        </w:rPr>
      </w:pPr>
      <w:r>
        <w:rPr>
          <w:sz w:val="21"/>
          <w:szCs w:val="21"/>
          <w:lang w:val="en-US"/>
        </w:rPr>
        <w:t>22.1.4</w:t>
      </w:r>
      <w:r>
        <w:rPr>
          <w:rFonts w:hint="eastAsia"/>
          <w:sz w:val="21"/>
          <w:szCs w:val="21"/>
        </w:rPr>
        <w:t>合同解除后的估价、付款和结清</w:t>
      </w:r>
    </w:p>
    <w:p w14:paraId="73B6B2A0">
      <w:pPr>
        <w:pStyle w:val="319"/>
        <w:numPr>
          <w:ilvl w:val="0"/>
          <w:numId w:val="26"/>
        </w:numPr>
        <w:tabs>
          <w:tab w:val="left" w:pos="920"/>
        </w:tabs>
        <w:ind w:firstLine="440"/>
        <w:rPr>
          <w:rFonts w:cs="Times New Roman"/>
          <w:sz w:val="21"/>
          <w:szCs w:val="21"/>
        </w:rPr>
      </w:pPr>
      <w:bookmarkStart w:id="1722" w:name="bookmark1511"/>
      <w:bookmarkEnd w:id="1722"/>
      <w:r>
        <w:rPr>
          <w:rFonts w:hint="eastAsia"/>
          <w:sz w:val="21"/>
          <w:szCs w:val="21"/>
        </w:rPr>
        <w:t>合同解除后，监理人按第</w:t>
      </w:r>
      <w:r>
        <w:rPr>
          <w:sz w:val="21"/>
          <w:szCs w:val="21"/>
          <w:lang w:val="en-US"/>
        </w:rPr>
        <w:t xml:space="preserve">3. </w:t>
      </w:r>
      <w:r>
        <w:rPr>
          <w:sz w:val="21"/>
          <w:szCs w:val="21"/>
        </w:rPr>
        <w:t>5</w:t>
      </w:r>
      <w:r>
        <w:rPr>
          <w:rFonts w:hint="eastAsia"/>
          <w:sz w:val="21"/>
          <w:szCs w:val="21"/>
        </w:rPr>
        <w:t>款商定或确定承包人实际完成工作的价值，以及承包人已提供的材料、施工设备、工程设备和临时工程等的价值。</w:t>
      </w:r>
    </w:p>
    <w:p w14:paraId="0737A1B5">
      <w:pPr>
        <w:pStyle w:val="319"/>
        <w:numPr>
          <w:ilvl w:val="0"/>
          <w:numId w:val="26"/>
        </w:numPr>
        <w:tabs>
          <w:tab w:val="left" w:pos="922"/>
        </w:tabs>
        <w:ind w:firstLine="440"/>
        <w:rPr>
          <w:rFonts w:cs="Times New Roman"/>
          <w:sz w:val="21"/>
          <w:szCs w:val="21"/>
        </w:rPr>
      </w:pPr>
      <w:bookmarkStart w:id="1723" w:name="bookmark1512"/>
      <w:bookmarkEnd w:id="1723"/>
      <w:r>
        <w:rPr>
          <w:rFonts w:hint="eastAsia"/>
          <w:sz w:val="21"/>
          <w:szCs w:val="21"/>
        </w:rPr>
        <w:t>合同解除后，发包人应暂停对承包人的一切付款，查清各项付款和已扣款金额</w:t>
      </w:r>
      <w:r>
        <w:rPr>
          <w:sz w:val="21"/>
          <w:szCs w:val="21"/>
        </w:rPr>
        <w:t xml:space="preserve">, </w:t>
      </w:r>
      <w:r>
        <w:rPr>
          <w:rFonts w:hint="eastAsia"/>
          <w:sz w:val="21"/>
          <w:szCs w:val="21"/>
        </w:rPr>
        <w:t>包括承包人应支付的违约金。</w:t>
      </w:r>
    </w:p>
    <w:p w14:paraId="09520047">
      <w:pPr>
        <w:pStyle w:val="319"/>
        <w:numPr>
          <w:ilvl w:val="0"/>
          <w:numId w:val="26"/>
        </w:numPr>
        <w:tabs>
          <w:tab w:val="left" w:pos="920"/>
        </w:tabs>
        <w:ind w:firstLine="440"/>
        <w:rPr>
          <w:rFonts w:cs="Times New Roman"/>
          <w:sz w:val="21"/>
          <w:szCs w:val="21"/>
        </w:rPr>
      </w:pPr>
      <w:bookmarkStart w:id="1724" w:name="bookmark1513"/>
      <w:bookmarkEnd w:id="1724"/>
      <w:r>
        <w:rPr>
          <w:rFonts w:hint="eastAsia"/>
          <w:sz w:val="21"/>
          <w:szCs w:val="21"/>
        </w:rPr>
        <w:t>合同解除后，发包人应按第</w:t>
      </w:r>
      <w:r>
        <w:rPr>
          <w:sz w:val="21"/>
          <w:szCs w:val="21"/>
          <w:lang w:val="en-US"/>
        </w:rPr>
        <w:t xml:space="preserve">23. </w:t>
      </w:r>
      <w:r>
        <w:rPr>
          <w:sz w:val="21"/>
          <w:szCs w:val="21"/>
        </w:rPr>
        <w:t>4</w:t>
      </w:r>
      <w:r>
        <w:rPr>
          <w:rFonts w:hint="eastAsia"/>
          <w:sz w:val="21"/>
          <w:szCs w:val="21"/>
        </w:rPr>
        <w:t>款的约定向承包人索赔由于解除合同给发包人造成的损失。</w:t>
      </w:r>
    </w:p>
    <w:p w14:paraId="5EDB0DF2">
      <w:pPr>
        <w:pStyle w:val="319"/>
        <w:numPr>
          <w:ilvl w:val="0"/>
          <w:numId w:val="26"/>
        </w:numPr>
        <w:tabs>
          <w:tab w:val="left" w:pos="903"/>
        </w:tabs>
        <w:ind w:firstLine="420"/>
        <w:rPr>
          <w:rFonts w:cs="Times New Roman"/>
          <w:sz w:val="21"/>
          <w:szCs w:val="21"/>
        </w:rPr>
      </w:pPr>
      <w:bookmarkStart w:id="1725" w:name="bookmark1514"/>
      <w:bookmarkEnd w:id="1725"/>
      <w:r>
        <w:rPr>
          <w:rFonts w:hint="eastAsia"/>
          <w:sz w:val="21"/>
          <w:szCs w:val="21"/>
        </w:rPr>
        <w:t>合同双方确认上述往来款项后，出具最终结清付款证书，结清全部合同款项。</w:t>
      </w:r>
    </w:p>
    <w:p w14:paraId="632C8731">
      <w:pPr>
        <w:pStyle w:val="319"/>
        <w:numPr>
          <w:ilvl w:val="0"/>
          <w:numId w:val="26"/>
        </w:numPr>
        <w:tabs>
          <w:tab w:val="left" w:pos="922"/>
        </w:tabs>
        <w:spacing w:after="120"/>
        <w:ind w:firstLine="440"/>
        <w:rPr>
          <w:rFonts w:cs="Times New Roman"/>
          <w:sz w:val="21"/>
          <w:szCs w:val="21"/>
        </w:rPr>
      </w:pPr>
      <w:bookmarkStart w:id="1726" w:name="bookmark1515"/>
      <w:bookmarkEnd w:id="1726"/>
      <w:r>
        <w:rPr>
          <w:rFonts w:hint="eastAsia"/>
          <w:sz w:val="21"/>
          <w:szCs w:val="21"/>
        </w:rPr>
        <w:t>发包人和承包人未能就解除合同后的结清达成一致而形成争议的，按第</w:t>
      </w:r>
      <w:r>
        <w:rPr>
          <w:sz w:val="21"/>
          <w:szCs w:val="21"/>
        </w:rPr>
        <w:t>24</w:t>
      </w:r>
      <w:r>
        <w:rPr>
          <w:rFonts w:hint="eastAsia"/>
          <w:sz w:val="21"/>
          <w:szCs w:val="21"/>
        </w:rPr>
        <w:t>条的约定办理。</w:t>
      </w:r>
    </w:p>
    <w:p w14:paraId="4247EB60">
      <w:pPr>
        <w:pStyle w:val="319"/>
        <w:ind w:firstLine="440"/>
        <w:rPr>
          <w:rFonts w:cs="Times New Roman"/>
          <w:sz w:val="21"/>
          <w:szCs w:val="21"/>
        </w:rPr>
      </w:pPr>
      <w:r>
        <w:rPr>
          <w:sz w:val="21"/>
          <w:szCs w:val="21"/>
          <w:lang w:val="en-US"/>
        </w:rPr>
        <w:t>22.1.5</w:t>
      </w:r>
      <w:r>
        <w:rPr>
          <w:rFonts w:hint="eastAsia"/>
          <w:sz w:val="21"/>
          <w:szCs w:val="21"/>
        </w:rPr>
        <w:t>协议利益的转让</w:t>
      </w:r>
    </w:p>
    <w:p w14:paraId="380F9075">
      <w:pPr>
        <w:pStyle w:val="319"/>
        <w:ind w:firstLine="440"/>
        <w:rPr>
          <w:rFonts w:cs="Times New Roman"/>
          <w:sz w:val="21"/>
          <w:szCs w:val="21"/>
        </w:rPr>
      </w:pPr>
      <w:r>
        <w:rPr>
          <w:rFonts w:hint="eastAsia"/>
          <w:sz w:val="21"/>
          <w:szCs w:val="21"/>
        </w:rPr>
        <w:t>因承包人违约解除合同的，发包人有权要求承包人将其为实施合同而签订的材料和设备的订货协议或任何服务协议利益转让给发包人，并在解除合同后的</w:t>
      </w:r>
      <w:r>
        <w:rPr>
          <w:sz w:val="21"/>
          <w:szCs w:val="21"/>
        </w:rPr>
        <w:t>14</w:t>
      </w:r>
      <w:r>
        <w:rPr>
          <w:rFonts w:hint="eastAsia"/>
          <w:sz w:val="21"/>
          <w:szCs w:val="21"/>
        </w:rPr>
        <w:t>天内，依法办理转让手续。</w:t>
      </w:r>
    </w:p>
    <w:p w14:paraId="66C7B21E">
      <w:pPr>
        <w:pStyle w:val="319"/>
        <w:ind w:firstLine="440"/>
        <w:rPr>
          <w:rFonts w:cs="Times New Roman"/>
          <w:sz w:val="21"/>
          <w:szCs w:val="21"/>
          <w:lang w:val="en-US"/>
        </w:rPr>
      </w:pPr>
      <w:bookmarkStart w:id="1727" w:name="bookmark1516"/>
      <w:bookmarkEnd w:id="1727"/>
      <w:r>
        <w:rPr>
          <w:sz w:val="21"/>
          <w:szCs w:val="21"/>
          <w:lang w:val="en-US"/>
        </w:rPr>
        <w:t>22.1.6</w:t>
      </w:r>
      <w:r>
        <w:rPr>
          <w:rFonts w:hint="eastAsia"/>
          <w:sz w:val="21"/>
          <w:szCs w:val="21"/>
          <w:lang w:val="en-US"/>
        </w:rPr>
        <w:t>紧急情况下无能力或不愿进行抢救</w:t>
      </w:r>
    </w:p>
    <w:p w14:paraId="3785BBEF">
      <w:pPr>
        <w:pStyle w:val="319"/>
        <w:spacing w:after="120"/>
        <w:ind w:firstLine="440"/>
        <w:rPr>
          <w:rFonts w:cs="Times New Roman"/>
          <w:sz w:val="21"/>
          <w:szCs w:val="21"/>
        </w:rPr>
      </w:pPr>
      <w:r>
        <w:rPr>
          <w:rFonts w:hint="eastAsia"/>
          <w:sz w:val="2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w:t>
      </w:r>
      <w:r>
        <w:rPr>
          <w:sz w:val="21"/>
          <w:szCs w:val="21"/>
        </w:rPr>
        <w:t>(</w:t>
      </w:r>
      <w:r>
        <w:rPr>
          <w:rFonts w:hint="eastAsia"/>
          <w:sz w:val="21"/>
          <w:szCs w:val="21"/>
        </w:rPr>
        <w:t>或</w:t>
      </w:r>
      <w:r>
        <w:rPr>
          <w:sz w:val="21"/>
          <w:szCs w:val="21"/>
        </w:rPr>
        <w:t>)</w:t>
      </w:r>
      <w:r>
        <w:rPr>
          <w:rFonts w:hint="eastAsia"/>
          <w:sz w:val="21"/>
          <w:szCs w:val="21"/>
        </w:rPr>
        <w:t>工期延误由承包人承担。</w:t>
      </w:r>
    </w:p>
    <w:p w14:paraId="4DFF1D0A">
      <w:pPr>
        <w:pStyle w:val="318"/>
        <w:spacing w:line="360" w:lineRule="auto"/>
        <w:rPr>
          <w:rFonts w:ascii="宋体" w:cs="宋体"/>
          <w:sz w:val="21"/>
          <w:szCs w:val="21"/>
        </w:rPr>
      </w:pPr>
      <w:bookmarkStart w:id="1728" w:name="bookmark1519"/>
      <w:bookmarkStart w:id="1729" w:name="_Toc256000164"/>
      <w:bookmarkStart w:id="1730" w:name="_Toc24772"/>
      <w:bookmarkStart w:id="1731" w:name="_Toc256000414"/>
      <w:bookmarkStart w:id="1732" w:name="bookmark1517"/>
      <w:bookmarkStart w:id="1733" w:name="_Toc13237"/>
      <w:bookmarkStart w:id="1734" w:name="bookmark1518"/>
      <w:bookmarkStart w:id="1735" w:name="_Toc32348"/>
      <w:bookmarkStart w:id="1736" w:name="_Toc1824"/>
      <w:r>
        <w:rPr>
          <w:rFonts w:ascii="宋体" w:hAnsi="宋体" w:cs="宋体"/>
          <w:sz w:val="21"/>
          <w:szCs w:val="21"/>
        </w:rPr>
        <w:t>22.2</w:t>
      </w:r>
      <w:r>
        <w:rPr>
          <w:rFonts w:hint="eastAsia" w:ascii="宋体" w:hAnsi="宋体" w:cs="宋体"/>
          <w:sz w:val="21"/>
          <w:szCs w:val="21"/>
        </w:rPr>
        <w:t>发包人违约</w:t>
      </w:r>
      <w:bookmarkEnd w:id="1728"/>
      <w:bookmarkEnd w:id="1729"/>
      <w:bookmarkEnd w:id="1730"/>
      <w:bookmarkEnd w:id="1731"/>
      <w:bookmarkEnd w:id="1732"/>
      <w:bookmarkEnd w:id="1733"/>
      <w:bookmarkEnd w:id="1734"/>
      <w:bookmarkEnd w:id="1735"/>
      <w:bookmarkEnd w:id="1736"/>
    </w:p>
    <w:p w14:paraId="26CA51F5">
      <w:pPr>
        <w:pStyle w:val="319"/>
        <w:ind w:firstLine="420"/>
        <w:rPr>
          <w:rFonts w:cs="Times New Roman"/>
          <w:sz w:val="21"/>
          <w:szCs w:val="21"/>
        </w:rPr>
      </w:pPr>
      <w:r>
        <w:rPr>
          <w:sz w:val="21"/>
          <w:szCs w:val="21"/>
          <w:lang w:val="en-US"/>
        </w:rPr>
        <w:t>22.2.1</w:t>
      </w:r>
      <w:r>
        <w:rPr>
          <w:rFonts w:hint="eastAsia"/>
          <w:sz w:val="21"/>
          <w:szCs w:val="21"/>
        </w:rPr>
        <w:t>发包人违约的情形</w:t>
      </w:r>
    </w:p>
    <w:p w14:paraId="474F979C">
      <w:pPr>
        <w:pStyle w:val="319"/>
        <w:ind w:firstLine="420"/>
        <w:rPr>
          <w:rFonts w:cs="Times New Roman"/>
          <w:sz w:val="21"/>
          <w:szCs w:val="21"/>
        </w:rPr>
      </w:pPr>
      <w:r>
        <w:rPr>
          <w:rFonts w:hint="eastAsia"/>
          <w:sz w:val="21"/>
          <w:szCs w:val="21"/>
        </w:rPr>
        <w:t>在履行合同过程中发生的下列情形，属发包人违约：</w:t>
      </w:r>
    </w:p>
    <w:p w14:paraId="2ED55BEF">
      <w:pPr>
        <w:pStyle w:val="319"/>
        <w:numPr>
          <w:ilvl w:val="0"/>
          <w:numId w:val="27"/>
        </w:numPr>
        <w:ind w:firstLine="420"/>
        <w:rPr>
          <w:rFonts w:cs="Times New Roman"/>
          <w:sz w:val="21"/>
          <w:szCs w:val="21"/>
        </w:rPr>
      </w:pPr>
      <w:bookmarkStart w:id="1737" w:name="bookmark1520"/>
      <w:bookmarkEnd w:id="1737"/>
      <w:r>
        <w:rPr>
          <w:rFonts w:hint="eastAsia"/>
          <w:sz w:val="21"/>
          <w:szCs w:val="21"/>
        </w:rPr>
        <w:t>发包人未能按合同约定支付预付款或合同价款，或拖延、拒绝批准付款申请和支付凭证，导致付款延误的；</w:t>
      </w:r>
    </w:p>
    <w:p w14:paraId="25E1F786">
      <w:pPr>
        <w:pStyle w:val="319"/>
        <w:numPr>
          <w:ilvl w:val="0"/>
          <w:numId w:val="27"/>
        </w:numPr>
        <w:tabs>
          <w:tab w:val="left" w:pos="903"/>
        </w:tabs>
        <w:ind w:firstLine="420"/>
        <w:rPr>
          <w:rFonts w:cs="Times New Roman"/>
          <w:sz w:val="21"/>
          <w:szCs w:val="21"/>
        </w:rPr>
      </w:pPr>
      <w:bookmarkStart w:id="1738" w:name="bookmark1521"/>
      <w:bookmarkEnd w:id="1738"/>
      <w:r>
        <w:rPr>
          <w:rFonts w:hint="eastAsia"/>
          <w:sz w:val="21"/>
          <w:szCs w:val="21"/>
        </w:rPr>
        <w:t>发包人原因造成停工的；</w:t>
      </w:r>
    </w:p>
    <w:p w14:paraId="030D08F3">
      <w:pPr>
        <w:pStyle w:val="319"/>
        <w:numPr>
          <w:ilvl w:val="0"/>
          <w:numId w:val="27"/>
        </w:numPr>
        <w:tabs>
          <w:tab w:val="left" w:pos="903"/>
        </w:tabs>
        <w:ind w:firstLine="420"/>
        <w:rPr>
          <w:rFonts w:cs="Times New Roman"/>
          <w:sz w:val="21"/>
          <w:szCs w:val="21"/>
        </w:rPr>
      </w:pPr>
      <w:bookmarkStart w:id="1739" w:name="bookmark1522"/>
      <w:bookmarkEnd w:id="1739"/>
      <w:r>
        <w:rPr>
          <w:rFonts w:hint="eastAsia"/>
          <w:sz w:val="21"/>
          <w:szCs w:val="21"/>
        </w:rPr>
        <w:t>监理人无正当理由没有在约定期限内发出复工指示，导致承包人无法复工的；</w:t>
      </w:r>
    </w:p>
    <w:p w14:paraId="1941C41D">
      <w:pPr>
        <w:pStyle w:val="319"/>
        <w:numPr>
          <w:ilvl w:val="0"/>
          <w:numId w:val="27"/>
        </w:numPr>
        <w:tabs>
          <w:tab w:val="left" w:pos="903"/>
        </w:tabs>
        <w:ind w:firstLine="420"/>
        <w:rPr>
          <w:rFonts w:cs="Times New Roman"/>
          <w:sz w:val="21"/>
          <w:szCs w:val="21"/>
        </w:rPr>
      </w:pPr>
      <w:bookmarkStart w:id="1740" w:name="bookmark1523"/>
      <w:bookmarkEnd w:id="1740"/>
      <w:r>
        <w:rPr>
          <w:rFonts w:hint="eastAsia"/>
          <w:sz w:val="21"/>
          <w:szCs w:val="21"/>
        </w:rPr>
        <w:t>发包人无法继续履行或明确表示不履行或实质上已停止履行合同的；</w:t>
      </w:r>
    </w:p>
    <w:p w14:paraId="5020DB98">
      <w:pPr>
        <w:pStyle w:val="319"/>
        <w:numPr>
          <w:ilvl w:val="0"/>
          <w:numId w:val="27"/>
        </w:numPr>
        <w:tabs>
          <w:tab w:val="left" w:pos="903"/>
        </w:tabs>
        <w:ind w:firstLine="420"/>
        <w:rPr>
          <w:rFonts w:cs="Times New Roman"/>
          <w:sz w:val="21"/>
          <w:szCs w:val="21"/>
        </w:rPr>
      </w:pPr>
      <w:bookmarkStart w:id="1741" w:name="bookmark1524"/>
      <w:bookmarkEnd w:id="1741"/>
      <w:r>
        <w:rPr>
          <w:rFonts w:hint="eastAsia"/>
          <w:sz w:val="21"/>
          <w:szCs w:val="21"/>
        </w:rPr>
        <w:t>发包人不履行合同约定其他义务的。</w:t>
      </w:r>
    </w:p>
    <w:p w14:paraId="0E588E51">
      <w:pPr>
        <w:pStyle w:val="319"/>
        <w:ind w:firstLine="420"/>
        <w:rPr>
          <w:rFonts w:cs="Times New Roman"/>
          <w:sz w:val="21"/>
          <w:szCs w:val="21"/>
        </w:rPr>
      </w:pPr>
      <w:r>
        <w:rPr>
          <w:sz w:val="21"/>
          <w:szCs w:val="21"/>
          <w:lang w:val="en-US"/>
        </w:rPr>
        <w:t>22.2.2</w:t>
      </w:r>
      <w:r>
        <w:rPr>
          <w:rFonts w:hint="eastAsia"/>
          <w:sz w:val="21"/>
          <w:szCs w:val="21"/>
        </w:rPr>
        <w:t>承包人有权暂停施工</w:t>
      </w:r>
    </w:p>
    <w:p w14:paraId="52945159">
      <w:pPr>
        <w:pStyle w:val="319"/>
        <w:ind w:firstLine="440"/>
        <w:rPr>
          <w:rFonts w:cs="Times New Roman"/>
          <w:sz w:val="21"/>
          <w:szCs w:val="21"/>
        </w:rPr>
      </w:pPr>
      <w:r>
        <w:rPr>
          <w:rFonts w:hint="eastAsia"/>
          <w:sz w:val="21"/>
          <w:szCs w:val="21"/>
        </w:rPr>
        <w:t>发包人发生除第</w:t>
      </w:r>
      <w:r>
        <w:rPr>
          <w:sz w:val="21"/>
          <w:szCs w:val="21"/>
          <w:lang w:val="en-US"/>
        </w:rPr>
        <w:t xml:space="preserve">22.2.1 </w:t>
      </w:r>
      <w:r>
        <w:rPr>
          <w:sz w:val="21"/>
          <w:szCs w:val="21"/>
        </w:rPr>
        <w:t>(4)</w:t>
      </w:r>
      <w:r>
        <w:rPr>
          <w:rFonts w:hint="eastAsia"/>
          <w:sz w:val="21"/>
          <w:szCs w:val="21"/>
        </w:rPr>
        <w:t>目以外的违约情况时，承包人可向发包人发出通知，要求发包人采取有效措施纠正违约行为。发包人收到承包人通知后的</w:t>
      </w:r>
      <w:r>
        <w:rPr>
          <w:sz w:val="21"/>
          <w:szCs w:val="21"/>
        </w:rPr>
        <w:t>28</w:t>
      </w:r>
      <w:r>
        <w:rPr>
          <w:rFonts w:hint="eastAsia"/>
          <w:sz w:val="21"/>
          <w:szCs w:val="21"/>
        </w:rPr>
        <w:t>天内仍不履行合同义</w:t>
      </w:r>
      <w:r>
        <w:rPr>
          <w:sz w:val="21"/>
          <w:szCs w:val="21"/>
        </w:rPr>
        <w:t xml:space="preserve"> </w:t>
      </w:r>
      <w:r>
        <w:rPr>
          <w:rFonts w:hint="eastAsia"/>
          <w:sz w:val="21"/>
          <w:szCs w:val="21"/>
        </w:rPr>
        <w:t>务，承包人有权暂停施工，并通知监理人，发包人应承担由此增加的费用和</w:t>
      </w:r>
      <w:r>
        <w:rPr>
          <w:sz w:val="21"/>
          <w:szCs w:val="21"/>
        </w:rPr>
        <w:t>(</w:t>
      </w:r>
      <w:r>
        <w:rPr>
          <w:rFonts w:hint="eastAsia"/>
          <w:sz w:val="21"/>
          <w:szCs w:val="21"/>
        </w:rPr>
        <w:t>或</w:t>
      </w:r>
      <w:r>
        <w:rPr>
          <w:sz w:val="21"/>
          <w:szCs w:val="21"/>
        </w:rPr>
        <w:t>)</w:t>
      </w:r>
      <w:r>
        <w:rPr>
          <w:rFonts w:hint="eastAsia"/>
          <w:sz w:val="21"/>
          <w:szCs w:val="21"/>
        </w:rPr>
        <w:t>工期延误，并支付承包人合理利润。</w:t>
      </w:r>
    </w:p>
    <w:p w14:paraId="00DB2C51">
      <w:pPr>
        <w:pStyle w:val="319"/>
        <w:ind w:firstLine="420"/>
        <w:rPr>
          <w:rFonts w:cs="Times New Roman"/>
          <w:sz w:val="21"/>
          <w:szCs w:val="21"/>
        </w:rPr>
      </w:pPr>
      <w:r>
        <w:rPr>
          <w:sz w:val="21"/>
          <w:szCs w:val="21"/>
          <w:lang w:val="en-US" w:eastAsia="en-US"/>
        </w:rPr>
        <w:t>22.2.3</w:t>
      </w:r>
      <w:r>
        <w:rPr>
          <w:rFonts w:hint="eastAsia"/>
          <w:sz w:val="21"/>
          <w:szCs w:val="21"/>
        </w:rPr>
        <w:t>发包人违约解除合同</w:t>
      </w:r>
    </w:p>
    <w:p w14:paraId="5D64A365">
      <w:pPr>
        <w:pStyle w:val="319"/>
        <w:numPr>
          <w:ilvl w:val="0"/>
          <w:numId w:val="28"/>
        </w:numPr>
        <w:tabs>
          <w:tab w:val="left" w:pos="923"/>
        </w:tabs>
        <w:ind w:firstLine="440"/>
        <w:rPr>
          <w:rFonts w:cs="Times New Roman"/>
          <w:sz w:val="21"/>
          <w:szCs w:val="21"/>
        </w:rPr>
      </w:pPr>
      <w:bookmarkStart w:id="1742" w:name="bookmark1525"/>
      <w:bookmarkEnd w:id="1742"/>
      <w:r>
        <w:rPr>
          <w:rFonts w:hint="eastAsia"/>
          <w:sz w:val="21"/>
          <w:szCs w:val="21"/>
        </w:rPr>
        <w:t>发生第</w:t>
      </w:r>
      <w:r>
        <w:rPr>
          <w:sz w:val="21"/>
          <w:szCs w:val="21"/>
          <w:lang w:val="en-US"/>
        </w:rPr>
        <w:t xml:space="preserve">22.2.1 </w:t>
      </w:r>
      <w:r>
        <w:rPr>
          <w:sz w:val="21"/>
          <w:szCs w:val="21"/>
        </w:rPr>
        <w:t>(4)</w:t>
      </w:r>
      <w:r>
        <w:rPr>
          <w:rFonts w:hint="eastAsia"/>
          <w:sz w:val="21"/>
          <w:szCs w:val="21"/>
        </w:rPr>
        <w:t>目的违约情况时，承包人可书面通知发包人解除合同。</w:t>
      </w:r>
    </w:p>
    <w:p w14:paraId="541F0E8C">
      <w:pPr>
        <w:pStyle w:val="319"/>
        <w:numPr>
          <w:ilvl w:val="0"/>
          <w:numId w:val="28"/>
        </w:numPr>
        <w:tabs>
          <w:tab w:val="left" w:pos="920"/>
        </w:tabs>
        <w:ind w:firstLine="440"/>
        <w:rPr>
          <w:rFonts w:cs="Times New Roman"/>
          <w:sz w:val="21"/>
          <w:szCs w:val="21"/>
        </w:rPr>
      </w:pPr>
      <w:bookmarkStart w:id="1743" w:name="bookmark1526"/>
      <w:bookmarkEnd w:id="1743"/>
      <w:r>
        <w:rPr>
          <w:rFonts w:hint="eastAsia"/>
          <w:sz w:val="21"/>
          <w:szCs w:val="21"/>
        </w:rPr>
        <w:t>承包人按</w:t>
      </w:r>
      <w:r>
        <w:rPr>
          <w:sz w:val="21"/>
          <w:szCs w:val="21"/>
          <w:lang w:val="en-US"/>
        </w:rPr>
        <w:t>22.2.2</w:t>
      </w:r>
      <w:r>
        <w:rPr>
          <w:rFonts w:hint="eastAsia"/>
          <w:sz w:val="21"/>
          <w:szCs w:val="21"/>
        </w:rPr>
        <w:t>项暂停施工</w:t>
      </w:r>
      <w:r>
        <w:rPr>
          <w:sz w:val="21"/>
          <w:szCs w:val="21"/>
        </w:rPr>
        <w:t>28</w:t>
      </w:r>
      <w:r>
        <w:rPr>
          <w:rFonts w:hint="eastAsia"/>
          <w:sz w:val="21"/>
          <w:szCs w:val="21"/>
        </w:rPr>
        <w:t>天后，发包人仍不纠正违约行为的，承包人可向发包人发出解除合同通知。但承包人的这一行动不免除发包人承担的违约责任，也不影响承包人根据合同约定享有的索赔权利。</w:t>
      </w:r>
    </w:p>
    <w:p w14:paraId="6E3D789D">
      <w:pPr>
        <w:pStyle w:val="319"/>
        <w:ind w:firstLine="440"/>
        <w:rPr>
          <w:rFonts w:cs="Times New Roman"/>
          <w:sz w:val="21"/>
          <w:szCs w:val="21"/>
        </w:rPr>
      </w:pPr>
      <w:r>
        <w:rPr>
          <w:sz w:val="21"/>
          <w:szCs w:val="21"/>
          <w:lang w:val="en-US"/>
        </w:rPr>
        <w:t>22.2.4</w:t>
      </w:r>
      <w:r>
        <w:rPr>
          <w:rFonts w:hint="eastAsia"/>
          <w:sz w:val="21"/>
          <w:szCs w:val="21"/>
        </w:rPr>
        <w:t>解除合同后的付款</w:t>
      </w:r>
    </w:p>
    <w:p w14:paraId="6D04BC07">
      <w:pPr>
        <w:pStyle w:val="319"/>
        <w:ind w:firstLine="440"/>
        <w:rPr>
          <w:rFonts w:cs="Times New Roman"/>
          <w:sz w:val="21"/>
          <w:szCs w:val="21"/>
        </w:rPr>
      </w:pPr>
      <w:r>
        <w:rPr>
          <w:rFonts w:hint="eastAsia"/>
          <w:sz w:val="21"/>
          <w:szCs w:val="21"/>
        </w:rPr>
        <w:t>因发包人违约解除合同的，发包人应在解除合同后</w:t>
      </w:r>
      <w:r>
        <w:rPr>
          <w:sz w:val="21"/>
          <w:szCs w:val="21"/>
        </w:rPr>
        <w:t>28</w:t>
      </w:r>
      <w:r>
        <w:rPr>
          <w:rFonts w:hint="eastAsia"/>
          <w:sz w:val="21"/>
          <w:szCs w:val="21"/>
        </w:rPr>
        <w:t>天内向承包人支付下列金额，承包人应在此期限内及时向发包人提交要求支付下列金额的有关资料和凭证：</w:t>
      </w:r>
    </w:p>
    <w:p w14:paraId="4FE21BC5">
      <w:pPr>
        <w:pStyle w:val="319"/>
        <w:numPr>
          <w:ilvl w:val="0"/>
          <w:numId w:val="29"/>
        </w:numPr>
        <w:tabs>
          <w:tab w:val="left" w:pos="903"/>
        </w:tabs>
        <w:ind w:firstLine="420"/>
        <w:rPr>
          <w:rFonts w:cs="Times New Roman"/>
          <w:sz w:val="21"/>
          <w:szCs w:val="21"/>
        </w:rPr>
      </w:pPr>
      <w:bookmarkStart w:id="1744" w:name="bookmark1527"/>
      <w:bookmarkEnd w:id="1744"/>
      <w:r>
        <w:rPr>
          <w:rFonts w:hint="eastAsia"/>
          <w:sz w:val="21"/>
          <w:szCs w:val="21"/>
        </w:rPr>
        <w:t>合同解除日以前所完成工作的价款；</w:t>
      </w:r>
    </w:p>
    <w:p w14:paraId="7937DC64">
      <w:pPr>
        <w:pStyle w:val="319"/>
        <w:numPr>
          <w:ilvl w:val="0"/>
          <w:numId w:val="29"/>
        </w:numPr>
        <w:tabs>
          <w:tab w:val="left" w:pos="920"/>
        </w:tabs>
        <w:ind w:firstLine="440"/>
        <w:rPr>
          <w:rFonts w:cs="Times New Roman"/>
          <w:sz w:val="21"/>
          <w:szCs w:val="21"/>
        </w:rPr>
      </w:pPr>
      <w:bookmarkStart w:id="1745" w:name="bookmark1528"/>
      <w:bookmarkEnd w:id="1745"/>
      <w:r>
        <w:rPr>
          <w:rFonts w:hint="eastAsia"/>
          <w:sz w:val="21"/>
          <w:szCs w:val="21"/>
        </w:rPr>
        <w:t>承包人为该工程施工订购并已付款的材料、工程设备和其他物品的金额。发包人付还后，该材料、工程设备和其他物品归发包人所有；</w:t>
      </w:r>
    </w:p>
    <w:p w14:paraId="1753DEFA">
      <w:pPr>
        <w:pStyle w:val="319"/>
        <w:numPr>
          <w:ilvl w:val="0"/>
          <w:numId w:val="29"/>
        </w:numPr>
        <w:tabs>
          <w:tab w:val="left" w:pos="903"/>
        </w:tabs>
        <w:ind w:firstLine="420"/>
        <w:rPr>
          <w:rFonts w:cs="Times New Roman"/>
          <w:sz w:val="21"/>
          <w:szCs w:val="21"/>
        </w:rPr>
      </w:pPr>
      <w:bookmarkStart w:id="1746" w:name="bookmark1529"/>
      <w:bookmarkEnd w:id="1746"/>
      <w:r>
        <w:rPr>
          <w:rFonts w:hint="eastAsia"/>
          <w:sz w:val="21"/>
          <w:szCs w:val="21"/>
        </w:rPr>
        <w:t>承包人为完成工程所发生的，而发包人未支付的金额；</w:t>
      </w:r>
    </w:p>
    <w:p w14:paraId="358D907B">
      <w:pPr>
        <w:pStyle w:val="319"/>
        <w:numPr>
          <w:ilvl w:val="0"/>
          <w:numId w:val="29"/>
        </w:numPr>
        <w:tabs>
          <w:tab w:val="left" w:pos="903"/>
        </w:tabs>
        <w:ind w:firstLine="420"/>
        <w:rPr>
          <w:rFonts w:cs="Times New Roman"/>
          <w:sz w:val="21"/>
          <w:szCs w:val="21"/>
        </w:rPr>
      </w:pPr>
      <w:bookmarkStart w:id="1747" w:name="bookmark1530"/>
      <w:bookmarkEnd w:id="1747"/>
      <w:r>
        <w:rPr>
          <w:rFonts w:hint="eastAsia"/>
          <w:sz w:val="21"/>
          <w:szCs w:val="21"/>
        </w:rPr>
        <w:t>承包人撤离施工场地以及遣散承包人人员的金额；</w:t>
      </w:r>
    </w:p>
    <w:p w14:paraId="1D33731C">
      <w:pPr>
        <w:pStyle w:val="319"/>
        <w:numPr>
          <w:ilvl w:val="0"/>
          <w:numId w:val="29"/>
        </w:numPr>
        <w:tabs>
          <w:tab w:val="left" w:pos="903"/>
        </w:tabs>
        <w:ind w:firstLine="420"/>
        <w:rPr>
          <w:rFonts w:cs="Times New Roman"/>
          <w:sz w:val="21"/>
          <w:szCs w:val="21"/>
        </w:rPr>
      </w:pPr>
      <w:bookmarkStart w:id="1748" w:name="bookmark1531"/>
      <w:bookmarkEnd w:id="1748"/>
      <w:r>
        <w:rPr>
          <w:rFonts w:hint="eastAsia"/>
          <w:sz w:val="21"/>
          <w:szCs w:val="21"/>
        </w:rPr>
        <w:t>由于解除合同应赔偿的承包人损失；</w:t>
      </w:r>
    </w:p>
    <w:p w14:paraId="50D69F0D">
      <w:pPr>
        <w:pStyle w:val="319"/>
        <w:numPr>
          <w:ilvl w:val="0"/>
          <w:numId w:val="29"/>
        </w:numPr>
        <w:tabs>
          <w:tab w:val="left" w:pos="903"/>
        </w:tabs>
        <w:ind w:firstLine="420"/>
        <w:rPr>
          <w:rFonts w:cs="Times New Roman"/>
          <w:sz w:val="21"/>
          <w:szCs w:val="21"/>
        </w:rPr>
      </w:pPr>
      <w:bookmarkStart w:id="1749" w:name="bookmark1532"/>
      <w:bookmarkEnd w:id="1749"/>
      <w:r>
        <w:rPr>
          <w:rFonts w:hint="eastAsia"/>
          <w:sz w:val="21"/>
          <w:szCs w:val="21"/>
        </w:rPr>
        <w:t>按合同约定在合同解除日前应支付给承包人的其他金额。</w:t>
      </w:r>
    </w:p>
    <w:p w14:paraId="677A38DE">
      <w:pPr>
        <w:pStyle w:val="319"/>
        <w:ind w:firstLine="440"/>
        <w:rPr>
          <w:rFonts w:cs="Times New Roman"/>
          <w:sz w:val="21"/>
          <w:szCs w:val="21"/>
        </w:rPr>
      </w:pPr>
      <w:r>
        <w:rPr>
          <w:rFonts w:hint="eastAsia"/>
          <w:sz w:val="21"/>
          <w:szCs w:val="21"/>
        </w:rPr>
        <w:t>发包人应按本项约定支付上述金额并退还质量保证金和履约担保，但有权要求承包人支付应偿还给发包人的各项金额。</w:t>
      </w:r>
    </w:p>
    <w:p w14:paraId="4F5C6F3D">
      <w:pPr>
        <w:pStyle w:val="319"/>
        <w:ind w:firstLine="420"/>
        <w:rPr>
          <w:rFonts w:cs="Times New Roman"/>
          <w:sz w:val="21"/>
          <w:szCs w:val="21"/>
          <w:lang w:val="en-US"/>
        </w:rPr>
      </w:pPr>
      <w:r>
        <w:rPr>
          <w:sz w:val="21"/>
          <w:szCs w:val="21"/>
          <w:lang w:val="en-US"/>
        </w:rPr>
        <w:t>22.2.5</w:t>
      </w:r>
      <w:r>
        <w:rPr>
          <w:rFonts w:hint="eastAsia"/>
          <w:sz w:val="21"/>
          <w:szCs w:val="21"/>
          <w:lang w:val="en-US"/>
        </w:rPr>
        <w:t>解除合同后的承包人撤离</w:t>
      </w:r>
    </w:p>
    <w:p w14:paraId="27F6008A">
      <w:pPr>
        <w:pStyle w:val="319"/>
        <w:spacing w:after="180"/>
        <w:ind w:firstLine="440"/>
        <w:rPr>
          <w:rFonts w:cs="Times New Roman"/>
          <w:sz w:val="21"/>
          <w:szCs w:val="21"/>
        </w:rPr>
      </w:pPr>
      <w:r>
        <w:rPr>
          <w:rFonts w:hint="eastAsia"/>
          <w:sz w:val="21"/>
          <w:szCs w:val="21"/>
        </w:rPr>
        <w:t>因发包人违约而解除合同后，承包人应妥善做好已竣工工程和已购材料、设备的保护和移交工作，按发包人要求将承包人设备和人员撤出施工场地。承包人撤出施工场地应遵</w:t>
      </w:r>
      <w:r>
        <w:rPr>
          <w:sz w:val="21"/>
          <w:szCs w:val="21"/>
        </w:rPr>
        <w:t xml:space="preserve"> </w:t>
      </w:r>
      <w:r>
        <w:rPr>
          <w:rFonts w:hint="eastAsia"/>
          <w:sz w:val="21"/>
          <w:szCs w:val="21"/>
        </w:rPr>
        <w:t>守第</w:t>
      </w:r>
      <w:r>
        <w:rPr>
          <w:sz w:val="21"/>
          <w:szCs w:val="21"/>
          <w:lang w:val="en-US"/>
        </w:rPr>
        <w:t xml:space="preserve">18. 7. </w:t>
      </w:r>
      <w:r>
        <w:rPr>
          <w:sz w:val="21"/>
          <w:szCs w:val="21"/>
        </w:rPr>
        <w:t>1</w:t>
      </w:r>
      <w:r>
        <w:rPr>
          <w:rFonts w:hint="eastAsia"/>
          <w:sz w:val="21"/>
          <w:szCs w:val="21"/>
        </w:rPr>
        <w:t>项的约定，发包人应为承包人撤出提供必要条件。</w:t>
      </w:r>
    </w:p>
    <w:p w14:paraId="4EDD00F5">
      <w:pPr>
        <w:pStyle w:val="318"/>
        <w:spacing w:line="360" w:lineRule="auto"/>
        <w:rPr>
          <w:rFonts w:ascii="宋体" w:cs="宋体"/>
          <w:sz w:val="21"/>
          <w:szCs w:val="21"/>
        </w:rPr>
      </w:pPr>
      <w:bookmarkStart w:id="1750" w:name="bookmark1534"/>
      <w:bookmarkStart w:id="1751" w:name="_Toc256000165"/>
      <w:bookmarkStart w:id="1752" w:name="_Toc7744"/>
      <w:bookmarkStart w:id="1753" w:name="_Toc256000415"/>
      <w:bookmarkStart w:id="1754" w:name="bookmark1535"/>
      <w:bookmarkStart w:id="1755" w:name="_Toc9266"/>
      <w:bookmarkStart w:id="1756" w:name="_Toc27143"/>
      <w:bookmarkStart w:id="1757" w:name="_Toc56"/>
      <w:bookmarkStart w:id="1758" w:name="bookmark1533"/>
      <w:r>
        <w:rPr>
          <w:rFonts w:ascii="宋体" w:hAnsi="宋体" w:cs="宋体"/>
          <w:sz w:val="21"/>
          <w:szCs w:val="21"/>
        </w:rPr>
        <w:t>22.3</w:t>
      </w:r>
      <w:r>
        <w:rPr>
          <w:rFonts w:hint="eastAsia" w:ascii="宋体" w:hAnsi="宋体" w:cs="宋体"/>
          <w:sz w:val="21"/>
          <w:szCs w:val="21"/>
        </w:rPr>
        <w:t>第三人造成的违约</w:t>
      </w:r>
      <w:bookmarkEnd w:id="1750"/>
      <w:bookmarkEnd w:id="1751"/>
      <w:bookmarkEnd w:id="1752"/>
      <w:bookmarkEnd w:id="1753"/>
      <w:bookmarkEnd w:id="1754"/>
      <w:bookmarkEnd w:id="1755"/>
      <w:bookmarkEnd w:id="1756"/>
      <w:bookmarkEnd w:id="1757"/>
      <w:bookmarkEnd w:id="1758"/>
    </w:p>
    <w:p w14:paraId="378751DC">
      <w:pPr>
        <w:pStyle w:val="319"/>
        <w:spacing w:after="260"/>
        <w:ind w:firstLine="440"/>
        <w:rPr>
          <w:rFonts w:cs="Times New Roman"/>
          <w:sz w:val="21"/>
          <w:szCs w:val="21"/>
        </w:rPr>
      </w:pPr>
      <w:r>
        <w:rPr>
          <w:rFonts w:hint="eastAsia"/>
          <w:sz w:val="21"/>
          <w:szCs w:val="21"/>
        </w:rPr>
        <w:t>在履行合同过程中，一方当事人因第三人的原因造成违约的，应当向对方当事人承担违约责任。一方当事人和第三人之间的纠纷，依照法律规定或者按照约定解决。</w:t>
      </w:r>
    </w:p>
    <w:p w14:paraId="2143F88F">
      <w:pPr>
        <w:pStyle w:val="318"/>
        <w:spacing w:line="360" w:lineRule="auto"/>
        <w:rPr>
          <w:rFonts w:ascii="宋体" w:cs="宋体"/>
          <w:sz w:val="21"/>
          <w:szCs w:val="21"/>
        </w:rPr>
      </w:pPr>
      <w:bookmarkStart w:id="1759" w:name="_Toc26868"/>
      <w:bookmarkStart w:id="1760" w:name="_Toc8619"/>
      <w:bookmarkStart w:id="1761" w:name="_Toc13940"/>
      <w:bookmarkStart w:id="1762" w:name="_Toc256000166"/>
      <w:bookmarkStart w:id="1763" w:name="_Toc256000416"/>
      <w:r>
        <w:rPr>
          <w:rFonts w:ascii="宋体" w:hAnsi="宋体" w:cs="宋体"/>
          <w:sz w:val="21"/>
          <w:szCs w:val="21"/>
        </w:rPr>
        <w:t>23.</w:t>
      </w:r>
      <w:r>
        <w:rPr>
          <w:rFonts w:hint="eastAsia" w:ascii="宋体" w:hAnsi="宋体" w:cs="宋体"/>
          <w:sz w:val="21"/>
          <w:szCs w:val="21"/>
        </w:rPr>
        <w:t>索赔</w:t>
      </w:r>
      <w:bookmarkEnd w:id="1759"/>
      <w:bookmarkEnd w:id="1760"/>
      <w:bookmarkEnd w:id="1761"/>
      <w:bookmarkEnd w:id="1762"/>
      <w:bookmarkEnd w:id="1763"/>
    </w:p>
    <w:p w14:paraId="5091F6E7">
      <w:pPr>
        <w:pStyle w:val="318"/>
        <w:spacing w:line="360" w:lineRule="auto"/>
        <w:rPr>
          <w:rFonts w:ascii="宋体" w:cs="宋体"/>
          <w:sz w:val="21"/>
          <w:szCs w:val="21"/>
        </w:rPr>
      </w:pPr>
      <w:bookmarkStart w:id="1764" w:name="_Toc256000417"/>
      <w:bookmarkStart w:id="1765" w:name="bookmark1538"/>
      <w:bookmarkStart w:id="1766" w:name="_Toc12223"/>
      <w:bookmarkStart w:id="1767" w:name="bookmark1537"/>
      <w:bookmarkStart w:id="1768" w:name="_Toc256000167"/>
      <w:bookmarkStart w:id="1769" w:name="bookmark1536"/>
      <w:bookmarkStart w:id="1770" w:name="_Toc2086"/>
      <w:bookmarkStart w:id="1771" w:name="_Toc547"/>
      <w:r>
        <w:rPr>
          <w:rFonts w:ascii="宋体" w:hAnsi="宋体" w:cs="宋体"/>
          <w:sz w:val="21"/>
          <w:szCs w:val="21"/>
        </w:rPr>
        <w:t>23.1</w:t>
      </w:r>
      <w:r>
        <w:rPr>
          <w:rFonts w:hint="eastAsia" w:ascii="宋体" w:hAnsi="宋体" w:cs="宋体"/>
          <w:sz w:val="21"/>
          <w:szCs w:val="21"/>
        </w:rPr>
        <w:t>承包人索赔的提出</w:t>
      </w:r>
      <w:bookmarkEnd w:id="1764"/>
      <w:bookmarkEnd w:id="1765"/>
      <w:bookmarkEnd w:id="1766"/>
      <w:bookmarkEnd w:id="1767"/>
      <w:bookmarkEnd w:id="1768"/>
      <w:bookmarkEnd w:id="1769"/>
      <w:bookmarkEnd w:id="1770"/>
      <w:bookmarkEnd w:id="1771"/>
    </w:p>
    <w:p w14:paraId="2A6EBE47">
      <w:pPr>
        <w:pStyle w:val="306"/>
        <w:spacing w:line="360" w:lineRule="auto"/>
        <w:ind w:firstLine="420" w:firstLineChars="200"/>
        <w:rPr>
          <w:rFonts w:ascii="宋体" w:cs="宋体"/>
        </w:rPr>
      </w:pPr>
      <w:r>
        <w:rPr>
          <w:rFonts w:hint="eastAsia" w:ascii="宋体" w:hAnsi="宋体" w:cs="宋体"/>
        </w:rPr>
        <w:t>根据合同约定，承包人认为有权得到追加付款和</w:t>
      </w:r>
      <w:r>
        <w:rPr>
          <w:rFonts w:ascii="宋体" w:hAnsi="宋体" w:cs="宋体"/>
        </w:rPr>
        <w:t>(</w:t>
      </w:r>
      <w:r>
        <w:rPr>
          <w:rFonts w:hint="eastAsia" w:ascii="宋体" w:hAnsi="宋体" w:cs="宋体"/>
        </w:rPr>
        <w:t>或</w:t>
      </w:r>
      <w:r>
        <w:rPr>
          <w:rFonts w:ascii="宋体" w:hAnsi="宋体" w:cs="宋体"/>
        </w:rPr>
        <w:t>)</w:t>
      </w:r>
      <w:r>
        <w:rPr>
          <w:rFonts w:hint="eastAsia" w:ascii="宋体" w:hAnsi="宋体" w:cs="宋体"/>
        </w:rPr>
        <w:t>延长工期的，应按以下程序向发包人提出索赔：</w:t>
      </w:r>
    </w:p>
    <w:p w14:paraId="6B289CFF">
      <w:pPr>
        <w:pStyle w:val="319"/>
        <w:numPr>
          <w:ilvl w:val="0"/>
          <w:numId w:val="30"/>
        </w:numPr>
        <w:tabs>
          <w:tab w:val="left" w:pos="918"/>
        </w:tabs>
        <w:ind w:firstLine="440"/>
        <w:rPr>
          <w:rFonts w:cs="Times New Roman"/>
          <w:sz w:val="21"/>
          <w:szCs w:val="21"/>
        </w:rPr>
      </w:pPr>
      <w:bookmarkStart w:id="1772" w:name="bookmark1539"/>
      <w:bookmarkEnd w:id="1772"/>
      <w:r>
        <w:rPr>
          <w:rFonts w:hint="eastAsia"/>
          <w:sz w:val="21"/>
          <w:szCs w:val="21"/>
        </w:rPr>
        <w:t>承包人应在知道或应当知道索赔事件发生后</w:t>
      </w:r>
      <w:r>
        <w:rPr>
          <w:sz w:val="21"/>
          <w:szCs w:val="21"/>
        </w:rPr>
        <w:t>28</w:t>
      </w:r>
      <w:r>
        <w:rPr>
          <w:rFonts w:hint="eastAsia"/>
          <w:sz w:val="21"/>
          <w:szCs w:val="21"/>
        </w:rPr>
        <w:t>天内，向监理人递交索赔意向通知书，并说明发生索赔事件的事由。承包人未在前述</w:t>
      </w:r>
      <w:r>
        <w:rPr>
          <w:sz w:val="21"/>
          <w:szCs w:val="21"/>
        </w:rPr>
        <w:t>28</w:t>
      </w:r>
      <w:r>
        <w:rPr>
          <w:rFonts w:hint="eastAsia"/>
          <w:sz w:val="21"/>
          <w:szCs w:val="21"/>
        </w:rPr>
        <w:t>天内发出索赔意向通知书的，丧失要求追加付款和</w:t>
      </w:r>
      <w:r>
        <w:rPr>
          <w:sz w:val="21"/>
          <w:szCs w:val="21"/>
        </w:rPr>
        <w:t>(</w:t>
      </w:r>
      <w:r>
        <w:rPr>
          <w:rFonts w:hint="eastAsia"/>
          <w:sz w:val="21"/>
          <w:szCs w:val="21"/>
        </w:rPr>
        <w:t>或</w:t>
      </w:r>
      <w:r>
        <w:rPr>
          <w:sz w:val="21"/>
          <w:szCs w:val="21"/>
        </w:rPr>
        <w:t>)</w:t>
      </w:r>
      <w:r>
        <w:rPr>
          <w:rFonts w:hint="eastAsia"/>
          <w:sz w:val="21"/>
          <w:szCs w:val="21"/>
        </w:rPr>
        <w:t>延长工期的权利；</w:t>
      </w:r>
    </w:p>
    <w:p w14:paraId="7F8A157C">
      <w:pPr>
        <w:pStyle w:val="319"/>
        <w:numPr>
          <w:ilvl w:val="0"/>
          <w:numId w:val="30"/>
        </w:numPr>
        <w:tabs>
          <w:tab w:val="left" w:pos="918"/>
        </w:tabs>
        <w:ind w:firstLine="440"/>
        <w:rPr>
          <w:rFonts w:cs="Times New Roman"/>
          <w:sz w:val="21"/>
          <w:szCs w:val="21"/>
        </w:rPr>
      </w:pPr>
      <w:bookmarkStart w:id="1773" w:name="bookmark1540"/>
      <w:bookmarkEnd w:id="1773"/>
      <w:r>
        <w:rPr>
          <w:rFonts w:hint="eastAsia"/>
          <w:sz w:val="21"/>
          <w:szCs w:val="21"/>
        </w:rPr>
        <w:t>承包人应在发出索赔意向通知书后</w:t>
      </w:r>
      <w:r>
        <w:rPr>
          <w:sz w:val="21"/>
          <w:szCs w:val="21"/>
        </w:rPr>
        <w:t>28</w:t>
      </w:r>
      <w:r>
        <w:rPr>
          <w:rFonts w:hint="eastAsia"/>
          <w:sz w:val="21"/>
          <w:szCs w:val="21"/>
        </w:rPr>
        <w:t>天内，向监理人正式递交索赔通知书。索赔通知书应详细说明索赔理由以及要求追加的付款金额和</w:t>
      </w:r>
      <w:r>
        <w:rPr>
          <w:sz w:val="21"/>
          <w:szCs w:val="21"/>
        </w:rPr>
        <w:t>(</w:t>
      </w:r>
      <w:r>
        <w:rPr>
          <w:rFonts w:hint="eastAsia"/>
          <w:sz w:val="21"/>
          <w:szCs w:val="21"/>
        </w:rPr>
        <w:t>或</w:t>
      </w:r>
      <w:r>
        <w:rPr>
          <w:sz w:val="21"/>
          <w:szCs w:val="21"/>
        </w:rPr>
        <w:t>)</w:t>
      </w:r>
      <w:r>
        <w:rPr>
          <w:rFonts w:hint="eastAsia"/>
          <w:sz w:val="21"/>
          <w:szCs w:val="21"/>
        </w:rPr>
        <w:t>延长的工期，并附必要的记</w:t>
      </w:r>
      <w:r>
        <w:rPr>
          <w:sz w:val="21"/>
          <w:szCs w:val="21"/>
        </w:rPr>
        <w:t xml:space="preserve"> </w:t>
      </w:r>
      <w:r>
        <w:rPr>
          <w:rFonts w:hint="eastAsia"/>
          <w:sz w:val="21"/>
          <w:szCs w:val="21"/>
        </w:rPr>
        <w:t>录和证明材料；</w:t>
      </w:r>
    </w:p>
    <w:p w14:paraId="44C3319E">
      <w:pPr>
        <w:pStyle w:val="319"/>
        <w:numPr>
          <w:ilvl w:val="0"/>
          <w:numId w:val="30"/>
        </w:numPr>
        <w:tabs>
          <w:tab w:val="left" w:pos="903"/>
        </w:tabs>
        <w:ind w:firstLine="440"/>
        <w:rPr>
          <w:rFonts w:cs="Times New Roman"/>
          <w:sz w:val="21"/>
          <w:szCs w:val="21"/>
        </w:rPr>
      </w:pPr>
      <w:bookmarkStart w:id="1774" w:name="bookmark1541"/>
      <w:bookmarkEnd w:id="1774"/>
      <w:r>
        <w:rPr>
          <w:rFonts w:hint="eastAsia"/>
          <w:sz w:val="21"/>
          <w:szCs w:val="21"/>
        </w:rPr>
        <w:t>索赔事件具有连续影响的，承包人应按合理时间间隔继续递交延续索赔通知，说明连续影响的实际情况和记录，列出累计的追加付款金额和</w:t>
      </w:r>
      <w:r>
        <w:rPr>
          <w:sz w:val="21"/>
          <w:szCs w:val="21"/>
        </w:rPr>
        <w:t>(</w:t>
      </w:r>
      <w:r>
        <w:rPr>
          <w:rFonts w:hint="eastAsia"/>
          <w:sz w:val="21"/>
          <w:szCs w:val="21"/>
        </w:rPr>
        <w:t>或</w:t>
      </w:r>
      <w:r>
        <w:rPr>
          <w:sz w:val="21"/>
          <w:szCs w:val="21"/>
        </w:rPr>
        <w:t>)</w:t>
      </w:r>
      <w:r>
        <w:rPr>
          <w:rFonts w:hint="eastAsia"/>
          <w:sz w:val="21"/>
          <w:szCs w:val="21"/>
        </w:rPr>
        <w:t>工期延长天数；</w:t>
      </w:r>
    </w:p>
    <w:p w14:paraId="4711AF6C">
      <w:pPr>
        <w:pStyle w:val="319"/>
        <w:numPr>
          <w:ilvl w:val="0"/>
          <w:numId w:val="30"/>
        </w:numPr>
        <w:tabs>
          <w:tab w:val="left" w:pos="920"/>
        </w:tabs>
        <w:spacing w:after="120"/>
        <w:ind w:firstLine="440"/>
        <w:rPr>
          <w:rFonts w:cs="Times New Roman"/>
          <w:sz w:val="21"/>
          <w:szCs w:val="21"/>
        </w:rPr>
      </w:pPr>
      <w:bookmarkStart w:id="1775" w:name="bookmark1542"/>
      <w:bookmarkEnd w:id="1775"/>
      <w:r>
        <w:rPr>
          <w:rFonts w:hint="eastAsia"/>
          <w:sz w:val="21"/>
          <w:szCs w:val="21"/>
        </w:rPr>
        <w:t>在索赔事件影响结束后的</w:t>
      </w:r>
      <w:r>
        <w:rPr>
          <w:sz w:val="21"/>
          <w:szCs w:val="21"/>
        </w:rPr>
        <w:t>28</w:t>
      </w:r>
      <w:r>
        <w:rPr>
          <w:rFonts w:hint="eastAsia"/>
          <w:sz w:val="21"/>
          <w:szCs w:val="21"/>
        </w:rPr>
        <w:t>天内，承包人应向监理人递交最终索赔通知书，说明最终要求索赔的追加付款金额和延长的工期，并附必要的记录和证明材料。</w:t>
      </w:r>
    </w:p>
    <w:p w14:paraId="5625914B">
      <w:pPr>
        <w:pStyle w:val="318"/>
        <w:spacing w:line="360" w:lineRule="auto"/>
        <w:rPr>
          <w:rFonts w:ascii="宋体" w:cs="宋体"/>
          <w:sz w:val="21"/>
          <w:szCs w:val="21"/>
        </w:rPr>
      </w:pPr>
      <w:bookmarkStart w:id="1776" w:name="bookmark1543"/>
      <w:bookmarkStart w:id="1777" w:name="_Toc256000418"/>
      <w:bookmarkStart w:id="1778" w:name="bookmark1545"/>
      <w:bookmarkStart w:id="1779" w:name="_Toc5534"/>
      <w:bookmarkStart w:id="1780" w:name="_Toc1402"/>
      <w:bookmarkStart w:id="1781" w:name="_Toc20193"/>
      <w:bookmarkStart w:id="1782" w:name="_Toc256000168"/>
      <w:bookmarkStart w:id="1783" w:name="_Toc24884"/>
      <w:bookmarkStart w:id="1784" w:name="bookmark1544"/>
      <w:r>
        <w:rPr>
          <w:rFonts w:ascii="宋体" w:hAnsi="宋体" w:cs="宋体"/>
          <w:sz w:val="21"/>
          <w:szCs w:val="21"/>
        </w:rPr>
        <w:t>23.2</w:t>
      </w:r>
      <w:r>
        <w:rPr>
          <w:rFonts w:hint="eastAsia" w:ascii="宋体" w:hAnsi="宋体" w:cs="宋体"/>
          <w:sz w:val="21"/>
          <w:szCs w:val="21"/>
        </w:rPr>
        <w:t>承包人索赔处理程序</w:t>
      </w:r>
      <w:bookmarkEnd w:id="1776"/>
      <w:bookmarkEnd w:id="1777"/>
      <w:bookmarkEnd w:id="1778"/>
      <w:bookmarkEnd w:id="1779"/>
      <w:bookmarkEnd w:id="1780"/>
      <w:bookmarkEnd w:id="1781"/>
      <w:bookmarkEnd w:id="1782"/>
      <w:bookmarkEnd w:id="1783"/>
      <w:bookmarkEnd w:id="1784"/>
    </w:p>
    <w:p w14:paraId="7269276E">
      <w:pPr>
        <w:pStyle w:val="319"/>
        <w:numPr>
          <w:ilvl w:val="0"/>
          <w:numId w:val="31"/>
        </w:numPr>
        <w:tabs>
          <w:tab w:val="left" w:pos="922"/>
        </w:tabs>
        <w:ind w:firstLine="440"/>
        <w:rPr>
          <w:rFonts w:cs="Times New Roman"/>
          <w:sz w:val="21"/>
          <w:szCs w:val="21"/>
        </w:rPr>
      </w:pPr>
      <w:bookmarkStart w:id="1785" w:name="bookmark1546"/>
      <w:bookmarkEnd w:id="1785"/>
      <w:r>
        <w:rPr>
          <w:rFonts w:hint="eastAsia"/>
          <w:sz w:val="21"/>
          <w:szCs w:val="21"/>
        </w:rPr>
        <w:t>监理人收到承包人提交的索赔通知书后，应及时审查索赔通知书的内容、查验承包人的记录和证明材料，必要时监理人可要求承包人提交全部原始记录副本。</w:t>
      </w:r>
    </w:p>
    <w:p w14:paraId="173240F1">
      <w:pPr>
        <w:pStyle w:val="319"/>
        <w:numPr>
          <w:ilvl w:val="0"/>
          <w:numId w:val="31"/>
        </w:numPr>
        <w:tabs>
          <w:tab w:val="left" w:pos="918"/>
        </w:tabs>
        <w:ind w:firstLine="440"/>
        <w:rPr>
          <w:rFonts w:cs="Times New Roman"/>
          <w:sz w:val="21"/>
          <w:szCs w:val="21"/>
        </w:rPr>
      </w:pPr>
      <w:bookmarkStart w:id="1786" w:name="bookmark1547"/>
      <w:bookmarkEnd w:id="1786"/>
      <w:r>
        <w:rPr>
          <w:rFonts w:hint="eastAsia"/>
          <w:sz w:val="21"/>
          <w:szCs w:val="21"/>
        </w:rPr>
        <w:t>监理人应按第</w:t>
      </w:r>
      <w:r>
        <w:rPr>
          <w:sz w:val="21"/>
          <w:szCs w:val="21"/>
          <w:lang w:val="en-US"/>
        </w:rPr>
        <w:t xml:space="preserve">3. </w:t>
      </w:r>
      <w:r>
        <w:rPr>
          <w:sz w:val="21"/>
          <w:szCs w:val="21"/>
        </w:rPr>
        <w:t>5</w:t>
      </w:r>
      <w:r>
        <w:rPr>
          <w:rFonts w:hint="eastAsia"/>
          <w:sz w:val="21"/>
          <w:szCs w:val="21"/>
        </w:rPr>
        <w:t>款商定或确定追加的付款和</w:t>
      </w:r>
      <w:r>
        <w:rPr>
          <w:sz w:val="21"/>
          <w:szCs w:val="21"/>
        </w:rPr>
        <w:t>(</w:t>
      </w:r>
      <w:r>
        <w:rPr>
          <w:rFonts w:hint="eastAsia"/>
          <w:sz w:val="21"/>
          <w:szCs w:val="21"/>
        </w:rPr>
        <w:t>或</w:t>
      </w:r>
      <w:r>
        <w:rPr>
          <w:sz w:val="21"/>
          <w:szCs w:val="21"/>
        </w:rPr>
        <w:t>)</w:t>
      </w:r>
      <w:r>
        <w:rPr>
          <w:rFonts w:hint="eastAsia"/>
          <w:sz w:val="21"/>
          <w:szCs w:val="21"/>
        </w:rPr>
        <w:t>延长的工期，并在收到上述索赔通知书或有关索赔的进一步证明材料后的</w:t>
      </w:r>
      <w:r>
        <w:rPr>
          <w:sz w:val="21"/>
          <w:szCs w:val="21"/>
        </w:rPr>
        <w:t>42</w:t>
      </w:r>
      <w:r>
        <w:rPr>
          <w:rFonts w:hint="eastAsia"/>
          <w:sz w:val="21"/>
          <w:szCs w:val="21"/>
        </w:rPr>
        <w:t>天内，将索赔处理结果答复承包人。</w:t>
      </w:r>
    </w:p>
    <w:p w14:paraId="78850CFB">
      <w:pPr>
        <w:pStyle w:val="319"/>
        <w:numPr>
          <w:ilvl w:val="0"/>
          <w:numId w:val="31"/>
        </w:numPr>
        <w:tabs>
          <w:tab w:val="left" w:pos="920"/>
        </w:tabs>
        <w:spacing w:after="120"/>
        <w:ind w:firstLine="440"/>
        <w:rPr>
          <w:rFonts w:cs="Times New Roman"/>
          <w:sz w:val="21"/>
          <w:szCs w:val="21"/>
        </w:rPr>
      </w:pPr>
      <w:bookmarkStart w:id="1787" w:name="bookmark1548"/>
      <w:bookmarkEnd w:id="1787"/>
      <w:r>
        <w:rPr>
          <w:rFonts w:hint="eastAsia"/>
          <w:sz w:val="21"/>
          <w:szCs w:val="21"/>
        </w:rPr>
        <w:t>承包人接受索赔处理结果的，发包人应在作出索赔处理结果答复后</w:t>
      </w:r>
      <w:r>
        <w:rPr>
          <w:sz w:val="21"/>
          <w:szCs w:val="21"/>
        </w:rPr>
        <w:t>28</w:t>
      </w:r>
      <w:r>
        <w:rPr>
          <w:rFonts w:hint="eastAsia"/>
          <w:sz w:val="21"/>
          <w:szCs w:val="21"/>
        </w:rPr>
        <w:t>天内完成赔付。承包人不接受索赔处理结果的，按第</w:t>
      </w:r>
      <w:r>
        <w:rPr>
          <w:sz w:val="21"/>
          <w:szCs w:val="21"/>
        </w:rPr>
        <w:t>24</w:t>
      </w:r>
      <w:r>
        <w:rPr>
          <w:rFonts w:hint="eastAsia"/>
          <w:sz w:val="21"/>
          <w:szCs w:val="21"/>
        </w:rPr>
        <w:t>条的约定办理。</w:t>
      </w:r>
    </w:p>
    <w:p w14:paraId="4125F532">
      <w:pPr>
        <w:pStyle w:val="318"/>
        <w:spacing w:line="360" w:lineRule="auto"/>
        <w:rPr>
          <w:rFonts w:ascii="宋体" w:cs="宋体"/>
          <w:sz w:val="21"/>
          <w:szCs w:val="21"/>
        </w:rPr>
      </w:pPr>
      <w:bookmarkStart w:id="1788" w:name="_Toc25861"/>
      <w:bookmarkStart w:id="1789" w:name="_Toc21115"/>
      <w:bookmarkStart w:id="1790" w:name="bookmark1551"/>
      <w:bookmarkStart w:id="1791" w:name="_Toc256000169"/>
      <w:bookmarkStart w:id="1792" w:name="_Toc256000419"/>
      <w:bookmarkStart w:id="1793" w:name="_Toc2285"/>
      <w:bookmarkStart w:id="1794" w:name="bookmark1550"/>
      <w:bookmarkStart w:id="1795" w:name="bookmark1549"/>
      <w:bookmarkStart w:id="1796" w:name="_Toc10359"/>
      <w:r>
        <w:rPr>
          <w:rFonts w:ascii="宋体" w:hAnsi="宋体" w:cs="宋体"/>
          <w:sz w:val="21"/>
          <w:szCs w:val="21"/>
        </w:rPr>
        <w:t>23.3</w:t>
      </w:r>
      <w:r>
        <w:rPr>
          <w:rFonts w:hint="eastAsia" w:ascii="宋体" w:hAnsi="宋体" w:cs="宋体"/>
          <w:sz w:val="21"/>
          <w:szCs w:val="21"/>
        </w:rPr>
        <w:t>承包人提出索赔的期限</w:t>
      </w:r>
      <w:bookmarkEnd w:id="1788"/>
      <w:bookmarkEnd w:id="1789"/>
      <w:bookmarkEnd w:id="1790"/>
      <w:bookmarkEnd w:id="1791"/>
      <w:bookmarkEnd w:id="1792"/>
      <w:bookmarkEnd w:id="1793"/>
      <w:bookmarkEnd w:id="1794"/>
      <w:bookmarkEnd w:id="1795"/>
      <w:bookmarkEnd w:id="1796"/>
    </w:p>
    <w:p w14:paraId="54981DCA">
      <w:pPr>
        <w:pStyle w:val="319"/>
        <w:numPr>
          <w:ilvl w:val="0"/>
          <w:numId w:val="32"/>
        </w:numPr>
        <w:tabs>
          <w:tab w:val="left" w:pos="855"/>
        </w:tabs>
        <w:ind w:firstLine="440"/>
        <w:rPr>
          <w:rFonts w:cs="Times New Roman"/>
          <w:sz w:val="21"/>
          <w:szCs w:val="21"/>
        </w:rPr>
      </w:pPr>
      <w:bookmarkStart w:id="1797" w:name="bookmark1552"/>
      <w:bookmarkEnd w:id="1797"/>
      <w:r>
        <w:rPr>
          <w:sz w:val="21"/>
          <w:szCs w:val="21"/>
          <w:lang w:val="en-US"/>
        </w:rPr>
        <w:t xml:space="preserve">3. </w:t>
      </w:r>
      <w:r>
        <w:rPr>
          <w:sz w:val="21"/>
          <w:szCs w:val="21"/>
        </w:rPr>
        <w:t>1</w:t>
      </w:r>
      <w:r>
        <w:rPr>
          <w:rFonts w:hint="eastAsia"/>
          <w:sz w:val="21"/>
          <w:szCs w:val="21"/>
        </w:rPr>
        <w:t>承包人按第</w:t>
      </w:r>
      <w:r>
        <w:rPr>
          <w:sz w:val="21"/>
          <w:szCs w:val="21"/>
          <w:lang w:val="en-US"/>
        </w:rPr>
        <w:t xml:space="preserve">17. </w:t>
      </w:r>
      <w:r>
        <w:rPr>
          <w:sz w:val="21"/>
          <w:szCs w:val="21"/>
        </w:rPr>
        <w:t>5</w:t>
      </w:r>
      <w:r>
        <w:rPr>
          <w:rFonts w:hint="eastAsia"/>
          <w:sz w:val="21"/>
          <w:szCs w:val="21"/>
        </w:rPr>
        <w:t>款的约定接受了完工付款证书后，应被认为已无权再提出在合同工程完工证书颁发前所发生的任何索赔。</w:t>
      </w:r>
    </w:p>
    <w:p w14:paraId="0BCAEF0C">
      <w:pPr>
        <w:pStyle w:val="319"/>
        <w:spacing w:after="120"/>
        <w:ind w:firstLine="440"/>
        <w:rPr>
          <w:rFonts w:cs="Times New Roman"/>
          <w:sz w:val="21"/>
          <w:szCs w:val="21"/>
        </w:rPr>
      </w:pPr>
      <w:r>
        <w:rPr>
          <w:sz w:val="21"/>
          <w:szCs w:val="21"/>
          <w:lang w:val="en-US"/>
        </w:rPr>
        <w:t>23.3.2</w:t>
      </w:r>
      <w:r>
        <w:rPr>
          <w:rFonts w:hint="eastAsia"/>
          <w:sz w:val="21"/>
          <w:szCs w:val="21"/>
        </w:rPr>
        <w:t>承包人按第</w:t>
      </w:r>
      <w:r>
        <w:rPr>
          <w:sz w:val="21"/>
          <w:szCs w:val="21"/>
          <w:lang w:val="en-US"/>
        </w:rPr>
        <w:t xml:space="preserve">17. </w:t>
      </w:r>
      <w:r>
        <w:rPr>
          <w:sz w:val="21"/>
          <w:szCs w:val="21"/>
        </w:rPr>
        <w:t>6</w:t>
      </w:r>
      <w:r>
        <w:rPr>
          <w:rFonts w:hint="eastAsia"/>
          <w:sz w:val="21"/>
          <w:szCs w:val="21"/>
        </w:rPr>
        <w:t>款的约定提交的最终结清申请单中，只限于提出合同工程完工证书颁发后发生的索赔。提出索赔的期限自接受最终结清证书时终止。</w:t>
      </w:r>
    </w:p>
    <w:p w14:paraId="6544C1DB">
      <w:pPr>
        <w:pStyle w:val="318"/>
        <w:spacing w:line="360" w:lineRule="auto"/>
        <w:rPr>
          <w:rFonts w:ascii="宋体" w:cs="宋体"/>
          <w:sz w:val="21"/>
          <w:szCs w:val="21"/>
        </w:rPr>
      </w:pPr>
      <w:bookmarkStart w:id="1798" w:name="_Toc25475"/>
      <w:bookmarkStart w:id="1799" w:name="_Toc1321"/>
      <w:bookmarkStart w:id="1800" w:name="_Toc256000170"/>
      <w:bookmarkStart w:id="1801" w:name="bookmark1553"/>
      <w:bookmarkStart w:id="1802" w:name="bookmark1554"/>
      <w:bookmarkStart w:id="1803" w:name="_Toc11952"/>
      <w:bookmarkStart w:id="1804" w:name="_Toc13664"/>
      <w:bookmarkStart w:id="1805" w:name="_Toc256000420"/>
      <w:bookmarkStart w:id="1806" w:name="bookmark1555"/>
      <w:r>
        <w:rPr>
          <w:rFonts w:ascii="宋体" w:hAnsi="宋体" w:cs="宋体"/>
          <w:sz w:val="21"/>
          <w:szCs w:val="21"/>
        </w:rPr>
        <w:t>23.4</w:t>
      </w:r>
      <w:r>
        <w:rPr>
          <w:rFonts w:hint="eastAsia" w:ascii="宋体" w:hAnsi="宋体" w:cs="宋体"/>
          <w:sz w:val="21"/>
          <w:szCs w:val="21"/>
        </w:rPr>
        <w:t>发包人的索赔</w:t>
      </w:r>
      <w:bookmarkEnd w:id="1798"/>
      <w:bookmarkEnd w:id="1799"/>
      <w:bookmarkEnd w:id="1800"/>
      <w:bookmarkEnd w:id="1801"/>
      <w:bookmarkEnd w:id="1802"/>
      <w:bookmarkEnd w:id="1803"/>
      <w:bookmarkEnd w:id="1804"/>
      <w:bookmarkEnd w:id="1805"/>
      <w:bookmarkEnd w:id="1806"/>
    </w:p>
    <w:p w14:paraId="6BDC74BD">
      <w:pPr>
        <w:pStyle w:val="319"/>
        <w:ind w:firstLine="440"/>
        <w:rPr>
          <w:rFonts w:cs="Times New Roman"/>
          <w:sz w:val="21"/>
          <w:szCs w:val="21"/>
        </w:rPr>
      </w:pPr>
      <w:r>
        <w:rPr>
          <w:sz w:val="21"/>
          <w:szCs w:val="21"/>
          <w:lang w:val="en-US"/>
        </w:rPr>
        <w:t>23.4.1</w:t>
      </w:r>
      <w:r>
        <w:rPr>
          <w:rFonts w:hint="eastAsia"/>
          <w:sz w:val="21"/>
          <w:szCs w:val="21"/>
        </w:rPr>
        <w:t>发生索赔事件后，监理人应及时书面通知承包人，详细说明发包人有权得到的索赔金额和</w:t>
      </w:r>
      <w:r>
        <w:rPr>
          <w:sz w:val="21"/>
          <w:szCs w:val="21"/>
        </w:rPr>
        <w:t>(</w:t>
      </w:r>
      <w:r>
        <w:rPr>
          <w:rFonts w:hint="eastAsia"/>
          <w:sz w:val="21"/>
          <w:szCs w:val="21"/>
        </w:rPr>
        <w:t>或</w:t>
      </w:r>
      <w:r>
        <w:rPr>
          <w:sz w:val="21"/>
          <w:szCs w:val="21"/>
        </w:rPr>
        <w:t>)</w:t>
      </w:r>
      <w:r>
        <w:rPr>
          <w:rFonts w:hint="eastAsia"/>
          <w:sz w:val="21"/>
          <w:szCs w:val="21"/>
        </w:rPr>
        <w:t>延长缺陷责任期的细节和依据。发包人提出索赔的期限和要求与第</w:t>
      </w:r>
      <w:bookmarkStart w:id="1807" w:name="bookmark1556"/>
      <w:bookmarkEnd w:id="1807"/>
      <w:r>
        <w:rPr>
          <w:sz w:val="21"/>
          <w:szCs w:val="21"/>
          <w:lang w:val="en-US"/>
        </w:rPr>
        <w:t>23.</w:t>
      </w:r>
      <w:r>
        <w:rPr>
          <w:sz w:val="21"/>
          <w:szCs w:val="21"/>
        </w:rPr>
        <w:t>3</w:t>
      </w:r>
      <w:r>
        <w:rPr>
          <w:rFonts w:hint="eastAsia"/>
          <w:sz w:val="21"/>
          <w:szCs w:val="21"/>
        </w:rPr>
        <w:t>款的约定相同，延长缺陷责任期的通知应在缺陷责任期届满前发出。</w:t>
      </w:r>
    </w:p>
    <w:p w14:paraId="3B9B9E0E">
      <w:pPr>
        <w:pStyle w:val="319"/>
        <w:ind w:firstLine="440"/>
        <w:rPr>
          <w:rFonts w:cs="Times New Roman"/>
          <w:sz w:val="21"/>
          <w:szCs w:val="21"/>
        </w:rPr>
      </w:pPr>
      <w:r>
        <w:rPr>
          <w:sz w:val="21"/>
          <w:szCs w:val="21"/>
          <w:lang w:val="en-US"/>
        </w:rPr>
        <w:t>23.4.2</w:t>
      </w:r>
      <w:r>
        <w:rPr>
          <w:rFonts w:hint="eastAsia"/>
          <w:sz w:val="21"/>
          <w:szCs w:val="21"/>
        </w:rPr>
        <w:t>监理人按第</w:t>
      </w:r>
      <w:r>
        <w:rPr>
          <w:sz w:val="21"/>
          <w:szCs w:val="21"/>
          <w:lang w:val="en-US"/>
        </w:rPr>
        <w:t xml:space="preserve">3. </w:t>
      </w:r>
      <w:r>
        <w:rPr>
          <w:sz w:val="21"/>
          <w:szCs w:val="21"/>
        </w:rPr>
        <w:t>5</w:t>
      </w:r>
      <w:r>
        <w:rPr>
          <w:rFonts w:hint="eastAsia"/>
          <w:sz w:val="21"/>
          <w:szCs w:val="21"/>
        </w:rPr>
        <w:t>款商定或确定发包人从承包人处得到赔付的金额和</w:t>
      </w:r>
      <w:r>
        <w:rPr>
          <w:sz w:val="21"/>
          <w:szCs w:val="21"/>
        </w:rPr>
        <w:t>(</w:t>
      </w:r>
      <w:r>
        <w:rPr>
          <w:rFonts w:hint="eastAsia"/>
          <w:sz w:val="21"/>
          <w:szCs w:val="21"/>
        </w:rPr>
        <w:t>或</w:t>
      </w:r>
      <w:r>
        <w:rPr>
          <w:sz w:val="21"/>
          <w:szCs w:val="21"/>
        </w:rPr>
        <w:t>)</w:t>
      </w:r>
      <w:r>
        <w:rPr>
          <w:rFonts w:hint="eastAsia"/>
          <w:sz w:val="21"/>
          <w:szCs w:val="21"/>
        </w:rPr>
        <w:t>缺陷责任期的延长期。承包人应付给发包人的金额可从拟支付给承包人的合同价款中扣除</w:t>
      </w:r>
      <w:r>
        <w:rPr>
          <w:sz w:val="21"/>
          <w:szCs w:val="21"/>
        </w:rPr>
        <w:t xml:space="preserve">, </w:t>
      </w:r>
      <w:r>
        <w:rPr>
          <w:rFonts w:hint="eastAsia"/>
          <w:sz w:val="21"/>
          <w:szCs w:val="21"/>
        </w:rPr>
        <w:t>或由承包人以其他方式支付给发包人。</w:t>
      </w:r>
    </w:p>
    <w:p w14:paraId="4AE44075">
      <w:pPr>
        <w:pStyle w:val="319"/>
        <w:spacing w:after="260"/>
        <w:ind w:firstLine="440"/>
        <w:rPr>
          <w:rFonts w:cs="Times New Roman"/>
          <w:sz w:val="21"/>
          <w:szCs w:val="21"/>
        </w:rPr>
      </w:pPr>
      <w:r>
        <w:rPr>
          <w:sz w:val="21"/>
          <w:szCs w:val="21"/>
          <w:lang w:val="en-US"/>
        </w:rPr>
        <w:t xml:space="preserve">23. 4. </w:t>
      </w:r>
      <w:r>
        <w:rPr>
          <w:sz w:val="21"/>
          <w:szCs w:val="21"/>
        </w:rPr>
        <w:t>3</w:t>
      </w:r>
      <w:r>
        <w:rPr>
          <w:rFonts w:hint="eastAsia"/>
          <w:sz w:val="21"/>
          <w:szCs w:val="21"/>
        </w:rPr>
        <w:t>承包人对监理人按第</w:t>
      </w:r>
      <w:r>
        <w:rPr>
          <w:sz w:val="21"/>
          <w:szCs w:val="21"/>
          <w:lang w:val="en-US"/>
        </w:rPr>
        <w:t xml:space="preserve">23.4. </w:t>
      </w:r>
      <w:r>
        <w:rPr>
          <w:sz w:val="21"/>
          <w:szCs w:val="21"/>
        </w:rPr>
        <w:t>1</w:t>
      </w:r>
      <w:r>
        <w:rPr>
          <w:rFonts w:hint="eastAsia"/>
          <w:sz w:val="21"/>
          <w:szCs w:val="21"/>
        </w:rPr>
        <w:t>项发出的索赔书面通知内容持异议时，应在收到书面通知后的</w:t>
      </w:r>
      <w:r>
        <w:rPr>
          <w:sz w:val="21"/>
          <w:szCs w:val="21"/>
        </w:rPr>
        <w:t>14</w:t>
      </w:r>
      <w:r>
        <w:rPr>
          <w:rFonts w:hint="eastAsia"/>
          <w:sz w:val="21"/>
          <w:szCs w:val="21"/>
        </w:rPr>
        <w:t>天内，将持有异议的书面报告及其证明材料提交监理人。监理人应在收到</w:t>
      </w:r>
      <w:r>
        <w:rPr>
          <w:sz w:val="21"/>
          <w:szCs w:val="21"/>
        </w:rPr>
        <w:t xml:space="preserve"> </w:t>
      </w:r>
      <w:r>
        <w:rPr>
          <w:rFonts w:hint="eastAsia"/>
          <w:sz w:val="21"/>
          <w:szCs w:val="21"/>
        </w:rPr>
        <w:t>承包人书面报告后的</w:t>
      </w:r>
      <w:r>
        <w:rPr>
          <w:sz w:val="21"/>
          <w:szCs w:val="21"/>
        </w:rPr>
        <w:t>14</w:t>
      </w:r>
      <w:r>
        <w:rPr>
          <w:rFonts w:hint="eastAsia"/>
          <w:sz w:val="21"/>
          <w:szCs w:val="21"/>
        </w:rPr>
        <w:t>天内，将异议的处理意见通知承包人，并按第</w:t>
      </w:r>
      <w:r>
        <w:rPr>
          <w:sz w:val="21"/>
          <w:szCs w:val="21"/>
          <w:lang w:val="en-US"/>
        </w:rPr>
        <w:t>23.4.2</w:t>
      </w:r>
      <w:r>
        <w:rPr>
          <w:rFonts w:hint="eastAsia"/>
          <w:sz w:val="21"/>
          <w:szCs w:val="21"/>
        </w:rPr>
        <w:t>项的约定执</w:t>
      </w:r>
      <w:r>
        <w:rPr>
          <w:sz w:val="21"/>
          <w:szCs w:val="21"/>
        </w:rPr>
        <w:t xml:space="preserve"> </w:t>
      </w:r>
      <w:r>
        <w:rPr>
          <w:rFonts w:hint="eastAsia"/>
          <w:sz w:val="21"/>
          <w:szCs w:val="21"/>
        </w:rPr>
        <w:t>行赔付。若承包人不接受监理人的索赔处理意见，可按本合同第</w:t>
      </w:r>
      <w:r>
        <w:rPr>
          <w:sz w:val="21"/>
          <w:szCs w:val="21"/>
        </w:rPr>
        <w:t>24</w:t>
      </w:r>
      <w:r>
        <w:rPr>
          <w:rFonts w:hint="eastAsia"/>
          <w:sz w:val="21"/>
          <w:szCs w:val="21"/>
        </w:rPr>
        <w:t>条的规定办理。</w:t>
      </w:r>
    </w:p>
    <w:p w14:paraId="7C2E8788">
      <w:pPr>
        <w:pStyle w:val="318"/>
        <w:spacing w:line="360" w:lineRule="auto"/>
        <w:rPr>
          <w:rFonts w:ascii="宋体" w:cs="宋体"/>
          <w:sz w:val="21"/>
          <w:szCs w:val="21"/>
        </w:rPr>
      </w:pPr>
      <w:bookmarkStart w:id="1808" w:name="bookmark1559"/>
      <w:bookmarkEnd w:id="1808"/>
      <w:bookmarkStart w:id="1809" w:name="_Toc32550"/>
      <w:bookmarkStart w:id="1810" w:name="_Toc256000421"/>
      <w:bookmarkStart w:id="1811" w:name="_Toc19085"/>
      <w:bookmarkStart w:id="1812" w:name="_Toc11206"/>
      <w:bookmarkStart w:id="1813" w:name="bookmark1557"/>
      <w:bookmarkStart w:id="1814" w:name="bookmark1558"/>
      <w:bookmarkStart w:id="1815" w:name="_Toc13121"/>
      <w:bookmarkStart w:id="1816" w:name="bookmark1560"/>
      <w:bookmarkStart w:id="1817" w:name="_Toc256000171"/>
      <w:r>
        <w:rPr>
          <w:rFonts w:ascii="宋体" w:hAnsi="宋体" w:cs="宋体"/>
          <w:sz w:val="21"/>
          <w:szCs w:val="21"/>
        </w:rPr>
        <w:t>24.</w:t>
      </w:r>
      <w:r>
        <w:rPr>
          <w:rFonts w:hint="eastAsia" w:ascii="宋体" w:hAnsi="宋体" w:cs="宋体"/>
          <w:sz w:val="21"/>
          <w:szCs w:val="21"/>
        </w:rPr>
        <w:t>争议的解决</w:t>
      </w:r>
      <w:bookmarkEnd w:id="1809"/>
      <w:bookmarkEnd w:id="1810"/>
      <w:bookmarkEnd w:id="1811"/>
      <w:bookmarkEnd w:id="1812"/>
      <w:bookmarkEnd w:id="1813"/>
      <w:bookmarkEnd w:id="1814"/>
      <w:bookmarkEnd w:id="1815"/>
      <w:bookmarkEnd w:id="1816"/>
      <w:bookmarkEnd w:id="1817"/>
    </w:p>
    <w:p w14:paraId="0F340E68">
      <w:pPr>
        <w:pStyle w:val="318"/>
        <w:spacing w:line="360" w:lineRule="auto"/>
        <w:rPr>
          <w:rFonts w:ascii="宋体" w:cs="宋体"/>
          <w:sz w:val="21"/>
          <w:szCs w:val="21"/>
        </w:rPr>
      </w:pPr>
      <w:bookmarkStart w:id="1818" w:name="_Toc12687"/>
      <w:bookmarkStart w:id="1819" w:name="_Toc256000172"/>
      <w:bookmarkStart w:id="1820" w:name="_Toc256000422"/>
      <w:bookmarkStart w:id="1821" w:name="bookmark1562"/>
      <w:bookmarkStart w:id="1822" w:name="bookmark1563"/>
      <w:bookmarkStart w:id="1823" w:name="_Toc16058"/>
      <w:bookmarkStart w:id="1824" w:name="_Toc27443"/>
      <w:bookmarkStart w:id="1825" w:name="bookmark1561"/>
      <w:bookmarkStart w:id="1826" w:name="_Toc26419"/>
      <w:r>
        <w:rPr>
          <w:rFonts w:ascii="宋体" w:hAnsi="宋体" w:cs="宋体"/>
          <w:sz w:val="21"/>
          <w:szCs w:val="21"/>
        </w:rPr>
        <w:t>24.1</w:t>
      </w:r>
      <w:r>
        <w:rPr>
          <w:rFonts w:hint="eastAsia" w:ascii="宋体" w:hAnsi="宋体" w:cs="宋体"/>
          <w:sz w:val="21"/>
          <w:szCs w:val="21"/>
        </w:rPr>
        <w:t>争议的解决方式</w:t>
      </w:r>
      <w:bookmarkEnd w:id="1818"/>
      <w:bookmarkEnd w:id="1819"/>
      <w:bookmarkEnd w:id="1820"/>
      <w:bookmarkEnd w:id="1821"/>
      <w:bookmarkEnd w:id="1822"/>
      <w:bookmarkEnd w:id="1823"/>
      <w:bookmarkEnd w:id="1824"/>
      <w:bookmarkEnd w:id="1825"/>
      <w:bookmarkEnd w:id="1826"/>
    </w:p>
    <w:p w14:paraId="6BCFAD82">
      <w:pPr>
        <w:pStyle w:val="319"/>
        <w:spacing w:after="80"/>
        <w:ind w:firstLine="420"/>
        <w:rPr>
          <w:rFonts w:cs="Times New Roman"/>
          <w:sz w:val="21"/>
          <w:szCs w:val="21"/>
        </w:rPr>
      </w:pPr>
      <w:r>
        <w:rPr>
          <w:rFonts w:hint="eastAsia"/>
          <w:sz w:val="21"/>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428C6783">
      <w:pPr>
        <w:pStyle w:val="319"/>
        <w:numPr>
          <w:ilvl w:val="0"/>
          <w:numId w:val="33"/>
        </w:numPr>
        <w:tabs>
          <w:tab w:val="left" w:pos="901"/>
        </w:tabs>
        <w:ind w:firstLine="420"/>
        <w:rPr>
          <w:rFonts w:cs="Times New Roman"/>
          <w:sz w:val="21"/>
          <w:szCs w:val="21"/>
        </w:rPr>
      </w:pPr>
      <w:bookmarkStart w:id="1827" w:name="bookmark1564"/>
      <w:bookmarkEnd w:id="1827"/>
      <w:r>
        <w:rPr>
          <w:rFonts w:hint="eastAsia"/>
          <w:sz w:val="21"/>
          <w:szCs w:val="21"/>
        </w:rPr>
        <w:t>向约定的仲裁委员会申请仲裁；</w:t>
      </w:r>
    </w:p>
    <w:p w14:paraId="4FB82D6F">
      <w:pPr>
        <w:pStyle w:val="319"/>
        <w:numPr>
          <w:ilvl w:val="0"/>
          <w:numId w:val="33"/>
        </w:numPr>
        <w:tabs>
          <w:tab w:val="left" w:pos="901"/>
        </w:tabs>
        <w:ind w:firstLine="420"/>
        <w:rPr>
          <w:rFonts w:cs="Times New Roman"/>
          <w:sz w:val="21"/>
          <w:szCs w:val="21"/>
        </w:rPr>
      </w:pPr>
      <w:bookmarkStart w:id="1828" w:name="bookmark1565"/>
      <w:bookmarkEnd w:id="1828"/>
      <w:r>
        <w:rPr>
          <w:rFonts w:hint="eastAsia"/>
          <w:sz w:val="21"/>
          <w:szCs w:val="21"/>
        </w:rPr>
        <w:t>向有管辖权的人民法院提起诉讼。</w:t>
      </w:r>
    </w:p>
    <w:p w14:paraId="0E581C3D">
      <w:pPr>
        <w:pStyle w:val="318"/>
        <w:spacing w:line="360" w:lineRule="auto"/>
        <w:rPr>
          <w:rFonts w:ascii="宋体" w:cs="宋体"/>
          <w:sz w:val="21"/>
          <w:szCs w:val="21"/>
        </w:rPr>
      </w:pPr>
      <w:bookmarkStart w:id="1829" w:name="_Toc13255"/>
      <w:bookmarkStart w:id="1830" w:name="bookmark1566"/>
      <w:bookmarkStart w:id="1831" w:name="bookmark1567"/>
      <w:bookmarkStart w:id="1832" w:name="_Toc13288"/>
      <w:bookmarkStart w:id="1833" w:name="_Toc7885"/>
      <w:bookmarkStart w:id="1834" w:name="bookmark1568"/>
      <w:bookmarkStart w:id="1835" w:name="_Toc256000173"/>
      <w:bookmarkStart w:id="1836" w:name="_Toc5905"/>
      <w:bookmarkStart w:id="1837" w:name="_Toc256000423"/>
      <w:r>
        <w:rPr>
          <w:rFonts w:ascii="宋体" w:hAnsi="宋体" w:cs="宋体"/>
          <w:sz w:val="21"/>
          <w:szCs w:val="21"/>
        </w:rPr>
        <w:t>24.2</w:t>
      </w:r>
      <w:r>
        <w:rPr>
          <w:rFonts w:hint="eastAsia" w:ascii="宋体" w:hAnsi="宋体" w:cs="宋体"/>
          <w:sz w:val="21"/>
          <w:szCs w:val="21"/>
        </w:rPr>
        <w:t>友好解决</w:t>
      </w:r>
      <w:bookmarkEnd w:id="1829"/>
      <w:bookmarkEnd w:id="1830"/>
      <w:bookmarkEnd w:id="1831"/>
      <w:bookmarkEnd w:id="1832"/>
      <w:bookmarkEnd w:id="1833"/>
      <w:bookmarkEnd w:id="1834"/>
      <w:bookmarkEnd w:id="1835"/>
      <w:bookmarkEnd w:id="1836"/>
      <w:bookmarkEnd w:id="1837"/>
    </w:p>
    <w:p w14:paraId="5C3D8912">
      <w:pPr>
        <w:pStyle w:val="319"/>
        <w:spacing w:after="140"/>
        <w:ind w:firstLine="440"/>
        <w:rPr>
          <w:rFonts w:cs="Times New Roman"/>
          <w:sz w:val="21"/>
          <w:szCs w:val="21"/>
        </w:rPr>
      </w:pPr>
      <w:r>
        <w:rPr>
          <w:rFonts w:hint="eastAsia"/>
          <w:sz w:val="21"/>
          <w:szCs w:val="21"/>
        </w:rPr>
        <w:t>在提请争议评审、仲裁或者诉讼前，以及在争议评审、仲裁或诉讼过程中，发包人和承包人均可共同努力友好协商解决争议。</w:t>
      </w:r>
    </w:p>
    <w:p w14:paraId="15415FBB">
      <w:pPr>
        <w:pStyle w:val="318"/>
        <w:spacing w:line="360" w:lineRule="auto"/>
        <w:rPr>
          <w:rFonts w:ascii="宋体" w:cs="宋体"/>
          <w:sz w:val="21"/>
          <w:szCs w:val="21"/>
        </w:rPr>
      </w:pPr>
      <w:bookmarkStart w:id="1838" w:name="_Toc256000174"/>
      <w:bookmarkStart w:id="1839" w:name="_Toc27253"/>
      <w:bookmarkStart w:id="1840" w:name="_Toc12305"/>
      <w:bookmarkStart w:id="1841" w:name="_Toc1757"/>
      <w:bookmarkStart w:id="1842" w:name="_Toc22991"/>
      <w:bookmarkStart w:id="1843" w:name="_Toc256000424"/>
      <w:bookmarkStart w:id="1844" w:name="bookmark1569"/>
      <w:bookmarkStart w:id="1845" w:name="bookmark1570"/>
      <w:bookmarkStart w:id="1846" w:name="bookmark1571"/>
      <w:r>
        <w:rPr>
          <w:rFonts w:ascii="宋体" w:hAnsi="宋体" w:cs="宋体"/>
          <w:sz w:val="21"/>
          <w:szCs w:val="21"/>
        </w:rPr>
        <w:t>24.3</w:t>
      </w:r>
      <w:r>
        <w:rPr>
          <w:rFonts w:hint="eastAsia" w:ascii="宋体" w:hAnsi="宋体" w:cs="宋体"/>
          <w:sz w:val="21"/>
          <w:szCs w:val="21"/>
        </w:rPr>
        <w:t>争议评审</w:t>
      </w:r>
      <w:bookmarkEnd w:id="1838"/>
      <w:bookmarkEnd w:id="1839"/>
      <w:bookmarkEnd w:id="1840"/>
      <w:bookmarkEnd w:id="1841"/>
      <w:bookmarkEnd w:id="1842"/>
      <w:bookmarkEnd w:id="1843"/>
      <w:bookmarkEnd w:id="1844"/>
      <w:bookmarkEnd w:id="1845"/>
      <w:bookmarkEnd w:id="1846"/>
    </w:p>
    <w:p w14:paraId="5B04C59E">
      <w:pPr>
        <w:pStyle w:val="319"/>
        <w:ind w:firstLine="440"/>
        <w:rPr>
          <w:rFonts w:cs="Times New Roman"/>
          <w:sz w:val="21"/>
          <w:szCs w:val="21"/>
        </w:rPr>
      </w:pPr>
      <w:r>
        <w:rPr>
          <w:sz w:val="21"/>
          <w:szCs w:val="21"/>
          <w:lang w:val="en-US"/>
        </w:rPr>
        <w:t>24.3.1</w:t>
      </w:r>
      <w:r>
        <w:rPr>
          <w:rFonts w:hint="eastAsia"/>
          <w:sz w:val="21"/>
          <w:szCs w:val="21"/>
        </w:rPr>
        <w:t>采用争议评审的，发包人和承包人应在开工日后的</w:t>
      </w:r>
      <w:r>
        <w:rPr>
          <w:sz w:val="21"/>
          <w:szCs w:val="21"/>
        </w:rPr>
        <w:t>28</w:t>
      </w:r>
      <w:r>
        <w:rPr>
          <w:rFonts w:hint="eastAsia"/>
          <w:sz w:val="21"/>
          <w:szCs w:val="21"/>
        </w:rPr>
        <w:t>天内或在争议发生后</w:t>
      </w:r>
      <w:r>
        <w:rPr>
          <w:sz w:val="21"/>
          <w:szCs w:val="21"/>
        </w:rPr>
        <w:t xml:space="preserve">, </w:t>
      </w:r>
      <w:r>
        <w:rPr>
          <w:rFonts w:hint="eastAsia"/>
          <w:sz w:val="21"/>
          <w:szCs w:val="21"/>
        </w:rPr>
        <w:t>协商成立争议评审组。争议评审组由有合同管理和工程实践经验的专家组成。</w:t>
      </w:r>
    </w:p>
    <w:p w14:paraId="4456EC45">
      <w:pPr>
        <w:pStyle w:val="319"/>
        <w:ind w:firstLine="440"/>
        <w:rPr>
          <w:rFonts w:cs="Times New Roman"/>
          <w:sz w:val="21"/>
          <w:szCs w:val="21"/>
        </w:rPr>
      </w:pPr>
      <w:r>
        <w:rPr>
          <w:sz w:val="21"/>
          <w:szCs w:val="21"/>
          <w:lang w:val="en-US"/>
        </w:rPr>
        <w:t>24.3.2</w:t>
      </w:r>
      <w:r>
        <w:rPr>
          <w:rFonts w:hint="eastAsia"/>
          <w:sz w:val="21"/>
          <w:szCs w:val="21"/>
        </w:rPr>
        <w:t>合同双方的争议，应首先由申请人向争议评审组提交一份详细的评审申请报告，并附必要的文件、图纸和证明材料，申请人还应将上述报告的副本同时提交给被申请人和监理人。</w:t>
      </w:r>
    </w:p>
    <w:p w14:paraId="75760BBE">
      <w:pPr>
        <w:pStyle w:val="319"/>
        <w:ind w:firstLine="440"/>
        <w:rPr>
          <w:rFonts w:cs="Times New Roman"/>
          <w:sz w:val="21"/>
          <w:szCs w:val="21"/>
        </w:rPr>
      </w:pPr>
      <w:r>
        <w:rPr>
          <w:sz w:val="21"/>
          <w:szCs w:val="21"/>
          <w:lang w:val="en-US"/>
        </w:rPr>
        <w:t>24.3.3</w:t>
      </w:r>
      <w:r>
        <w:rPr>
          <w:rFonts w:hint="eastAsia"/>
          <w:sz w:val="21"/>
          <w:szCs w:val="21"/>
        </w:rPr>
        <w:t>被申请人在收到申请人评审申请报告副本后的</w:t>
      </w:r>
      <w:r>
        <w:rPr>
          <w:sz w:val="21"/>
          <w:szCs w:val="21"/>
        </w:rPr>
        <w:t>28</w:t>
      </w:r>
      <w:r>
        <w:rPr>
          <w:rFonts w:hint="eastAsia"/>
          <w:sz w:val="21"/>
          <w:szCs w:val="21"/>
        </w:rPr>
        <w:t>天内，向争议评审组提交一份答辩报告，并附证明材料。被申请人应将答辩报告的副本同时提交给申请人和监理人。</w:t>
      </w:r>
    </w:p>
    <w:p w14:paraId="3250A15F">
      <w:pPr>
        <w:pStyle w:val="319"/>
        <w:ind w:firstLine="440"/>
        <w:rPr>
          <w:rFonts w:cs="Times New Roman"/>
          <w:sz w:val="21"/>
          <w:szCs w:val="21"/>
        </w:rPr>
      </w:pPr>
      <w:r>
        <w:rPr>
          <w:sz w:val="21"/>
          <w:szCs w:val="21"/>
          <w:lang w:val="en-US"/>
        </w:rPr>
        <w:t>24.3.4</w:t>
      </w:r>
      <w:r>
        <w:rPr>
          <w:rFonts w:hint="eastAsia"/>
          <w:sz w:val="21"/>
          <w:szCs w:val="21"/>
        </w:rPr>
        <w:t>除专用合同条款另有约定外，争议评审组在收到合同双方报告后的</w:t>
      </w:r>
      <w:r>
        <w:rPr>
          <w:sz w:val="21"/>
          <w:szCs w:val="21"/>
        </w:rPr>
        <w:t>14</w:t>
      </w:r>
      <w:r>
        <w:rPr>
          <w:rFonts w:hint="eastAsia"/>
          <w:sz w:val="21"/>
          <w:szCs w:val="21"/>
        </w:rPr>
        <w:t>天内，</w:t>
      </w:r>
      <w:r>
        <w:rPr>
          <w:sz w:val="21"/>
          <w:szCs w:val="21"/>
        </w:rPr>
        <w:t xml:space="preserve"> </w:t>
      </w:r>
      <w:r>
        <w:rPr>
          <w:rFonts w:hint="eastAsia"/>
          <w:sz w:val="21"/>
          <w:szCs w:val="21"/>
        </w:rPr>
        <w:t>邀请双方代表和有关人员举行调查会，向双方调查争议细节；必要时争议评审组可要求双方进一步提供补充材料。</w:t>
      </w:r>
    </w:p>
    <w:p w14:paraId="7A814BA6">
      <w:pPr>
        <w:pStyle w:val="319"/>
        <w:ind w:firstLine="440"/>
        <w:rPr>
          <w:rFonts w:cs="Times New Roman"/>
          <w:sz w:val="21"/>
          <w:szCs w:val="21"/>
        </w:rPr>
      </w:pPr>
      <w:bookmarkStart w:id="1847" w:name="bookmark1572"/>
      <w:bookmarkEnd w:id="1847"/>
      <w:r>
        <w:rPr>
          <w:sz w:val="21"/>
          <w:szCs w:val="21"/>
        </w:rPr>
        <w:t>24.3.5</w:t>
      </w:r>
      <w:r>
        <w:rPr>
          <w:rFonts w:hint="eastAsia"/>
          <w:sz w:val="21"/>
          <w:szCs w:val="21"/>
        </w:rPr>
        <w:t>除专用合同条款另有约定外，在调查会结束后的</w:t>
      </w:r>
      <w:r>
        <w:rPr>
          <w:sz w:val="21"/>
          <w:szCs w:val="21"/>
        </w:rPr>
        <w:t>14</w:t>
      </w:r>
      <w:r>
        <w:rPr>
          <w:rFonts w:hint="eastAsia"/>
          <w:sz w:val="21"/>
          <w:szCs w:val="21"/>
        </w:rPr>
        <w:t>天内，争议评审组应在不受任何干扰的情况下进行独立、公正的评审，作出书面评审意见，并说明理由。在争议评审期间，争议双方暂按总监理工程师的确定执行。</w:t>
      </w:r>
    </w:p>
    <w:p w14:paraId="557C1335">
      <w:pPr>
        <w:pStyle w:val="319"/>
        <w:ind w:firstLine="440"/>
        <w:rPr>
          <w:rFonts w:cs="Times New Roman"/>
          <w:sz w:val="21"/>
          <w:szCs w:val="21"/>
        </w:rPr>
      </w:pPr>
      <w:r>
        <w:rPr>
          <w:sz w:val="21"/>
          <w:szCs w:val="21"/>
          <w:lang w:val="en-US"/>
        </w:rPr>
        <w:t>24.3.6</w:t>
      </w:r>
      <w:r>
        <w:rPr>
          <w:rFonts w:hint="eastAsia"/>
          <w:sz w:val="21"/>
          <w:szCs w:val="21"/>
        </w:rPr>
        <w:t>发包人和承包人接受评审意见的，由监理人根据评审意见拟定执行协议，经争议双方签字后作为合同的补充文件，并遵照执行。</w:t>
      </w:r>
    </w:p>
    <w:p w14:paraId="00B8FD9F">
      <w:pPr>
        <w:pStyle w:val="319"/>
        <w:spacing w:after="140"/>
        <w:ind w:firstLine="440"/>
        <w:rPr>
          <w:rFonts w:cs="Times New Roman"/>
          <w:sz w:val="21"/>
          <w:szCs w:val="21"/>
        </w:rPr>
      </w:pPr>
      <w:r>
        <w:rPr>
          <w:sz w:val="21"/>
          <w:szCs w:val="21"/>
          <w:lang w:val="en-US"/>
        </w:rPr>
        <w:t>24.3.7</w:t>
      </w:r>
      <w:r>
        <w:rPr>
          <w:rFonts w:hint="eastAsia"/>
          <w:sz w:val="21"/>
          <w:szCs w:val="21"/>
        </w:rPr>
        <w:t>发包人或承包人不接受评审意见，并要求提交仲裁或提起诉讼的，应在收到评审意见后的</w:t>
      </w:r>
      <w:r>
        <w:rPr>
          <w:sz w:val="21"/>
          <w:szCs w:val="21"/>
        </w:rPr>
        <w:t>14</w:t>
      </w:r>
      <w:r>
        <w:rPr>
          <w:rFonts w:hint="eastAsia"/>
          <w:sz w:val="21"/>
          <w:szCs w:val="21"/>
        </w:rPr>
        <w:t>天内将仲裁或起诉意向书面通知另一方，并抄送监理人，但在仲裁或诉讼结束前应暂按总监理工程师的确定执行。</w:t>
      </w:r>
    </w:p>
    <w:p w14:paraId="100832DC">
      <w:pPr>
        <w:pStyle w:val="318"/>
        <w:spacing w:line="360" w:lineRule="auto"/>
        <w:rPr>
          <w:rFonts w:ascii="宋体" w:cs="宋体"/>
          <w:sz w:val="21"/>
          <w:szCs w:val="21"/>
        </w:rPr>
      </w:pPr>
      <w:bookmarkStart w:id="1848" w:name="_Toc27396"/>
      <w:bookmarkStart w:id="1849" w:name="_Toc18050"/>
      <w:bookmarkStart w:id="1850" w:name="bookmark1575"/>
      <w:bookmarkStart w:id="1851" w:name="_Toc10843"/>
      <w:bookmarkStart w:id="1852" w:name="_Toc256000425"/>
      <w:bookmarkStart w:id="1853" w:name="_Toc256000175"/>
      <w:bookmarkStart w:id="1854" w:name="bookmark1574"/>
      <w:bookmarkStart w:id="1855" w:name="_Toc548"/>
      <w:bookmarkStart w:id="1856" w:name="bookmark1573"/>
      <w:r>
        <w:rPr>
          <w:rFonts w:ascii="宋体" w:hAnsi="宋体" w:cs="宋体"/>
          <w:sz w:val="21"/>
          <w:szCs w:val="21"/>
        </w:rPr>
        <w:t>24.4</w:t>
      </w:r>
      <w:r>
        <w:rPr>
          <w:rFonts w:hint="eastAsia" w:ascii="宋体" w:hAnsi="宋体" w:cs="宋体"/>
          <w:sz w:val="21"/>
          <w:szCs w:val="21"/>
        </w:rPr>
        <w:t>仲裁</w:t>
      </w:r>
      <w:bookmarkEnd w:id="1848"/>
      <w:bookmarkEnd w:id="1849"/>
      <w:bookmarkEnd w:id="1850"/>
      <w:bookmarkEnd w:id="1851"/>
      <w:bookmarkEnd w:id="1852"/>
      <w:bookmarkEnd w:id="1853"/>
      <w:bookmarkEnd w:id="1854"/>
      <w:bookmarkEnd w:id="1855"/>
      <w:bookmarkEnd w:id="1856"/>
    </w:p>
    <w:p w14:paraId="53FFD8FC">
      <w:pPr>
        <w:pStyle w:val="319"/>
        <w:ind w:firstLine="420"/>
        <w:rPr>
          <w:rFonts w:cs="Times New Roman"/>
          <w:sz w:val="21"/>
          <w:szCs w:val="21"/>
        </w:rPr>
      </w:pPr>
      <w:r>
        <w:rPr>
          <w:sz w:val="21"/>
          <w:szCs w:val="21"/>
          <w:lang w:val="en-US"/>
        </w:rPr>
        <w:t>24.4.1</w:t>
      </w:r>
      <w:r>
        <w:rPr>
          <w:rFonts w:hint="eastAsia"/>
          <w:sz w:val="21"/>
          <w:szCs w:val="21"/>
        </w:rPr>
        <w:t>若合同双方商定直接向仲裁机构申请仲裁，应签订仲裁协议并约定仲裁机构。</w:t>
      </w:r>
    </w:p>
    <w:p w14:paraId="619E7D4A">
      <w:pPr>
        <w:widowControl/>
        <w:kinsoku w:val="0"/>
        <w:autoSpaceDE w:val="0"/>
        <w:autoSpaceDN w:val="0"/>
        <w:adjustRightInd w:val="0"/>
        <w:snapToGrid w:val="0"/>
        <w:spacing w:line="256" w:lineRule="auto"/>
        <w:jc w:val="left"/>
        <w:textAlignment w:val="baseline"/>
        <w:rPr>
          <w:rFonts w:ascii="宋体" w:hAnsi="宋体" w:eastAsia="宋体" w:cs="Times New Roman"/>
          <w:snapToGrid w:val="0"/>
          <w:kern w:val="0"/>
        </w:rPr>
      </w:pPr>
      <w:r>
        <w:rPr>
          <w:rFonts w:ascii="宋体" w:hAnsi="宋体" w:eastAsia="宋体" w:cs="宋体"/>
        </w:rPr>
        <w:t>24.4.2</w:t>
      </w:r>
      <w:r>
        <w:rPr>
          <w:rFonts w:hint="eastAsia" w:ascii="宋体" w:hAnsi="宋体" w:eastAsia="宋体" w:cs="宋体"/>
        </w:rPr>
        <w:t>若合同双方未能达成仲裁协议，则本合同的仲裁条款无效，任一方均有权向人民法院提起诉讼。</w:t>
      </w:r>
    </w:p>
    <w:p w14:paraId="46A872DB">
      <w:pPr>
        <w:rPr>
          <w:rFonts w:ascii="Times New Roman" w:hAnsi="Times New Roman" w:eastAsia="宋体" w:cs="Times New Roman"/>
          <w:b/>
          <w:bCs/>
          <w:position w:val="-5"/>
          <w:sz w:val="32"/>
          <w:szCs w:val="32"/>
        </w:rPr>
      </w:pPr>
      <w:r>
        <w:rPr>
          <w:rFonts w:ascii="Times New Roman" w:hAnsi="Times New Roman" w:eastAsia="宋体" w:cs="Times New Roman"/>
          <w:b/>
          <w:bCs/>
          <w:position w:val="-5"/>
          <w:sz w:val="32"/>
          <w:szCs w:val="32"/>
        </w:rPr>
        <w:br w:type="page"/>
      </w:r>
    </w:p>
    <w:p w14:paraId="73575ED2">
      <w:pPr>
        <w:pStyle w:val="317"/>
        <w:spacing w:line="360" w:lineRule="auto"/>
        <w:rPr>
          <w:rFonts w:eastAsia="宋体" w:cs="Times New Roman"/>
        </w:rPr>
      </w:pPr>
      <w:bookmarkStart w:id="1857" w:name="_Toc256000176"/>
      <w:bookmarkStart w:id="1858" w:name="_Toc256000426"/>
      <w:bookmarkStart w:id="1859" w:name="_Toc14868"/>
      <w:bookmarkStart w:id="1860" w:name="_Toc29382"/>
      <w:r>
        <w:rPr>
          <w:rFonts w:hint="eastAsia" w:eastAsia="宋体"/>
        </w:rPr>
        <w:t>第二节</w:t>
      </w:r>
      <w:r>
        <w:rPr>
          <w:rFonts w:eastAsia="宋体"/>
        </w:rPr>
        <w:t xml:space="preserve"> </w:t>
      </w:r>
      <w:r>
        <w:rPr>
          <w:rFonts w:hint="eastAsia" w:eastAsia="宋体"/>
        </w:rPr>
        <w:t>专用合同条款</w:t>
      </w:r>
      <w:bookmarkEnd w:id="1857"/>
      <w:bookmarkEnd w:id="1858"/>
      <w:bookmarkEnd w:id="1859"/>
      <w:bookmarkEnd w:id="1860"/>
    </w:p>
    <w:p w14:paraId="70091522">
      <w:pPr>
        <w:pStyle w:val="318"/>
        <w:spacing w:line="360" w:lineRule="auto"/>
        <w:rPr>
          <w:rFonts w:ascii="宋体" w:cs="宋体"/>
          <w:sz w:val="21"/>
          <w:szCs w:val="21"/>
        </w:rPr>
      </w:pPr>
      <w:bookmarkStart w:id="1861" w:name="bookmark1581"/>
      <w:bookmarkEnd w:id="1861"/>
      <w:bookmarkStart w:id="1862" w:name="_Toc30818"/>
      <w:bookmarkStart w:id="1863" w:name="_Toc256000427"/>
      <w:bookmarkStart w:id="1864" w:name="bookmark1582"/>
      <w:bookmarkStart w:id="1865" w:name="_Toc256000177"/>
      <w:bookmarkStart w:id="1866" w:name="_Toc22491"/>
      <w:bookmarkStart w:id="1867" w:name="bookmark1580"/>
      <w:bookmarkStart w:id="1868" w:name="_Toc21852"/>
      <w:bookmarkStart w:id="1869" w:name="_Toc27068"/>
      <w:bookmarkStart w:id="1870" w:name="bookmark1579"/>
      <w:bookmarkStart w:id="1871" w:name="_Toc29781"/>
      <w:r>
        <w:rPr>
          <w:rFonts w:ascii="宋体" w:hAnsi="宋体" w:cs="宋体"/>
          <w:sz w:val="21"/>
          <w:szCs w:val="21"/>
        </w:rPr>
        <w:t xml:space="preserve">1. </w:t>
      </w:r>
      <w:r>
        <w:rPr>
          <w:rFonts w:hint="eastAsia" w:ascii="宋体" w:hAnsi="宋体" w:cs="宋体"/>
          <w:sz w:val="21"/>
          <w:szCs w:val="21"/>
        </w:rPr>
        <w:t>一般约定</w:t>
      </w:r>
      <w:bookmarkEnd w:id="1862"/>
      <w:bookmarkEnd w:id="1863"/>
      <w:bookmarkEnd w:id="1864"/>
      <w:bookmarkEnd w:id="1865"/>
      <w:bookmarkEnd w:id="1866"/>
      <w:bookmarkEnd w:id="1867"/>
      <w:bookmarkEnd w:id="1868"/>
      <w:bookmarkEnd w:id="1869"/>
      <w:bookmarkEnd w:id="1870"/>
      <w:bookmarkEnd w:id="1871"/>
    </w:p>
    <w:p w14:paraId="6026A006">
      <w:pPr>
        <w:pStyle w:val="318"/>
        <w:spacing w:line="360" w:lineRule="auto"/>
        <w:rPr>
          <w:rFonts w:ascii="宋体" w:cs="宋体"/>
          <w:sz w:val="21"/>
          <w:szCs w:val="21"/>
        </w:rPr>
      </w:pPr>
      <w:bookmarkStart w:id="1872" w:name="_Toc256000178"/>
      <w:bookmarkStart w:id="1873" w:name="_Toc17603"/>
      <w:bookmarkStart w:id="1874" w:name="_Toc9745"/>
      <w:bookmarkStart w:id="1875" w:name="bookmark1585"/>
      <w:bookmarkStart w:id="1876" w:name="bookmark1583"/>
      <w:bookmarkStart w:id="1877" w:name="_Toc256000428"/>
      <w:bookmarkStart w:id="1878" w:name="bookmark1584"/>
      <w:r>
        <w:rPr>
          <w:rFonts w:ascii="宋体" w:hAnsi="宋体" w:cs="宋体"/>
          <w:sz w:val="21"/>
          <w:szCs w:val="21"/>
        </w:rPr>
        <w:t>1.1</w:t>
      </w:r>
      <w:r>
        <w:rPr>
          <w:rFonts w:hint="eastAsia" w:ascii="宋体" w:hAnsi="宋体" w:cs="宋体"/>
          <w:sz w:val="21"/>
          <w:szCs w:val="21"/>
        </w:rPr>
        <w:t>词语定义</w:t>
      </w:r>
      <w:bookmarkEnd w:id="1872"/>
      <w:bookmarkEnd w:id="1873"/>
      <w:bookmarkEnd w:id="1874"/>
      <w:bookmarkEnd w:id="1875"/>
      <w:bookmarkEnd w:id="1876"/>
      <w:bookmarkEnd w:id="1877"/>
      <w:bookmarkEnd w:id="1878"/>
    </w:p>
    <w:p w14:paraId="50C93662">
      <w:pPr>
        <w:pStyle w:val="319"/>
        <w:spacing w:after="100"/>
        <w:ind w:firstLine="440"/>
        <w:rPr>
          <w:rFonts w:cs="Times New Roman"/>
          <w:sz w:val="21"/>
          <w:szCs w:val="21"/>
        </w:rPr>
      </w:pPr>
      <w:r>
        <w:rPr>
          <w:sz w:val="21"/>
          <w:szCs w:val="21"/>
          <w:lang w:val="en-US"/>
        </w:rPr>
        <w:t>1.1.2</w:t>
      </w:r>
      <w:r>
        <w:rPr>
          <w:rFonts w:hint="eastAsia"/>
          <w:sz w:val="21"/>
          <w:szCs w:val="21"/>
        </w:rPr>
        <w:t>合同当事人和人员</w:t>
      </w:r>
    </w:p>
    <w:p w14:paraId="21665EE6">
      <w:pPr>
        <w:pStyle w:val="320"/>
        <w:tabs>
          <w:tab w:val="left" w:pos="4064"/>
        </w:tabs>
        <w:spacing w:after="100" w:line="360" w:lineRule="auto"/>
        <w:ind w:firstLine="440"/>
        <w:rPr>
          <w:rFonts w:ascii="宋体" w:cs="宋体"/>
          <w:sz w:val="21"/>
          <w:szCs w:val="21"/>
        </w:rPr>
      </w:pPr>
      <w:r>
        <w:rPr>
          <w:rFonts w:ascii="宋体" w:hAnsi="宋体" w:cs="宋体"/>
          <w:sz w:val="21"/>
          <w:szCs w:val="21"/>
        </w:rPr>
        <w:t>1.1.2.</w:t>
      </w:r>
      <w:r>
        <w:rPr>
          <w:rFonts w:ascii="宋体" w:hAnsi="宋体" w:cs="宋体"/>
          <w:sz w:val="21"/>
          <w:szCs w:val="21"/>
          <w:lang w:val="zh-CN"/>
        </w:rPr>
        <w:t>2</w:t>
      </w:r>
      <w:r>
        <w:rPr>
          <w:rFonts w:hint="eastAsia" w:ascii="宋体" w:hAnsi="宋体" w:cs="宋体"/>
          <w:sz w:val="21"/>
          <w:szCs w:val="21"/>
          <w:lang w:val="zh-CN"/>
        </w:rPr>
        <w:t>发包人：博白县水利局</w:t>
      </w:r>
      <w:r>
        <w:rPr>
          <w:rFonts w:hint="eastAsia" w:ascii="宋体" w:hAnsi="宋体" w:cs="宋体"/>
          <w:sz w:val="21"/>
          <w:szCs w:val="21"/>
        </w:rPr>
        <w:t>。</w:t>
      </w:r>
    </w:p>
    <w:p w14:paraId="636087D2">
      <w:pPr>
        <w:pStyle w:val="320"/>
        <w:tabs>
          <w:tab w:val="left" w:pos="4066"/>
        </w:tabs>
        <w:spacing w:after="100" w:line="360" w:lineRule="auto"/>
        <w:ind w:firstLine="440"/>
        <w:rPr>
          <w:rFonts w:ascii="宋体" w:cs="宋体"/>
          <w:sz w:val="21"/>
          <w:szCs w:val="21"/>
        </w:rPr>
      </w:pPr>
      <w:r>
        <w:rPr>
          <w:rFonts w:ascii="宋体" w:hAnsi="宋体" w:cs="宋体"/>
          <w:sz w:val="21"/>
          <w:szCs w:val="21"/>
        </w:rPr>
        <w:t>1.1.2.</w:t>
      </w:r>
      <w:r>
        <w:rPr>
          <w:rFonts w:ascii="宋体" w:hAnsi="宋体" w:cs="宋体"/>
          <w:sz w:val="21"/>
          <w:szCs w:val="21"/>
          <w:lang w:val="zh-CN"/>
        </w:rPr>
        <w:t>3</w:t>
      </w:r>
      <w:r>
        <w:rPr>
          <w:rFonts w:hint="eastAsia" w:ascii="宋体" w:hAnsi="宋体" w:cs="宋体"/>
          <w:sz w:val="21"/>
          <w:szCs w:val="21"/>
          <w:lang w:val="zh-CN"/>
        </w:rPr>
        <w:t>承包人：</w:t>
      </w:r>
      <w:r>
        <w:rPr>
          <w:rFonts w:ascii="宋体" w:cs="宋体"/>
          <w:sz w:val="21"/>
          <w:szCs w:val="21"/>
          <w:u w:val="single"/>
        </w:rPr>
        <w:tab/>
      </w:r>
      <w:r>
        <w:rPr>
          <w:rFonts w:hint="eastAsia" w:ascii="宋体" w:hAnsi="宋体" w:cs="宋体"/>
          <w:sz w:val="21"/>
          <w:szCs w:val="21"/>
        </w:rPr>
        <w:t>。</w:t>
      </w:r>
    </w:p>
    <w:p w14:paraId="1B16C97F">
      <w:pPr>
        <w:pStyle w:val="320"/>
        <w:tabs>
          <w:tab w:val="left" w:pos="4066"/>
        </w:tabs>
        <w:spacing w:after="100" w:line="360" w:lineRule="auto"/>
        <w:ind w:firstLine="440"/>
        <w:rPr>
          <w:rFonts w:ascii="宋体" w:cs="宋体"/>
          <w:sz w:val="21"/>
          <w:szCs w:val="21"/>
        </w:rPr>
      </w:pPr>
      <w:r>
        <w:rPr>
          <w:rFonts w:ascii="宋体" w:hAnsi="宋体" w:cs="宋体"/>
          <w:sz w:val="21"/>
          <w:szCs w:val="21"/>
        </w:rPr>
        <w:t>1.1.2.4</w:t>
      </w:r>
      <w:r>
        <w:rPr>
          <w:rFonts w:hint="eastAsia" w:ascii="宋体" w:hAnsi="宋体" w:cs="宋体"/>
          <w:sz w:val="21"/>
          <w:szCs w:val="21"/>
        </w:rPr>
        <w:t>承包人项目负责人、技术负责人和专职安全员</w:t>
      </w:r>
      <w:r>
        <w:rPr>
          <w:rFonts w:hint="eastAsia" w:ascii="宋体" w:hAnsi="宋体" w:cs="宋体"/>
          <w:sz w:val="21"/>
          <w:szCs w:val="21"/>
          <w:lang w:val="zh-CN"/>
        </w:rPr>
        <w:t>：</w:t>
      </w:r>
      <w:r>
        <w:rPr>
          <w:rFonts w:ascii="宋体" w:cs="宋体"/>
          <w:sz w:val="21"/>
          <w:szCs w:val="21"/>
          <w:u w:val="single"/>
        </w:rPr>
        <w:tab/>
      </w:r>
      <w:r>
        <w:rPr>
          <w:rFonts w:ascii="宋体" w:hAnsi="宋体" w:cs="宋体"/>
          <w:sz w:val="21"/>
          <w:szCs w:val="21"/>
          <w:u w:val="single"/>
        </w:rPr>
        <w:t xml:space="preserve">             </w:t>
      </w:r>
      <w:r>
        <w:rPr>
          <w:rFonts w:hint="eastAsia" w:ascii="宋体" w:hAnsi="宋体" w:cs="宋体"/>
          <w:sz w:val="21"/>
          <w:szCs w:val="21"/>
        </w:rPr>
        <w:t>（项目负责人、技术负责人和专职安全员的姓名、身份证号号码，项目负责人执业证书号码以及项目负责人和专职安全员水行政主管部门颁发的安全生产考核合格证书号码）。</w:t>
      </w:r>
    </w:p>
    <w:p w14:paraId="7B37BB69">
      <w:pPr>
        <w:pStyle w:val="320"/>
        <w:tabs>
          <w:tab w:val="left" w:pos="4064"/>
        </w:tabs>
        <w:spacing w:after="100" w:line="360" w:lineRule="auto"/>
        <w:ind w:firstLine="440"/>
        <w:rPr>
          <w:rFonts w:ascii="宋体" w:cs="宋体"/>
          <w:sz w:val="21"/>
          <w:szCs w:val="21"/>
        </w:rPr>
      </w:pPr>
      <w:r>
        <w:rPr>
          <w:rFonts w:ascii="宋体" w:hAnsi="宋体" w:cs="宋体"/>
          <w:sz w:val="21"/>
          <w:szCs w:val="21"/>
        </w:rPr>
        <w:t>1.1.2.</w:t>
      </w:r>
      <w:r>
        <w:rPr>
          <w:rFonts w:ascii="宋体" w:hAnsi="宋体" w:cs="宋体"/>
          <w:sz w:val="21"/>
          <w:szCs w:val="21"/>
          <w:lang w:val="zh-CN"/>
        </w:rPr>
        <w:t>5</w:t>
      </w:r>
      <w:r>
        <w:rPr>
          <w:rFonts w:hint="eastAsia" w:ascii="宋体" w:hAnsi="宋体" w:cs="宋体"/>
          <w:sz w:val="21"/>
          <w:szCs w:val="21"/>
          <w:lang w:val="zh-CN"/>
        </w:rPr>
        <w:t>分包人：</w:t>
      </w:r>
      <w:r>
        <w:rPr>
          <w:rFonts w:ascii="宋体" w:cs="宋体"/>
          <w:sz w:val="21"/>
          <w:szCs w:val="21"/>
          <w:u w:val="single"/>
        </w:rPr>
        <w:tab/>
      </w:r>
      <w:r>
        <w:rPr>
          <w:rFonts w:hint="eastAsia" w:ascii="宋体" w:hAnsi="宋体" w:cs="宋体"/>
          <w:sz w:val="21"/>
          <w:szCs w:val="21"/>
        </w:rPr>
        <w:t>。</w:t>
      </w:r>
    </w:p>
    <w:p w14:paraId="525E1FE0">
      <w:pPr>
        <w:pStyle w:val="320"/>
        <w:tabs>
          <w:tab w:val="left" w:pos="4064"/>
        </w:tabs>
        <w:spacing w:after="100" w:line="360" w:lineRule="auto"/>
        <w:ind w:firstLine="440"/>
        <w:rPr>
          <w:rFonts w:ascii="宋体" w:cs="宋体"/>
          <w:sz w:val="21"/>
          <w:szCs w:val="21"/>
        </w:rPr>
      </w:pPr>
      <w:r>
        <w:rPr>
          <w:rFonts w:ascii="宋体" w:hAnsi="宋体" w:cs="宋体"/>
          <w:sz w:val="21"/>
          <w:szCs w:val="21"/>
        </w:rPr>
        <w:t>1.1.2.6</w:t>
      </w:r>
      <w:r>
        <w:rPr>
          <w:rFonts w:hint="eastAsia" w:ascii="宋体" w:hAnsi="宋体" w:cs="宋体"/>
          <w:sz w:val="21"/>
          <w:szCs w:val="21"/>
          <w:lang w:val="zh-CN"/>
        </w:rPr>
        <w:t>监理人：</w:t>
      </w:r>
      <w:r>
        <w:rPr>
          <w:rFonts w:ascii="宋体" w:cs="宋体"/>
          <w:sz w:val="21"/>
          <w:szCs w:val="21"/>
          <w:u w:val="single"/>
        </w:rPr>
        <w:tab/>
      </w:r>
      <w:r>
        <w:rPr>
          <w:rFonts w:hint="eastAsia" w:ascii="宋体" w:hAnsi="宋体" w:cs="宋体"/>
          <w:sz w:val="21"/>
          <w:szCs w:val="21"/>
        </w:rPr>
        <w:t>。</w:t>
      </w:r>
    </w:p>
    <w:p w14:paraId="32BE7BAE">
      <w:pPr>
        <w:pStyle w:val="320"/>
        <w:tabs>
          <w:tab w:val="left" w:pos="3649"/>
        </w:tabs>
        <w:spacing w:after="100" w:line="360" w:lineRule="auto"/>
        <w:ind w:firstLine="440"/>
        <w:rPr>
          <w:rFonts w:ascii="宋体" w:cs="宋体"/>
          <w:sz w:val="21"/>
          <w:szCs w:val="21"/>
        </w:rPr>
      </w:pPr>
      <w:r>
        <w:rPr>
          <w:rFonts w:ascii="宋体" w:hAnsi="宋体" w:cs="宋体"/>
          <w:sz w:val="21"/>
          <w:szCs w:val="21"/>
        </w:rPr>
        <w:t>1.1.4</w:t>
      </w:r>
      <w:r>
        <w:rPr>
          <w:rFonts w:hint="eastAsia" w:ascii="宋体" w:hAnsi="宋体" w:cs="宋体"/>
          <w:sz w:val="21"/>
          <w:szCs w:val="21"/>
          <w:lang w:val="zh-CN"/>
        </w:rPr>
        <w:t>日期：</w:t>
      </w:r>
      <w:r>
        <w:rPr>
          <w:rFonts w:ascii="宋体" w:cs="宋体"/>
          <w:sz w:val="21"/>
          <w:szCs w:val="21"/>
          <w:u w:val="single"/>
        </w:rPr>
        <w:tab/>
      </w:r>
      <w:r>
        <w:rPr>
          <w:rFonts w:hint="eastAsia" w:ascii="宋体" w:hAnsi="宋体" w:cs="宋体"/>
          <w:sz w:val="21"/>
          <w:szCs w:val="21"/>
        </w:rPr>
        <w:t>。</w:t>
      </w:r>
    </w:p>
    <w:p w14:paraId="7F013C30">
      <w:pPr>
        <w:pStyle w:val="319"/>
        <w:tabs>
          <w:tab w:val="left" w:pos="6303"/>
        </w:tabs>
        <w:spacing w:after="240"/>
        <w:ind w:firstLine="440"/>
        <w:rPr>
          <w:rFonts w:cs="Times New Roman"/>
          <w:sz w:val="21"/>
          <w:szCs w:val="21"/>
        </w:rPr>
      </w:pPr>
      <w:r>
        <w:rPr>
          <w:sz w:val="21"/>
          <w:szCs w:val="21"/>
          <w:lang w:val="en-US"/>
        </w:rPr>
        <w:t>1.1.4.</w:t>
      </w:r>
      <w:r>
        <w:rPr>
          <w:sz w:val="21"/>
          <w:szCs w:val="21"/>
        </w:rPr>
        <w:t>5</w:t>
      </w:r>
      <w:r>
        <w:rPr>
          <w:rFonts w:hint="eastAsia"/>
          <w:sz w:val="21"/>
          <w:szCs w:val="21"/>
        </w:rPr>
        <w:t>缺陷责任期</w:t>
      </w:r>
      <w:r>
        <w:rPr>
          <w:sz w:val="21"/>
          <w:szCs w:val="21"/>
        </w:rPr>
        <w:t>(</w:t>
      </w:r>
      <w:r>
        <w:rPr>
          <w:rFonts w:hint="eastAsia"/>
          <w:sz w:val="21"/>
          <w:szCs w:val="21"/>
        </w:rPr>
        <w:t>工程质量保修期</w:t>
      </w:r>
      <w:r>
        <w:rPr>
          <w:sz w:val="21"/>
          <w:szCs w:val="21"/>
        </w:rPr>
        <w:t>)</w:t>
      </w:r>
      <w:r>
        <w:rPr>
          <w:rFonts w:hint="eastAsia"/>
          <w:sz w:val="21"/>
          <w:szCs w:val="21"/>
        </w:rPr>
        <w:t>：</w:t>
      </w:r>
      <w:r>
        <w:rPr>
          <w:rFonts w:hint="eastAsia"/>
          <w:sz w:val="21"/>
          <w:szCs w:val="21"/>
          <w:u w:val="single"/>
        </w:rPr>
        <w:t>双方约定本项目的质量保修期为保修期的起算日至通过竣工验收后一年。</w:t>
      </w:r>
      <w:r>
        <w:rPr>
          <w:rFonts w:hint="eastAsia"/>
          <w:sz w:val="21"/>
          <w:szCs w:val="21"/>
          <w:lang w:val="en-US"/>
        </w:rPr>
        <w:t>。</w:t>
      </w:r>
    </w:p>
    <w:p w14:paraId="6A7E92D3">
      <w:pPr>
        <w:pStyle w:val="318"/>
        <w:spacing w:line="360" w:lineRule="auto"/>
        <w:rPr>
          <w:rFonts w:ascii="宋体" w:cs="宋体"/>
          <w:sz w:val="21"/>
          <w:szCs w:val="21"/>
        </w:rPr>
      </w:pPr>
      <w:bookmarkStart w:id="1879" w:name="_Toc256000429"/>
      <w:bookmarkStart w:id="1880" w:name="_Toc11137"/>
      <w:bookmarkStart w:id="1881" w:name="_Toc23447"/>
      <w:bookmarkStart w:id="1882" w:name="bookmark1588"/>
      <w:bookmarkStart w:id="1883" w:name="bookmark1587"/>
      <w:bookmarkStart w:id="1884" w:name="_Toc256000179"/>
      <w:bookmarkStart w:id="1885" w:name="bookmark1586"/>
      <w:r>
        <w:rPr>
          <w:rFonts w:ascii="宋体" w:hAnsi="宋体" w:cs="宋体"/>
          <w:sz w:val="21"/>
          <w:szCs w:val="21"/>
        </w:rPr>
        <w:t>1.4</w:t>
      </w:r>
      <w:r>
        <w:rPr>
          <w:rFonts w:hint="eastAsia" w:ascii="宋体" w:hAnsi="宋体" w:cs="宋体"/>
          <w:sz w:val="21"/>
          <w:szCs w:val="21"/>
        </w:rPr>
        <w:t>合同文件的优先顺序</w:t>
      </w:r>
      <w:bookmarkEnd w:id="1879"/>
      <w:bookmarkEnd w:id="1880"/>
      <w:bookmarkEnd w:id="1881"/>
      <w:bookmarkEnd w:id="1882"/>
      <w:bookmarkEnd w:id="1883"/>
      <w:bookmarkEnd w:id="1884"/>
      <w:bookmarkEnd w:id="1885"/>
    </w:p>
    <w:p w14:paraId="539F8F87">
      <w:pPr>
        <w:pStyle w:val="319"/>
        <w:spacing w:after="100"/>
        <w:ind w:firstLine="440"/>
        <w:rPr>
          <w:rFonts w:cs="Times New Roman"/>
          <w:sz w:val="21"/>
          <w:szCs w:val="21"/>
        </w:rPr>
      </w:pPr>
      <w:r>
        <w:rPr>
          <w:rFonts w:hint="eastAsia"/>
          <w:sz w:val="21"/>
          <w:szCs w:val="21"/>
        </w:rPr>
        <w:t>进入合同的各项文件及其优先顺序如下：</w:t>
      </w:r>
    </w:p>
    <w:p w14:paraId="39FBF0EC">
      <w:pPr>
        <w:pStyle w:val="319"/>
        <w:numPr>
          <w:ilvl w:val="0"/>
          <w:numId w:val="34"/>
        </w:numPr>
        <w:tabs>
          <w:tab w:val="left" w:pos="923"/>
        </w:tabs>
        <w:spacing w:after="100"/>
        <w:ind w:firstLine="440"/>
        <w:rPr>
          <w:rFonts w:cs="Times New Roman"/>
          <w:sz w:val="21"/>
          <w:szCs w:val="21"/>
        </w:rPr>
      </w:pPr>
      <w:bookmarkStart w:id="1886" w:name="bookmark1589"/>
      <w:bookmarkEnd w:id="1886"/>
      <w:r>
        <w:rPr>
          <w:rFonts w:hint="eastAsia"/>
          <w:sz w:val="21"/>
          <w:szCs w:val="21"/>
        </w:rPr>
        <w:t>合同协议书</w:t>
      </w:r>
      <w:r>
        <w:rPr>
          <w:sz w:val="21"/>
          <w:szCs w:val="21"/>
        </w:rPr>
        <w:t>(</w:t>
      </w:r>
      <w:r>
        <w:rPr>
          <w:rFonts w:hint="eastAsia"/>
          <w:sz w:val="21"/>
          <w:szCs w:val="21"/>
        </w:rPr>
        <w:t>包括补充协议、合同谈判备忘录</w:t>
      </w:r>
      <w:r>
        <w:rPr>
          <w:sz w:val="21"/>
          <w:szCs w:val="21"/>
        </w:rPr>
        <w:t>)</w:t>
      </w:r>
      <w:r>
        <w:rPr>
          <w:rFonts w:hint="eastAsia"/>
          <w:sz w:val="21"/>
          <w:szCs w:val="21"/>
        </w:rPr>
        <w:t>；</w:t>
      </w:r>
    </w:p>
    <w:p w14:paraId="0FDE0B4C">
      <w:pPr>
        <w:pStyle w:val="319"/>
        <w:numPr>
          <w:ilvl w:val="0"/>
          <w:numId w:val="34"/>
        </w:numPr>
        <w:tabs>
          <w:tab w:val="left" w:pos="923"/>
        </w:tabs>
        <w:spacing w:after="100"/>
        <w:ind w:firstLine="440"/>
        <w:rPr>
          <w:rFonts w:cs="Times New Roman"/>
          <w:sz w:val="21"/>
          <w:szCs w:val="21"/>
        </w:rPr>
      </w:pPr>
      <w:bookmarkStart w:id="1887" w:name="bookmark1590"/>
      <w:bookmarkEnd w:id="1887"/>
      <w:r>
        <w:rPr>
          <w:rFonts w:hint="eastAsia"/>
          <w:sz w:val="21"/>
          <w:szCs w:val="21"/>
        </w:rPr>
        <w:t>成交通知书；</w:t>
      </w:r>
    </w:p>
    <w:p w14:paraId="7F2FEB7C">
      <w:pPr>
        <w:pStyle w:val="319"/>
        <w:numPr>
          <w:ilvl w:val="0"/>
          <w:numId w:val="34"/>
        </w:numPr>
        <w:tabs>
          <w:tab w:val="left" w:pos="923"/>
        </w:tabs>
        <w:spacing w:after="100"/>
        <w:ind w:firstLine="440"/>
        <w:rPr>
          <w:rFonts w:cs="Times New Roman"/>
          <w:sz w:val="21"/>
          <w:szCs w:val="21"/>
        </w:rPr>
      </w:pPr>
      <w:bookmarkStart w:id="1888" w:name="bookmark1591"/>
      <w:bookmarkEnd w:id="1888"/>
      <w:r>
        <w:rPr>
          <w:rFonts w:hint="eastAsia"/>
          <w:sz w:val="21"/>
          <w:szCs w:val="21"/>
        </w:rPr>
        <w:t>磋商函及磋商函附录；</w:t>
      </w:r>
    </w:p>
    <w:p w14:paraId="03BB0158">
      <w:pPr>
        <w:pStyle w:val="319"/>
        <w:numPr>
          <w:ilvl w:val="0"/>
          <w:numId w:val="34"/>
        </w:numPr>
        <w:tabs>
          <w:tab w:val="left" w:pos="923"/>
        </w:tabs>
        <w:spacing w:after="100"/>
        <w:ind w:firstLine="440"/>
        <w:rPr>
          <w:rFonts w:cs="Times New Roman"/>
          <w:sz w:val="21"/>
          <w:szCs w:val="21"/>
        </w:rPr>
      </w:pPr>
      <w:bookmarkStart w:id="1889" w:name="bookmark1592"/>
      <w:bookmarkEnd w:id="1889"/>
      <w:r>
        <w:rPr>
          <w:rFonts w:hint="eastAsia"/>
          <w:sz w:val="21"/>
          <w:szCs w:val="21"/>
        </w:rPr>
        <w:t>专用合同条款</w:t>
      </w:r>
      <w:r>
        <w:rPr>
          <w:sz w:val="21"/>
          <w:szCs w:val="21"/>
        </w:rPr>
        <w:t>(</w:t>
      </w:r>
      <w:r>
        <w:rPr>
          <w:rFonts w:hint="eastAsia"/>
          <w:sz w:val="21"/>
          <w:szCs w:val="21"/>
        </w:rPr>
        <w:t>含附加条款</w:t>
      </w:r>
      <w:r>
        <w:rPr>
          <w:sz w:val="21"/>
          <w:szCs w:val="21"/>
        </w:rPr>
        <w:t>)</w:t>
      </w:r>
      <w:r>
        <w:rPr>
          <w:rFonts w:hint="eastAsia"/>
          <w:sz w:val="21"/>
          <w:szCs w:val="21"/>
        </w:rPr>
        <w:t>；</w:t>
      </w:r>
    </w:p>
    <w:p w14:paraId="61812AD4">
      <w:pPr>
        <w:pStyle w:val="319"/>
        <w:numPr>
          <w:ilvl w:val="0"/>
          <w:numId w:val="34"/>
        </w:numPr>
        <w:tabs>
          <w:tab w:val="left" w:pos="923"/>
        </w:tabs>
        <w:spacing w:after="100"/>
        <w:ind w:firstLine="440"/>
        <w:rPr>
          <w:rFonts w:cs="Times New Roman"/>
          <w:sz w:val="21"/>
          <w:szCs w:val="21"/>
        </w:rPr>
      </w:pPr>
      <w:bookmarkStart w:id="1890" w:name="bookmark1593"/>
      <w:bookmarkEnd w:id="1890"/>
      <w:r>
        <w:rPr>
          <w:rFonts w:hint="eastAsia"/>
          <w:sz w:val="21"/>
          <w:szCs w:val="21"/>
        </w:rPr>
        <w:t>通用合同条款；</w:t>
      </w:r>
    </w:p>
    <w:p w14:paraId="68DE2BCB">
      <w:pPr>
        <w:pStyle w:val="319"/>
        <w:numPr>
          <w:ilvl w:val="0"/>
          <w:numId w:val="34"/>
        </w:numPr>
        <w:tabs>
          <w:tab w:val="left" w:pos="923"/>
        </w:tabs>
        <w:spacing w:after="100"/>
        <w:ind w:firstLine="440"/>
        <w:rPr>
          <w:rFonts w:cs="Times New Roman"/>
          <w:sz w:val="21"/>
          <w:szCs w:val="21"/>
        </w:rPr>
      </w:pPr>
      <w:bookmarkStart w:id="1891" w:name="bookmark1594"/>
      <w:bookmarkEnd w:id="1891"/>
      <w:r>
        <w:rPr>
          <w:rFonts w:hint="eastAsia"/>
          <w:sz w:val="21"/>
          <w:szCs w:val="21"/>
        </w:rPr>
        <w:t>技术标准和要求</w:t>
      </w:r>
      <w:r>
        <w:rPr>
          <w:sz w:val="21"/>
          <w:szCs w:val="21"/>
        </w:rPr>
        <w:t>(</w:t>
      </w:r>
      <w:r>
        <w:rPr>
          <w:rFonts w:hint="eastAsia"/>
          <w:sz w:val="21"/>
          <w:szCs w:val="21"/>
        </w:rPr>
        <w:t>合同技术条款</w:t>
      </w:r>
      <w:r>
        <w:rPr>
          <w:sz w:val="21"/>
          <w:szCs w:val="21"/>
        </w:rPr>
        <w:t>)</w:t>
      </w:r>
      <w:r>
        <w:rPr>
          <w:rFonts w:hint="eastAsia"/>
          <w:sz w:val="21"/>
          <w:szCs w:val="21"/>
        </w:rPr>
        <w:t>；</w:t>
      </w:r>
    </w:p>
    <w:p w14:paraId="7229D7BB">
      <w:pPr>
        <w:pStyle w:val="319"/>
        <w:numPr>
          <w:ilvl w:val="0"/>
          <w:numId w:val="34"/>
        </w:numPr>
        <w:tabs>
          <w:tab w:val="left" w:pos="923"/>
        </w:tabs>
        <w:spacing w:after="100"/>
        <w:ind w:firstLine="440"/>
        <w:rPr>
          <w:rFonts w:cs="Times New Roman"/>
          <w:sz w:val="21"/>
          <w:szCs w:val="21"/>
        </w:rPr>
      </w:pPr>
      <w:bookmarkStart w:id="1892" w:name="bookmark1595"/>
      <w:bookmarkEnd w:id="1892"/>
      <w:r>
        <w:rPr>
          <w:rFonts w:hint="eastAsia"/>
          <w:sz w:val="21"/>
          <w:szCs w:val="21"/>
        </w:rPr>
        <w:t>图纸；</w:t>
      </w:r>
    </w:p>
    <w:p w14:paraId="3575AFC7">
      <w:pPr>
        <w:pStyle w:val="319"/>
        <w:numPr>
          <w:ilvl w:val="0"/>
          <w:numId w:val="34"/>
        </w:numPr>
        <w:tabs>
          <w:tab w:val="left" w:pos="923"/>
        </w:tabs>
        <w:spacing w:after="100"/>
        <w:ind w:firstLine="440"/>
        <w:rPr>
          <w:rFonts w:cs="Times New Roman"/>
          <w:sz w:val="21"/>
          <w:szCs w:val="21"/>
        </w:rPr>
      </w:pPr>
      <w:bookmarkStart w:id="1893" w:name="bookmark1596"/>
      <w:bookmarkEnd w:id="1893"/>
      <w:r>
        <w:rPr>
          <w:rFonts w:hint="eastAsia"/>
          <w:sz w:val="21"/>
          <w:szCs w:val="21"/>
        </w:rPr>
        <w:t>已标价工程量清单；</w:t>
      </w:r>
    </w:p>
    <w:p w14:paraId="3A610030">
      <w:pPr>
        <w:pStyle w:val="319"/>
        <w:numPr>
          <w:ilvl w:val="0"/>
          <w:numId w:val="34"/>
        </w:numPr>
        <w:tabs>
          <w:tab w:val="left" w:pos="923"/>
        </w:tabs>
        <w:spacing w:after="100"/>
        <w:ind w:firstLine="440"/>
        <w:rPr>
          <w:rFonts w:cs="Times New Roman"/>
          <w:sz w:val="21"/>
          <w:szCs w:val="21"/>
        </w:rPr>
      </w:pPr>
      <w:bookmarkStart w:id="1894" w:name="bookmark1597"/>
      <w:bookmarkEnd w:id="1894"/>
      <w:r>
        <w:rPr>
          <w:rFonts w:hint="eastAsia"/>
          <w:sz w:val="21"/>
          <w:szCs w:val="21"/>
        </w:rPr>
        <w:t>响应文件其他内容；</w:t>
      </w:r>
    </w:p>
    <w:p w14:paraId="23AAC31C">
      <w:pPr>
        <w:pStyle w:val="319"/>
        <w:numPr>
          <w:ilvl w:val="0"/>
          <w:numId w:val="34"/>
        </w:numPr>
        <w:tabs>
          <w:tab w:val="left" w:pos="1026"/>
        </w:tabs>
        <w:spacing w:after="240"/>
        <w:ind w:firstLine="440"/>
        <w:rPr>
          <w:rFonts w:cs="Times New Roman"/>
          <w:sz w:val="21"/>
          <w:szCs w:val="21"/>
        </w:rPr>
      </w:pPr>
      <w:bookmarkStart w:id="1895" w:name="bookmark1598"/>
      <w:bookmarkEnd w:id="1895"/>
      <w:r>
        <w:rPr>
          <w:rFonts w:hint="eastAsia"/>
          <w:sz w:val="21"/>
          <w:szCs w:val="21"/>
        </w:rPr>
        <w:t>其他合同文件。</w:t>
      </w:r>
    </w:p>
    <w:p w14:paraId="156C86F3">
      <w:pPr>
        <w:pStyle w:val="318"/>
        <w:spacing w:line="360" w:lineRule="auto"/>
        <w:rPr>
          <w:rFonts w:ascii="宋体" w:cs="宋体"/>
          <w:sz w:val="21"/>
          <w:szCs w:val="21"/>
        </w:rPr>
      </w:pPr>
      <w:bookmarkStart w:id="1896" w:name="bookmark1601"/>
      <w:bookmarkStart w:id="1897" w:name="bookmark1599"/>
      <w:bookmarkStart w:id="1898" w:name="_Toc256000430"/>
      <w:bookmarkStart w:id="1899" w:name="bookmark1600"/>
      <w:bookmarkStart w:id="1900" w:name="_Toc256000180"/>
      <w:bookmarkStart w:id="1901" w:name="_Toc10351"/>
      <w:bookmarkStart w:id="1902" w:name="_Toc22250"/>
      <w:r>
        <w:rPr>
          <w:rFonts w:ascii="宋体" w:hAnsi="宋体" w:cs="宋体"/>
          <w:sz w:val="21"/>
          <w:szCs w:val="21"/>
        </w:rPr>
        <w:t>1.7</w:t>
      </w:r>
      <w:r>
        <w:rPr>
          <w:rFonts w:hint="eastAsia" w:ascii="宋体" w:hAnsi="宋体" w:cs="宋体"/>
          <w:sz w:val="21"/>
          <w:szCs w:val="21"/>
        </w:rPr>
        <w:t>联络</w:t>
      </w:r>
      <w:bookmarkEnd w:id="1896"/>
      <w:bookmarkEnd w:id="1897"/>
      <w:bookmarkEnd w:id="1898"/>
      <w:bookmarkEnd w:id="1899"/>
      <w:bookmarkEnd w:id="1900"/>
      <w:bookmarkEnd w:id="1901"/>
      <w:bookmarkEnd w:id="1902"/>
    </w:p>
    <w:p w14:paraId="0796AD6A">
      <w:pPr>
        <w:pStyle w:val="319"/>
        <w:tabs>
          <w:tab w:val="left" w:pos="2074"/>
        </w:tabs>
        <w:spacing w:after="180"/>
        <w:ind w:firstLine="460"/>
        <w:rPr>
          <w:rFonts w:cs="Times New Roman"/>
          <w:sz w:val="21"/>
          <w:szCs w:val="21"/>
        </w:rPr>
      </w:pPr>
      <w:r>
        <w:rPr>
          <w:sz w:val="21"/>
          <w:szCs w:val="21"/>
          <w:lang w:val="en-US"/>
        </w:rPr>
        <w:t>1.7.2</w:t>
      </w:r>
      <w:r>
        <w:rPr>
          <w:rFonts w:hint="eastAsia"/>
          <w:sz w:val="21"/>
          <w:szCs w:val="21"/>
        </w:rPr>
        <w:t>来往函件均应按技术标准和要求</w:t>
      </w:r>
      <w:r>
        <w:rPr>
          <w:sz w:val="21"/>
          <w:szCs w:val="21"/>
        </w:rPr>
        <w:t>(</w:t>
      </w:r>
      <w:r>
        <w:rPr>
          <w:rFonts w:hint="eastAsia"/>
          <w:sz w:val="21"/>
          <w:szCs w:val="21"/>
        </w:rPr>
        <w:t>合同技术条款</w:t>
      </w:r>
      <w:r>
        <w:rPr>
          <w:sz w:val="21"/>
          <w:szCs w:val="21"/>
        </w:rPr>
        <w:t>)</w:t>
      </w:r>
      <w:r>
        <w:rPr>
          <w:rFonts w:hint="eastAsia"/>
          <w:sz w:val="21"/>
          <w:szCs w:val="21"/>
        </w:rPr>
        <w:t>约定的期限送</w:t>
      </w:r>
      <w:r>
        <w:rPr>
          <w:sz w:val="21"/>
          <w:szCs w:val="21"/>
          <w:lang w:val="en-US"/>
        </w:rPr>
        <w:t>:</w:t>
      </w:r>
      <w:r>
        <w:rPr>
          <w:rFonts w:hint="eastAsia"/>
          <w:sz w:val="21"/>
          <w:szCs w:val="21"/>
          <w:u w:val="single"/>
        </w:rPr>
        <w:t>发包人指定地点</w:t>
      </w:r>
      <w:r>
        <w:rPr>
          <w:rFonts w:hint="eastAsia"/>
          <w:sz w:val="21"/>
          <w:szCs w:val="21"/>
          <w:lang w:val="en-US"/>
        </w:rPr>
        <w:t>。</w:t>
      </w:r>
    </w:p>
    <w:p w14:paraId="53E55FE7">
      <w:pPr>
        <w:pStyle w:val="318"/>
        <w:spacing w:line="360" w:lineRule="auto"/>
        <w:rPr>
          <w:rFonts w:ascii="宋体" w:cs="宋体"/>
          <w:sz w:val="21"/>
          <w:szCs w:val="21"/>
        </w:rPr>
      </w:pPr>
      <w:bookmarkStart w:id="1903" w:name="bookmark1604"/>
      <w:bookmarkEnd w:id="1903"/>
      <w:bookmarkStart w:id="1904" w:name="_Toc256000431"/>
      <w:bookmarkStart w:id="1905" w:name="bookmark1605"/>
      <w:bookmarkStart w:id="1906" w:name="bookmark1603"/>
      <w:bookmarkStart w:id="1907" w:name="_Toc21193"/>
      <w:bookmarkStart w:id="1908" w:name="_Toc20699"/>
      <w:bookmarkStart w:id="1909" w:name="_Toc27866"/>
      <w:bookmarkStart w:id="1910" w:name="_Toc7249"/>
      <w:bookmarkStart w:id="1911" w:name="_Toc15795"/>
      <w:bookmarkStart w:id="1912" w:name="bookmark1602"/>
      <w:bookmarkStart w:id="1913" w:name="_Toc256000181"/>
      <w:r>
        <w:rPr>
          <w:rFonts w:ascii="宋体" w:hAnsi="宋体" w:cs="宋体"/>
          <w:sz w:val="21"/>
          <w:szCs w:val="21"/>
        </w:rPr>
        <w:t xml:space="preserve">2. </w:t>
      </w:r>
      <w:r>
        <w:rPr>
          <w:rFonts w:hint="eastAsia" w:ascii="宋体" w:hAnsi="宋体" w:cs="宋体"/>
          <w:sz w:val="21"/>
          <w:szCs w:val="21"/>
        </w:rPr>
        <w:t>发包人义务</w:t>
      </w:r>
      <w:bookmarkEnd w:id="1904"/>
      <w:bookmarkEnd w:id="1905"/>
      <w:bookmarkEnd w:id="1906"/>
      <w:bookmarkEnd w:id="1907"/>
      <w:bookmarkEnd w:id="1908"/>
      <w:bookmarkEnd w:id="1909"/>
      <w:bookmarkEnd w:id="1910"/>
      <w:bookmarkEnd w:id="1911"/>
      <w:bookmarkEnd w:id="1912"/>
      <w:bookmarkEnd w:id="1913"/>
    </w:p>
    <w:p w14:paraId="70172BA6">
      <w:pPr>
        <w:pStyle w:val="318"/>
        <w:spacing w:line="360" w:lineRule="auto"/>
        <w:rPr>
          <w:rFonts w:ascii="宋体" w:cs="宋体"/>
          <w:sz w:val="21"/>
          <w:szCs w:val="21"/>
        </w:rPr>
      </w:pPr>
      <w:bookmarkStart w:id="1914" w:name="_Toc14778"/>
      <w:bookmarkStart w:id="1915" w:name="bookmark1607"/>
      <w:bookmarkStart w:id="1916" w:name="_Toc8684"/>
      <w:bookmarkStart w:id="1917" w:name="_Toc256000182"/>
      <w:bookmarkStart w:id="1918" w:name="bookmark1606"/>
      <w:bookmarkStart w:id="1919" w:name="_Toc256000432"/>
      <w:bookmarkStart w:id="1920" w:name="bookmark1608"/>
      <w:r>
        <w:rPr>
          <w:rFonts w:ascii="宋体" w:hAnsi="宋体" w:cs="宋体"/>
          <w:sz w:val="21"/>
          <w:szCs w:val="21"/>
        </w:rPr>
        <w:t>2.3</w:t>
      </w:r>
      <w:r>
        <w:rPr>
          <w:rFonts w:hint="eastAsia" w:ascii="宋体" w:hAnsi="宋体" w:cs="宋体"/>
          <w:sz w:val="21"/>
          <w:szCs w:val="21"/>
        </w:rPr>
        <w:t>提供施工场地</w:t>
      </w:r>
      <w:bookmarkEnd w:id="1914"/>
      <w:bookmarkEnd w:id="1915"/>
      <w:bookmarkEnd w:id="1916"/>
      <w:bookmarkEnd w:id="1917"/>
      <w:bookmarkEnd w:id="1918"/>
      <w:bookmarkEnd w:id="1919"/>
      <w:bookmarkEnd w:id="1920"/>
    </w:p>
    <w:p w14:paraId="4763BFB1">
      <w:pPr>
        <w:pStyle w:val="319"/>
        <w:tabs>
          <w:tab w:val="left" w:pos="8265"/>
        </w:tabs>
        <w:ind w:firstLine="460"/>
        <w:rPr>
          <w:rFonts w:cs="Times New Roman"/>
          <w:sz w:val="21"/>
          <w:szCs w:val="21"/>
        </w:rPr>
      </w:pPr>
      <w:r>
        <w:rPr>
          <w:sz w:val="21"/>
          <w:szCs w:val="21"/>
          <w:lang w:val="en-US"/>
        </w:rPr>
        <w:t>2.3.2</w:t>
      </w:r>
      <w:r>
        <w:rPr>
          <w:rFonts w:hint="eastAsia"/>
          <w:sz w:val="21"/>
          <w:szCs w:val="21"/>
        </w:rPr>
        <w:t>发包人提供的施工场地范围为</w:t>
      </w:r>
      <w:r>
        <w:rPr>
          <w:sz w:val="21"/>
          <w:szCs w:val="21"/>
          <w:lang w:val="en-US"/>
        </w:rPr>
        <w:t>:</w:t>
      </w:r>
      <w:r>
        <w:rPr>
          <w:rFonts w:hint="eastAsia"/>
          <w:sz w:val="21"/>
          <w:szCs w:val="21"/>
          <w:u w:val="single"/>
        </w:rPr>
        <w:t>发包人负责完成工地范围内的征地、管线、拆迁，施工场地现状施工道路已满足施工要求，发包人不再修建施工道路；交由承包人施工后，如果发生施工道路的费用由承包人承担</w:t>
      </w:r>
      <w:r>
        <w:rPr>
          <w:rFonts w:hint="eastAsia"/>
          <w:sz w:val="21"/>
          <w:szCs w:val="21"/>
          <w:lang w:val="en-US"/>
        </w:rPr>
        <w:t>。</w:t>
      </w:r>
    </w:p>
    <w:p w14:paraId="3A83BB24">
      <w:pPr>
        <w:pStyle w:val="319"/>
        <w:tabs>
          <w:tab w:val="left" w:pos="8227"/>
        </w:tabs>
        <w:spacing w:after="180"/>
        <w:ind w:firstLine="460"/>
        <w:rPr>
          <w:rFonts w:cs="Times New Roman"/>
          <w:sz w:val="21"/>
          <w:szCs w:val="21"/>
          <w:lang w:val="en-US"/>
        </w:rPr>
      </w:pPr>
      <w:r>
        <w:rPr>
          <w:sz w:val="21"/>
          <w:szCs w:val="21"/>
          <w:lang w:val="en-US"/>
        </w:rPr>
        <w:t>2.3.3</w:t>
      </w:r>
      <w:r>
        <w:rPr>
          <w:rFonts w:hint="eastAsia"/>
          <w:sz w:val="21"/>
          <w:szCs w:val="21"/>
          <w:lang w:val="en-US"/>
        </w:rPr>
        <w:t>承包人自行勘察的施工场地范围为：</w:t>
      </w:r>
      <w:r>
        <w:rPr>
          <w:rFonts w:hint="eastAsia"/>
          <w:sz w:val="21"/>
          <w:szCs w:val="21"/>
          <w:u w:val="single"/>
          <w:lang w:val="en-US"/>
        </w:rPr>
        <w:t>承包人根据自身需要进行自行勘察，费用由承包人自行承担</w:t>
      </w:r>
      <w:r>
        <w:rPr>
          <w:rFonts w:hint="eastAsia"/>
          <w:sz w:val="21"/>
          <w:szCs w:val="21"/>
          <w:lang w:val="en-US"/>
        </w:rPr>
        <w:t>。</w:t>
      </w:r>
    </w:p>
    <w:p w14:paraId="6A38F232">
      <w:pPr>
        <w:pStyle w:val="318"/>
        <w:spacing w:line="360" w:lineRule="auto"/>
        <w:rPr>
          <w:rFonts w:ascii="宋体" w:cs="宋体"/>
          <w:sz w:val="21"/>
          <w:szCs w:val="21"/>
        </w:rPr>
      </w:pPr>
      <w:bookmarkStart w:id="1921" w:name="_Toc256000183"/>
      <w:bookmarkStart w:id="1922" w:name="_Toc10796"/>
      <w:bookmarkStart w:id="1923" w:name="_Toc256000433"/>
      <w:bookmarkStart w:id="1924" w:name="_Toc12842"/>
      <w:r>
        <w:rPr>
          <w:rFonts w:ascii="宋体" w:hAnsi="宋体" w:cs="宋体"/>
          <w:sz w:val="21"/>
          <w:szCs w:val="21"/>
        </w:rPr>
        <w:t>2.8</w:t>
      </w:r>
      <w:r>
        <w:rPr>
          <w:rFonts w:hint="eastAsia" w:ascii="宋体" w:hAnsi="宋体" w:cs="宋体"/>
          <w:sz w:val="21"/>
          <w:szCs w:val="21"/>
        </w:rPr>
        <w:t>其它义务</w:t>
      </w:r>
      <w:bookmarkEnd w:id="1921"/>
      <w:bookmarkEnd w:id="1922"/>
      <w:bookmarkEnd w:id="1923"/>
      <w:bookmarkEnd w:id="1924"/>
    </w:p>
    <w:p w14:paraId="6CBCA066">
      <w:pPr>
        <w:pStyle w:val="319"/>
        <w:spacing w:after="100"/>
        <w:ind w:firstLine="440"/>
        <w:rPr>
          <w:rFonts w:cs="Times New Roman"/>
          <w:sz w:val="21"/>
          <w:szCs w:val="21"/>
        </w:rPr>
      </w:pPr>
      <w:r>
        <w:rPr>
          <w:rFonts w:hint="eastAsia"/>
          <w:sz w:val="21"/>
          <w:szCs w:val="21"/>
        </w:rPr>
        <w:t>（一）执行农民工工资保证金制度，缴纳农民工工资保证金（适用于在本自治区行政区域内施工的所有水利水电工程项目）</w:t>
      </w:r>
    </w:p>
    <w:p w14:paraId="755D90CF">
      <w:pPr>
        <w:pStyle w:val="319"/>
        <w:spacing w:after="100"/>
        <w:ind w:firstLine="440"/>
        <w:rPr>
          <w:rFonts w:cs="Times New Roman"/>
          <w:sz w:val="21"/>
          <w:szCs w:val="21"/>
        </w:rPr>
      </w:pPr>
      <w:r>
        <w:rPr>
          <w:rFonts w:hint="eastAsia"/>
          <w:sz w:val="21"/>
          <w:szCs w:val="21"/>
        </w:rPr>
        <w:t>根据广西壮族自治区劳动和社会保障厅、自治区水利厅二○○七年二月二十七日联合颁发的桂劳社发</w:t>
      </w:r>
      <w:r>
        <w:rPr>
          <w:sz w:val="21"/>
          <w:szCs w:val="21"/>
        </w:rPr>
        <w:t xml:space="preserve"> [2007]38 </w:t>
      </w:r>
      <w:r>
        <w:rPr>
          <w:rFonts w:hint="eastAsia"/>
          <w:sz w:val="21"/>
          <w:szCs w:val="21"/>
        </w:rPr>
        <w:t>号文《关于关于建立水利水电工程项目农民工工资保证金制度的通知》精神，发包人在办理工程项目开工手续前必须向主管该工程项目招投标的水利部门的同级劳动保障部门履行以下义务：</w:t>
      </w:r>
    </w:p>
    <w:p w14:paraId="174AAC44">
      <w:pPr>
        <w:pStyle w:val="319"/>
        <w:spacing w:after="100"/>
        <w:ind w:firstLine="440"/>
        <w:rPr>
          <w:rFonts w:cs="Times New Roman"/>
          <w:sz w:val="21"/>
          <w:szCs w:val="21"/>
        </w:rPr>
      </w:pPr>
      <w:r>
        <w:rPr>
          <w:rFonts w:hint="eastAsia"/>
          <w:sz w:val="21"/>
          <w:szCs w:val="21"/>
        </w:rPr>
        <w:t>（</w:t>
      </w:r>
      <w:r>
        <w:rPr>
          <w:sz w:val="21"/>
          <w:szCs w:val="21"/>
        </w:rPr>
        <w:t>1</w:t>
      </w:r>
      <w:r>
        <w:rPr>
          <w:rFonts w:hint="eastAsia"/>
          <w:sz w:val="21"/>
          <w:szCs w:val="21"/>
        </w:rPr>
        <w:t>）</w:t>
      </w:r>
      <w:r>
        <w:rPr>
          <w:sz w:val="21"/>
          <w:szCs w:val="21"/>
        </w:rPr>
        <w:t xml:space="preserve"> </w:t>
      </w:r>
      <w:r>
        <w:rPr>
          <w:rFonts w:hint="eastAsia"/>
          <w:sz w:val="21"/>
          <w:szCs w:val="21"/>
        </w:rPr>
        <w:t>按以下标准在劳动保障部门指定的账户足额存入农民工工资保证金：</w:t>
      </w:r>
    </w:p>
    <w:p w14:paraId="6405D117">
      <w:pPr>
        <w:pStyle w:val="319"/>
        <w:spacing w:after="100"/>
        <w:ind w:firstLine="440"/>
        <w:rPr>
          <w:rFonts w:cs="Times New Roman"/>
          <w:sz w:val="21"/>
          <w:szCs w:val="21"/>
        </w:rPr>
      </w:pPr>
      <w:r>
        <w:rPr>
          <w:rFonts w:hint="eastAsia"/>
          <w:sz w:val="21"/>
          <w:szCs w:val="21"/>
        </w:rPr>
        <w:t>工程项目中标价合同价</w:t>
      </w:r>
      <w:r>
        <w:rPr>
          <w:sz w:val="21"/>
          <w:szCs w:val="21"/>
        </w:rPr>
        <w:t>1000</w:t>
      </w:r>
      <w:r>
        <w:rPr>
          <w:rFonts w:hint="eastAsia"/>
          <w:sz w:val="21"/>
          <w:szCs w:val="21"/>
        </w:rPr>
        <w:t>万元（含</w:t>
      </w:r>
      <w:r>
        <w:rPr>
          <w:sz w:val="21"/>
          <w:szCs w:val="21"/>
        </w:rPr>
        <w:t>1000</w:t>
      </w:r>
      <w:r>
        <w:rPr>
          <w:rFonts w:hint="eastAsia"/>
          <w:sz w:val="21"/>
          <w:szCs w:val="21"/>
        </w:rPr>
        <w:t>万元）以下的，按</w:t>
      </w:r>
      <w:r>
        <w:rPr>
          <w:sz w:val="21"/>
          <w:szCs w:val="21"/>
          <w:lang w:val="en-US"/>
        </w:rPr>
        <w:t>2</w:t>
      </w:r>
      <w:r>
        <w:rPr>
          <w:rFonts w:hint="eastAsia"/>
          <w:sz w:val="21"/>
          <w:szCs w:val="21"/>
        </w:rPr>
        <w:t>％计算；超过</w:t>
      </w:r>
      <w:r>
        <w:rPr>
          <w:sz w:val="21"/>
          <w:szCs w:val="21"/>
        </w:rPr>
        <w:t>1000</w:t>
      </w:r>
      <w:r>
        <w:rPr>
          <w:rFonts w:hint="eastAsia"/>
          <w:sz w:val="21"/>
          <w:szCs w:val="21"/>
        </w:rPr>
        <w:t>万元部分，按</w:t>
      </w:r>
      <w:r>
        <w:rPr>
          <w:sz w:val="21"/>
          <w:szCs w:val="21"/>
          <w:lang w:val="en-US"/>
        </w:rPr>
        <w:t>1</w:t>
      </w:r>
      <w:r>
        <w:rPr>
          <w:rFonts w:hint="eastAsia"/>
          <w:sz w:val="21"/>
          <w:szCs w:val="21"/>
        </w:rPr>
        <w:t>％计算。</w:t>
      </w:r>
    </w:p>
    <w:p w14:paraId="2571618C">
      <w:pPr>
        <w:pStyle w:val="319"/>
        <w:spacing w:after="100"/>
        <w:ind w:firstLine="440"/>
        <w:rPr>
          <w:rFonts w:cs="Times New Roman"/>
          <w:sz w:val="21"/>
          <w:szCs w:val="21"/>
        </w:rPr>
      </w:pPr>
      <w:r>
        <w:rPr>
          <w:rFonts w:hint="eastAsia"/>
          <w:sz w:val="21"/>
          <w:szCs w:val="21"/>
        </w:rPr>
        <w:t>（</w:t>
      </w:r>
      <w:r>
        <w:rPr>
          <w:sz w:val="21"/>
          <w:szCs w:val="21"/>
        </w:rPr>
        <w:t>2</w:t>
      </w:r>
      <w:r>
        <w:rPr>
          <w:rFonts w:hint="eastAsia"/>
          <w:sz w:val="21"/>
          <w:szCs w:val="21"/>
        </w:rPr>
        <w:t>）承诺一旦其出现拖欠工程款导致施工单位无法按时足额支付农民工工资时，可由劳动保障部门从工资保证金中先予垫支。发包人应当根据上述作出的义务、持存入农民工工资保证金的银行凭证到劳动保障部门报备。由劳动保障部门出具备案证明后到水利部门办理开工手续。</w:t>
      </w:r>
    </w:p>
    <w:p w14:paraId="75B160AE">
      <w:pPr>
        <w:pStyle w:val="319"/>
        <w:spacing w:after="100"/>
        <w:ind w:firstLine="440"/>
        <w:rPr>
          <w:rFonts w:cs="Times New Roman"/>
          <w:sz w:val="21"/>
          <w:szCs w:val="21"/>
          <w:lang w:val="en-US"/>
        </w:rPr>
      </w:pPr>
      <w:r>
        <w:rPr>
          <w:rFonts w:hint="eastAsia"/>
          <w:sz w:val="21"/>
          <w:szCs w:val="21"/>
        </w:rPr>
        <w:t>（二）其他未尽事宜待签订施工合同时双方再协商。</w:t>
      </w:r>
    </w:p>
    <w:p w14:paraId="46108C93">
      <w:pPr>
        <w:pStyle w:val="318"/>
        <w:spacing w:line="360" w:lineRule="auto"/>
        <w:rPr>
          <w:rFonts w:ascii="宋体" w:cs="宋体"/>
          <w:sz w:val="21"/>
          <w:szCs w:val="21"/>
        </w:rPr>
      </w:pPr>
      <w:bookmarkStart w:id="1925" w:name="bookmark1614"/>
      <w:bookmarkEnd w:id="1925"/>
      <w:bookmarkStart w:id="1926" w:name="bookmark1609"/>
      <w:bookmarkEnd w:id="1926"/>
      <w:bookmarkStart w:id="1927" w:name="_Toc256000184"/>
      <w:bookmarkStart w:id="1928" w:name="bookmark1615"/>
      <w:bookmarkStart w:id="1929" w:name="_Toc6637"/>
      <w:bookmarkStart w:id="1930" w:name="_Toc20416"/>
      <w:bookmarkStart w:id="1931" w:name="_Toc19004"/>
      <w:bookmarkStart w:id="1932" w:name="_Toc5847"/>
      <w:bookmarkStart w:id="1933" w:name="_Toc12839"/>
      <w:bookmarkStart w:id="1934" w:name="_Toc256000434"/>
      <w:bookmarkStart w:id="1935" w:name="bookmark1613"/>
      <w:bookmarkStart w:id="1936" w:name="bookmark1612"/>
      <w:r>
        <w:rPr>
          <w:rFonts w:ascii="宋体" w:hAnsi="宋体" w:cs="宋体"/>
          <w:sz w:val="21"/>
          <w:szCs w:val="21"/>
        </w:rPr>
        <w:t xml:space="preserve">3. </w:t>
      </w:r>
      <w:r>
        <w:rPr>
          <w:rFonts w:hint="eastAsia" w:ascii="宋体" w:hAnsi="宋体" w:cs="宋体"/>
          <w:sz w:val="21"/>
          <w:szCs w:val="21"/>
        </w:rPr>
        <w:t>监理人</w:t>
      </w:r>
      <w:bookmarkEnd w:id="1927"/>
      <w:bookmarkEnd w:id="1928"/>
      <w:bookmarkEnd w:id="1929"/>
      <w:bookmarkEnd w:id="1930"/>
      <w:bookmarkEnd w:id="1931"/>
      <w:bookmarkEnd w:id="1932"/>
      <w:bookmarkEnd w:id="1933"/>
      <w:bookmarkEnd w:id="1934"/>
    </w:p>
    <w:p w14:paraId="14298BCA">
      <w:pPr>
        <w:pStyle w:val="318"/>
        <w:spacing w:line="360" w:lineRule="auto"/>
        <w:rPr>
          <w:rFonts w:ascii="宋体" w:cs="宋体"/>
          <w:sz w:val="21"/>
          <w:szCs w:val="21"/>
        </w:rPr>
      </w:pPr>
      <w:bookmarkStart w:id="1937" w:name="_Toc20988"/>
      <w:bookmarkStart w:id="1938" w:name="_Toc256000435"/>
      <w:bookmarkStart w:id="1939" w:name="bookmark1616"/>
      <w:bookmarkStart w:id="1940" w:name="_Toc26901"/>
      <w:bookmarkStart w:id="1941" w:name="_Toc256000185"/>
      <w:r>
        <w:rPr>
          <w:rFonts w:ascii="宋体" w:hAnsi="宋体" w:cs="宋体"/>
          <w:sz w:val="21"/>
          <w:szCs w:val="21"/>
        </w:rPr>
        <w:t>3.1</w:t>
      </w:r>
      <w:r>
        <w:rPr>
          <w:rFonts w:hint="eastAsia" w:ascii="宋体" w:hAnsi="宋体" w:cs="宋体"/>
          <w:sz w:val="21"/>
          <w:szCs w:val="21"/>
        </w:rPr>
        <w:t>监理人的职责和权力</w:t>
      </w:r>
      <w:bookmarkEnd w:id="1935"/>
      <w:bookmarkEnd w:id="1936"/>
      <w:bookmarkEnd w:id="1937"/>
      <w:bookmarkEnd w:id="1938"/>
      <w:bookmarkEnd w:id="1939"/>
      <w:bookmarkEnd w:id="1940"/>
      <w:bookmarkEnd w:id="1941"/>
    </w:p>
    <w:p w14:paraId="34A2BD28">
      <w:pPr>
        <w:pStyle w:val="319"/>
        <w:spacing w:after="280"/>
        <w:ind w:firstLine="440"/>
        <w:rPr>
          <w:rFonts w:cs="Times New Roman"/>
          <w:sz w:val="21"/>
          <w:szCs w:val="21"/>
        </w:rPr>
      </w:pPr>
      <w:r>
        <w:rPr>
          <w:sz w:val="21"/>
          <w:szCs w:val="21"/>
          <w:lang w:val="en-US"/>
        </w:rPr>
        <w:t>3.1.1</w:t>
      </w:r>
      <w:r>
        <w:rPr>
          <w:rFonts w:hint="eastAsia"/>
          <w:sz w:val="21"/>
          <w:szCs w:val="21"/>
        </w:rPr>
        <w:t>监理人须根据发包人事先批准的权力范围行使权力，发包人批准的权力范围：</w:t>
      </w:r>
      <w:r>
        <w:rPr>
          <w:sz w:val="21"/>
          <w:szCs w:val="21"/>
        </w:rPr>
        <w:t xml:space="preserve"> </w:t>
      </w:r>
      <w:r>
        <w:rPr>
          <w:rFonts w:hint="eastAsia"/>
          <w:sz w:val="21"/>
          <w:szCs w:val="21"/>
        </w:rPr>
        <w:t>按本工程委托监理合同。</w:t>
      </w:r>
    </w:p>
    <w:p w14:paraId="524B8678">
      <w:pPr>
        <w:pStyle w:val="318"/>
        <w:spacing w:line="360" w:lineRule="auto"/>
        <w:rPr>
          <w:rFonts w:ascii="宋体" w:cs="宋体"/>
          <w:sz w:val="21"/>
          <w:szCs w:val="21"/>
        </w:rPr>
      </w:pPr>
      <w:bookmarkStart w:id="1942" w:name="bookmark1619"/>
      <w:bookmarkEnd w:id="1942"/>
      <w:bookmarkStart w:id="1943" w:name="_Toc256000186"/>
      <w:bookmarkStart w:id="1944" w:name="_Toc239"/>
      <w:bookmarkStart w:id="1945" w:name="_Toc256000436"/>
      <w:bookmarkStart w:id="1946" w:name="_Toc21971"/>
      <w:bookmarkStart w:id="1947" w:name="bookmark1620"/>
      <w:bookmarkStart w:id="1948" w:name="_Toc23429"/>
      <w:bookmarkStart w:id="1949" w:name="_Toc10384"/>
      <w:bookmarkStart w:id="1950" w:name="_Toc4014"/>
      <w:bookmarkStart w:id="1951" w:name="bookmark1617"/>
      <w:bookmarkStart w:id="1952" w:name="bookmark1618"/>
      <w:r>
        <w:rPr>
          <w:rFonts w:ascii="宋体" w:hAnsi="宋体" w:cs="宋体"/>
          <w:sz w:val="21"/>
          <w:szCs w:val="21"/>
        </w:rPr>
        <w:t xml:space="preserve">4. </w:t>
      </w:r>
      <w:r>
        <w:rPr>
          <w:rFonts w:hint="eastAsia" w:ascii="宋体" w:hAnsi="宋体" w:cs="宋体"/>
          <w:sz w:val="21"/>
          <w:szCs w:val="21"/>
        </w:rPr>
        <w:t>承包人</w:t>
      </w:r>
      <w:bookmarkEnd w:id="1943"/>
      <w:bookmarkEnd w:id="1944"/>
      <w:bookmarkEnd w:id="1945"/>
      <w:bookmarkEnd w:id="1946"/>
      <w:bookmarkEnd w:id="1947"/>
      <w:bookmarkEnd w:id="1948"/>
      <w:bookmarkEnd w:id="1949"/>
      <w:bookmarkEnd w:id="1950"/>
    </w:p>
    <w:p w14:paraId="23BC82E3">
      <w:pPr>
        <w:pStyle w:val="318"/>
        <w:spacing w:line="360" w:lineRule="auto"/>
        <w:rPr>
          <w:rFonts w:ascii="宋体" w:cs="宋体"/>
          <w:sz w:val="21"/>
          <w:szCs w:val="21"/>
        </w:rPr>
      </w:pPr>
      <w:bookmarkStart w:id="1953" w:name="bookmark1621"/>
      <w:bookmarkStart w:id="1954" w:name="_Toc256000187"/>
      <w:bookmarkStart w:id="1955" w:name="_Toc30828"/>
      <w:bookmarkStart w:id="1956" w:name="_Toc256000437"/>
      <w:bookmarkStart w:id="1957" w:name="_Toc10858"/>
      <w:r>
        <w:rPr>
          <w:rFonts w:ascii="宋体" w:hAnsi="宋体" w:cs="宋体"/>
          <w:sz w:val="21"/>
          <w:szCs w:val="21"/>
        </w:rPr>
        <w:t>4.1</w:t>
      </w:r>
      <w:r>
        <w:rPr>
          <w:rFonts w:hint="eastAsia" w:ascii="宋体" w:hAnsi="宋体" w:cs="宋体"/>
          <w:sz w:val="21"/>
          <w:szCs w:val="21"/>
        </w:rPr>
        <w:t>承包人的一般义务</w:t>
      </w:r>
      <w:bookmarkEnd w:id="1951"/>
      <w:bookmarkEnd w:id="1952"/>
      <w:bookmarkEnd w:id="1953"/>
      <w:bookmarkEnd w:id="1954"/>
      <w:bookmarkEnd w:id="1955"/>
      <w:bookmarkEnd w:id="1956"/>
      <w:bookmarkEnd w:id="1957"/>
    </w:p>
    <w:p w14:paraId="44E7A7ED">
      <w:pPr>
        <w:pStyle w:val="306"/>
        <w:spacing w:line="360" w:lineRule="auto"/>
        <w:ind w:firstLine="420" w:firstLineChars="200"/>
        <w:rPr>
          <w:rFonts w:ascii="宋体" w:cs="宋体"/>
        </w:rPr>
      </w:pPr>
      <w:bookmarkStart w:id="1958" w:name="bookmark1622"/>
      <w:bookmarkEnd w:id="1958"/>
      <w:r>
        <w:rPr>
          <w:rFonts w:ascii="宋体" w:hAnsi="宋体" w:cs="宋体"/>
        </w:rPr>
        <w:t>4.1.10</w:t>
      </w:r>
      <w:r>
        <w:rPr>
          <w:rFonts w:hint="eastAsia" w:ascii="宋体" w:hAnsi="宋体" w:cs="宋体"/>
        </w:rPr>
        <w:t>其他义务</w:t>
      </w:r>
    </w:p>
    <w:p w14:paraId="23831977">
      <w:pPr>
        <w:pStyle w:val="319"/>
        <w:ind w:firstLine="442"/>
        <w:rPr>
          <w:rFonts w:cs="Times New Roman"/>
          <w:sz w:val="21"/>
          <w:szCs w:val="21"/>
        </w:rPr>
      </w:pPr>
      <w:bookmarkStart w:id="1959" w:name="bookmark1623"/>
      <w:bookmarkEnd w:id="1959"/>
      <w:r>
        <w:rPr>
          <w:rFonts w:hint="eastAsia"/>
          <w:sz w:val="21"/>
          <w:szCs w:val="21"/>
        </w:rPr>
        <w:t>（一）办理有关保险。</w:t>
      </w:r>
    </w:p>
    <w:p w14:paraId="05E9091D">
      <w:pPr>
        <w:pStyle w:val="319"/>
        <w:ind w:firstLine="442"/>
        <w:rPr>
          <w:rFonts w:cs="Times New Roman"/>
          <w:sz w:val="21"/>
          <w:szCs w:val="21"/>
        </w:rPr>
      </w:pPr>
      <w:r>
        <w:rPr>
          <w:rFonts w:hint="eastAsia"/>
          <w:sz w:val="21"/>
          <w:szCs w:val="21"/>
        </w:rPr>
        <w:t>按照《建筑法》规定，必须在工程开工前，为参加本合同工程现场施工的所有作业人员及管理人员，包括参加工程建设的管理人员、监理人员、施工人员</w:t>
      </w:r>
      <w:r>
        <w:rPr>
          <w:sz w:val="21"/>
          <w:szCs w:val="21"/>
        </w:rPr>
        <w:t>(</w:t>
      </w:r>
      <w:r>
        <w:rPr>
          <w:rFonts w:hint="eastAsia"/>
          <w:sz w:val="21"/>
          <w:szCs w:val="21"/>
        </w:rPr>
        <w:t>含民工</w:t>
      </w:r>
      <w:r>
        <w:rPr>
          <w:sz w:val="21"/>
          <w:szCs w:val="21"/>
        </w:rPr>
        <w:t>)</w:t>
      </w:r>
      <w:r>
        <w:rPr>
          <w:rFonts w:hint="eastAsia"/>
          <w:sz w:val="21"/>
          <w:szCs w:val="21"/>
        </w:rPr>
        <w:t>办理工伤保险，并缴纳工伤保险费。保险期限自投保之日</w:t>
      </w:r>
      <w:r>
        <w:rPr>
          <w:sz w:val="21"/>
          <w:szCs w:val="21"/>
        </w:rPr>
        <w:t>(</w:t>
      </w:r>
      <w:r>
        <w:rPr>
          <w:rFonts w:hint="eastAsia"/>
          <w:sz w:val="21"/>
          <w:szCs w:val="21"/>
        </w:rPr>
        <w:t>工程开工之日</w:t>
      </w:r>
      <w:r>
        <w:rPr>
          <w:sz w:val="21"/>
          <w:szCs w:val="21"/>
        </w:rPr>
        <w:t>)</w:t>
      </w:r>
      <w:r>
        <w:rPr>
          <w:rFonts w:hint="eastAsia"/>
          <w:sz w:val="21"/>
          <w:szCs w:val="21"/>
        </w:rPr>
        <w:t>起至工程竣工验收时止</w:t>
      </w:r>
      <w:r>
        <w:rPr>
          <w:sz w:val="21"/>
          <w:szCs w:val="21"/>
        </w:rPr>
        <w:t xml:space="preserve">, </w:t>
      </w:r>
      <w:r>
        <w:rPr>
          <w:rFonts w:hint="eastAsia"/>
          <w:sz w:val="21"/>
          <w:szCs w:val="21"/>
        </w:rPr>
        <w:t>时间上涵盖施工全过程的任一时段。</w:t>
      </w:r>
    </w:p>
    <w:p w14:paraId="669D5CB7">
      <w:pPr>
        <w:pStyle w:val="319"/>
        <w:ind w:firstLine="442"/>
        <w:rPr>
          <w:rFonts w:cs="Times New Roman"/>
          <w:sz w:val="21"/>
          <w:szCs w:val="21"/>
        </w:rPr>
      </w:pPr>
      <w:r>
        <w:rPr>
          <w:rFonts w:hint="eastAsia"/>
          <w:sz w:val="21"/>
          <w:szCs w:val="21"/>
        </w:rPr>
        <w:t>按照《建筑法》规定，鼓励为从事危险作业的职工办理意外伤害保险。</w:t>
      </w:r>
    </w:p>
    <w:p w14:paraId="494640A2">
      <w:pPr>
        <w:pStyle w:val="319"/>
        <w:tabs>
          <w:tab w:val="left" w:pos="1028"/>
        </w:tabs>
        <w:ind w:firstLine="210" w:firstLineChars="100"/>
        <w:rPr>
          <w:rFonts w:cs="Times New Roman"/>
          <w:sz w:val="21"/>
          <w:szCs w:val="21"/>
        </w:rPr>
      </w:pPr>
      <w:bookmarkStart w:id="1960" w:name="bookmark1624"/>
      <w:bookmarkEnd w:id="1960"/>
      <w:r>
        <w:rPr>
          <w:rFonts w:hint="eastAsia"/>
          <w:sz w:val="21"/>
          <w:szCs w:val="21"/>
        </w:rPr>
        <w:t>（二）执行广西壮族自治区解决企业拖欠工资问题联席会议关于保障农民工工资支付的有关规定，确保农民工工资无拖欠。</w:t>
      </w:r>
    </w:p>
    <w:p w14:paraId="3FEC42A5">
      <w:pPr>
        <w:pStyle w:val="319"/>
        <w:ind w:firstLine="442"/>
        <w:rPr>
          <w:rFonts w:cs="Times New Roman"/>
          <w:sz w:val="21"/>
          <w:szCs w:val="21"/>
        </w:rPr>
      </w:pPr>
      <w:r>
        <w:rPr>
          <w:rFonts w:hint="eastAsia"/>
          <w:sz w:val="21"/>
          <w:szCs w:val="21"/>
        </w:rPr>
        <w:t>依法与招用的农民工签订并履行劳动合同，建立职工名册，及时办理劳动用工备案。实行农民工工资专用账户管理、银行代发农民工工资制度和农民工工资保证金制度。</w:t>
      </w:r>
    </w:p>
    <w:p w14:paraId="348D7D6F">
      <w:pPr>
        <w:pStyle w:val="319"/>
        <w:tabs>
          <w:tab w:val="left" w:pos="1031"/>
        </w:tabs>
        <w:ind w:firstLine="210" w:firstLineChars="100"/>
        <w:rPr>
          <w:rFonts w:cs="Times New Roman"/>
          <w:sz w:val="21"/>
          <w:szCs w:val="21"/>
        </w:rPr>
      </w:pPr>
      <w:bookmarkStart w:id="1961" w:name="bookmark1625"/>
      <w:bookmarkEnd w:id="1961"/>
      <w:r>
        <w:rPr>
          <w:rFonts w:hint="eastAsia"/>
          <w:sz w:val="21"/>
          <w:szCs w:val="21"/>
        </w:rPr>
        <w:t>（三）工程施工的义务和责任</w:t>
      </w:r>
    </w:p>
    <w:p w14:paraId="56A9D279">
      <w:pPr>
        <w:pStyle w:val="319"/>
        <w:numPr>
          <w:ilvl w:val="0"/>
          <w:numId w:val="35"/>
        </w:numPr>
        <w:tabs>
          <w:tab w:val="left" w:pos="920"/>
        </w:tabs>
        <w:ind w:firstLine="440"/>
        <w:rPr>
          <w:rFonts w:cs="Times New Roman"/>
          <w:sz w:val="21"/>
          <w:szCs w:val="21"/>
        </w:rPr>
      </w:pPr>
      <w:bookmarkStart w:id="1962" w:name="bookmark1626"/>
      <w:bookmarkEnd w:id="1962"/>
      <w:r>
        <w:rPr>
          <w:rFonts w:hint="eastAsia"/>
          <w:sz w:val="21"/>
          <w:szCs w:val="21"/>
        </w:rPr>
        <w:t>承包人应负责施工场地内部的水、电等施工管、线路的铺、架设及其费用，并按供电部门规定向供电部门</w:t>
      </w:r>
      <w:r>
        <w:rPr>
          <w:sz w:val="21"/>
          <w:szCs w:val="21"/>
        </w:rPr>
        <w:t>(</w:t>
      </w:r>
      <w:r>
        <w:rPr>
          <w:rFonts w:hint="eastAsia"/>
          <w:sz w:val="21"/>
          <w:szCs w:val="21"/>
        </w:rPr>
        <w:t>或发包人</w:t>
      </w:r>
      <w:r>
        <w:rPr>
          <w:sz w:val="21"/>
          <w:szCs w:val="21"/>
        </w:rPr>
        <w:t>)</w:t>
      </w:r>
      <w:r>
        <w:rPr>
          <w:rFonts w:hint="eastAsia"/>
          <w:sz w:val="21"/>
          <w:szCs w:val="21"/>
        </w:rPr>
        <w:t>交纳水、电费。发包人提供的接电点在签订合同时明确。另外，施工通讯及设施由承包人负责并承担费用。</w:t>
      </w:r>
    </w:p>
    <w:p w14:paraId="7F341511">
      <w:pPr>
        <w:pStyle w:val="319"/>
        <w:numPr>
          <w:ilvl w:val="0"/>
          <w:numId w:val="35"/>
        </w:numPr>
        <w:tabs>
          <w:tab w:val="left" w:pos="918"/>
        </w:tabs>
        <w:ind w:firstLine="440"/>
        <w:rPr>
          <w:rFonts w:cs="Times New Roman"/>
          <w:sz w:val="21"/>
          <w:szCs w:val="21"/>
        </w:rPr>
      </w:pPr>
      <w:bookmarkStart w:id="1963" w:name="bookmark1627"/>
      <w:bookmarkEnd w:id="1963"/>
      <w:r>
        <w:rPr>
          <w:rFonts w:hint="eastAsia"/>
          <w:sz w:val="21"/>
          <w:szCs w:val="21"/>
        </w:rPr>
        <w:t>除民房外，承包人应按监理人的指示负责拆除、清理已征用土地上的杂物、灌木、</w:t>
      </w:r>
      <w:r>
        <w:rPr>
          <w:sz w:val="21"/>
          <w:szCs w:val="21"/>
        </w:rPr>
        <w:t xml:space="preserve"> </w:t>
      </w:r>
      <w:r>
        <w:rPr>
          <w:rFonts w:hint="eastAsia"/>
          <w:sz w:val="21"/>
          <w:szCs w:val="21"/>
        </w:rPr>
        <w:t>树木、树根、杂草等。</w:t>
      </w:r>
    </w:p>
    <w:p w14:paraId="4D0411E1">
      <w:pPr>
        <w:pStyle w:val="319"/>
        <w:numPr>
          <w:ilvl w:val="0"/>
          <w:numId w:val="35"/>
        </w:numPr>
        <w:tabs>
          <w:tab w:val="left" w:pos="920"/>
        </w:tabs>
        <w:ind w:firstLine="440"/>
        <w:rPr>
          <w:rFonts w:cs="Times New Roman"/>
          <w:sz w:val="21"/>
          <w:szCs w:val="21"/>
        </w:rPr>
      </w:pPr>
      <w:bookmarkStart w:id="1964" w:name="bookmark1628"/>
      <w:bookmarkEnd w:id="1964"/>
      <w:r>
        <w:rPr>
          <w:rFonts w:hint="eastAsia"/>
          <w:sz w:val="21"/>
          <w:szCs w:val="21"/>
        </w:rPr>
        <w:t>承包人应充分理解有一些设施</w:t>
      </w:r>
      <w:r>
        <w:rPr>
          <w:sz w:val="21"/>
          <w:szCs w:val="21"/>
        </w:rPr>
        <w:t>(</w:t>
      </w:r>
      <w:r>
        <w:rPr>
          <w:rFonts w:hint="eastAsia"/>
          <w:sz w:val="21"/>
          <w:szCs w:val="21"/>
        </w:rPr>
        <w:t>如施工道路、桥梁</w:t>
      </w:r>
      <w:r>
        <w:rPr>
          <w:sz w:val="21"/>
          <w:szCs w:val="21"/>
        </w:rPr>
        <w:t>)</w:t>
      </w:r>
      <w:r>
        <w:rPr>
          <w:rFonts w:hint="eastAsia"/>
          <w:sz w:val="21"/>
          <w:szCs w:val="21"/>
        </w:rPr>
        <w:t>可能会有其它人和单位使用通行，在使用过程中发生干扰时，应立即通知监理人并服从监理人的决定。</w:t>
      </w:r>
    </w:p>
    <w:p w14:paraId="369F8BF2">
      <w:pPr>
        <w:pStyle w:val="319"/>
        <w:numPr>
          <w:ilvl w:val="0"/>
          <w:numId w:val="35"/>
        </w:numPr>
        <w:tabs>
          <w:tab w:val="left" w:pos="922"/>
        </w:tabs>
        <w:ind w:firstLine="440"/>
        <w:rPr>
          <w:rFonts w:cs="Times New Roman"/>
          <w:sz w:val="21"/>
          <w:szCs w:val="21"/>
        </w:rPr>
      </w:pPr>
      <w:bookmarkStart w:id="1965" w:name="bookmark1629"/>
      <w:bookmarkEnd w:id="1965"/>
      <w:r>
        <w:rPr>
          <w:rFonts w:hint="eastAsia"/>
          <w:sz w:val="21"/>
          <w:szCs w:val="21"/>
        </w:rPr>
        <w:t>承包人应为监理人、发包人现场代表对施工现场的检查监督提供必要的配合，并对这种配合对施工的影响应有充分的考虑。</w:t>
      </w:r>
    </w:p>
    <w:p w14:paraId="2A38AA07">
      <w:pPr>
        <w:pStyle w:val="319"/>
        <w:numPr>
          <w:ilvl w:val="0"/>
          <w:numId w:val="35"/>
        </w:numPr>
        <w:tabs>
          <w:tab w:val="left" w:pos="915"/>
        </w:tabs>
        <w:ind w:firstLine="440"/>
        <w:rPr>
          <w:rFonts w:cs="Times New Roman"/>
          <w:sz w:val="21"/>
          <w:szCs w:val="21"/>
        </w:rPr>
      </w:pPr>
      <w:bookmarkStart w:id="1966" w:name="bookmark1630"/>
      <w:bookmarkEnd w:id="1966"/>
      <w:r>
        <w:rPr>
          <w:rFonts w:hint="eastAsia"/>
          <w:sz w:val="21"/>
          <w:szCs w:val="21"/>
        </w:rPr>
        <w:t>工程竣工后，承包人应按监理人的指示清理施工现场直至监理人、发包人满意</w:t>
      </w:r>
      <w:r>
        <w:rPr>
          <w:sz w:val="21"/>
          <w:szCs w:val="21"/>
        </w:rPr>
        <w:t xml:space="preserve"> </w:t>
      </w:r>
      <w:r>
        <w:rPr>
          <w:rFonts w:hint="eastAsia"/>
          <w:sz w:val="21"/>
          <w:szCs w:val="21"/>
        </w:rPr>
        <w:t>为止。</w:t>
      </w:r>
    </w:p>
    <w:p w14:paraId="70149FD4">
      <w:pPr>
        <w:pStyle w:val="319"/>
        <w:numPr>
          <w:ilvl w:val="0"/>
          <w:numId w:val="35"/>
        </w:numPr>
        <w:tabs>
          <w:tab w:val="left" w:pos="920"/>
        </w:tabs>
        <w:ind w:firstLine="440"/>
        <w:rPr>
          <w:rFonts w:cs="Times New Roman"/>
          <w:sz w:val="21"/>
          <w:szCs w:val="21"/>
        </w:rPr>
      </w:pPr>
      <w:bookmarkStart w:id="1967" w:name="bookmark1631"/>
      <w:bookmarkEnd w:id="1967"/>
      <w:r>
        <w:rPr>
          <w:rFonts w:hint="eastAsia"/>
          <w:sz w:val="21"/>
          <w:szCs w:val="21"/>
        </w:rPr>
        <w:t>对上述</w:t>
      </w:r>
      <w:r>
        <w:rPr>
          <w:sz w:val="21"/>
          <w:szCs w:val="21"/>
        </w:rPr>
        <w:t>(1) ~ (5)</w:t>
      </w:r>
      <w:r>
        <w:rPr>
          <w:rFonts w:hint="eastAsia"/>
          <w:sz w:val="21"/>
          <w:szCs w:val="21"/>
        </w:rPr>
        <w:t>项工作，费用已包括在有关单价和总价中，发包人不再另行支付由此所发生的一切费用。</w:t>
      </w:r>
    </w:p>
    <w:p w14:paraId="37313EEE">
      <w:pPr>
        <w:pStyle w:val="319"/>
        <w:numPr>
          <w:ilvl w:val="0"/>
          <w:numId w:val="35"/>
        </w:numPr>
        <w:tabs>
          <w:tab w:val="left" w:pos="922"/>
        </w:tabs>
        <w:spacing w:after="80"/>
        <w:ind w:firstLine="440"/>
        <w:rPr>
          <w:rFonts w:cs="Times New Roman"/>
          <w:sz w:val="21"/>
          <w:szCs w:val="21"/>
        </w:rPr>
      </w:pPr>
      <w:bookmarkStart w:id="1968" w:name="bookmark1632"/>
      <w:bookmarkEnd w:id="1968"/>
      <w:r>
        <w:rPr>
          <w:rFonts w:hint="eastAsia"/>
          <w:sz w:val="21"/>
          <w:szCs w:val="21"/>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2B238FAE">
      <w:pPr>
        <w:pStyle w:val="319"/>
        <w:numPr>
          <w:ilvl w:val="0"/>
          <w:numId w:val="35"/>
        </w:numPr>
        <w:tabs>
          <w:tab w:val="left" w:pos="924"/>
        </w:tabs>
        <w:ind w:firstLine="440"/>
        <w:rPr>
          <w:rFonts w:cs="Times New Roman"/>
          <w:sz w:val="21"/>
          <w:szCs w:val="21"/>
        </w:rPr>
      </w:pPr>
      <w:bookmarkStart w:id="1969" w:name="bookmark1633"/>
      <w:bookmarkEnd w:id="1969"/>
      <w:r>
        <w:rPr>
          <w:rFonts w:hint="eastAsia"/>
          <w:sz w:val="21"/>
          <w:szCs w:val="21"/>
        </w:rPr>
        <w:t>承包人必须文明、安全施工，在施工期间发生的一切人员伤亡和财产损失等责任事故和所发生的一切费用概由承包人承担。</w:t>
      </w:r>
    </w:p>
    <w:p w14:paraId="66098193">
      <w:pPr>
        <w:pStyle w:val="319"/>
        <w:numPr>
          <w:ilvl w:val="0"/>
          <w:numId w:val="35"/>
        </w:numPr>
        <w:tabs>
          <w:tab w:val="left" w:pos="924"/>
        </w:tabs>
        <w:ind w:firstLine="440"/>
        <w:rPr>
          <w:rFonts w:cs="Times New Roman"/>
          <w:sz w:val="21"/>
          <w:szCs w:val="21"/>
        </w:rPr>
      </w:pPr>
      <w:bookmarkStart w:id="1970" w:name="bookmark1634"/>
      <w:bookmarkEnd w:id="1970"/>
      <w:r>
        <w:rPr>
          <w:rFonts w:hint="eastAsia"/>
          <w:sz w:val="21"/>
          <w:szCs w:val="21"/>
        </w:rPr>
        <w:t>按照发包人的要求做好安全文明宣传、监督检查宣传等工作，相关费用由承包人承担。</w:t>
      </w:r>
    </w:p>
    <w:p w14:paraId="18FCF7E1">
      <w:pPr>
        <w:pStyle w:val="319"/>
        <w:numPr>
          <w:ilvl w:val="0"/>
          <w:numId w:val="35"/>
        </w:numPr>
        <w:tabs>
          <w:tab w:val="left" w:pos="924"/>
        </w:tabs>
        <w:ind w:firstLine="440"/>
        <w:rPr>
          <w:rFonts w:cs="Times New Roman"/>
          <w:sz w:val="21"/>
          <w:szCs w:val="21"/>
        </w:rPr>
      </w:pPr>
      <w:bookmarkStart w:id="1971" w:name="bookmark1635"/>
      <w:bookmarkEnd w:id="1971"/>
      <w:r>
        <w:rPr>
          <w:rFonts w:hint="eastAsia"/>
          <w:sz w:val="21"/>
          <w:szCs w:val="21"/>
        </w:rPr>
        <w:t>承包人应按约定时间和要求，完成以下工作：</w:t>
      </w:r>
    </w:p>
    <w:p w14:paraId="503A844A">
      <w:pPr>
        <w:pStyle w:val="319"/>
        <w:numPr>
          <w:ilvl w:val="0"/>
          <w:numId w:val="36"/>
        </w:numPr>
        <w:tabs>
          <w:tab w:val="left" w:pos="839"/>
        </w:tabs>
        <w:ind w:firstLine="440"/>
        <w:rPr>
          <w:rFonts w:cs="Times New Roman"/>
          <w:sz w:val="21"/>
          <w:szCs w:val="21"/>
        </w:rPr>
      </w:pPr>
      <w:bookmarkStart w:id="1972" w:name="bookmark1636"/>
      <w:bookmarkEnd w:id="1972"/>
      <w:r>
        <w:rPr>
          <w:rFonts w:hint="eastAsia"/>
          <w:sz w:val="21"/>
          <w:szCs w:val="21"/>
        </w:rPr>
        <w:t>按时提交施工组织设计、单位工程的施工方案。</w:t>
      </w:r>
    </w:p>
    <w:p w14:paraId="3AB613DF">
      <w:pPr>
        <w:pStyle w:val="319"/>
        <w:numPr>
          <w:ilvl w:val="0"/>
          <w:numId w:val="36"/>
        </w:numPr>
        <w:tabs>
          <w:tab w:val="left" w:pos="839"/>
        </w:tabs>
        <w:ind w:firstLine="440"/>
        <w:rPr>
          <w:rFonts w:cs="Times New Roman"/>
          <w:sz w:val="21"/>
          <w:szCs w:val="21"/>
        </w:rPr>
      </w:pPr>
      <w:bookmarkStart w:id="1973" w:name="bookmark1637"/>
      <w:bookmarkEnd w:id="1973"/>
      <w:r>
        <w:rPr>
          <w:rFonts w:hint="eastAsia"/>
          <w:sz w:val="21"/>
          <w:szCs w:val="21"/>
        </w:rPr>
        <w:t>每月</w:t>
      </w:r>
      <w:r>
        <w:rPr>
          <w:sz w:val="21"/>
          <w:szCs w:val="21"/>
        </w:rPr>
        <w:t>25</w:t>
      </w:r>
      <w:r>
        <w:rPr>
          <w:rFonts w:hint="eastAsia"/>
          <w:sz w:val="21"/>
          <w:szCs w:val="21"/>
        </w:rPr>
        <w:t>日向监理人提交当月工程进度报表及下月进度计划。</w:t>
      </w:r>
    </w:p>
    <w:p w14:paraId="4487F60D">
      <w:pPr>
        <w:pStyle w:val="319"/>
        <w:numPr>
          <w:ilvl w:val="0"/>
          <w:numId w:val="36"/>
        </w:numPr>
        <w:tabs>
          <w:tab w:val="left" w:pos="839"/>
        </w:tabs>
        <w:ind w:firstLine="440"/>
        <w:rPr>
          <w:rFonts w:cs="Times New Roman"/>
          <w:sz w:val="21"/>
          <w:szCs w:val="21"/>
        </w:rPr>
      </w:pPr>
      <w:bookmarkStart w:id="1974" w:name="bookmark1638"/>
      <w:bookmarkEnd w:id="1974"/>
      <w:r>
        <w:rPr>
          <w:rFonts w:hint="eastAsia"/>
          <w:sz w:val="21"/>
          <w:szCs w:val="21"/>
        </w:rPr>
        <w:t>承包人自行负责施工安全保卫工作及夜间施工照明。</w:t>
      </w:r>
    </w:p>
    <w:p w14:paraId="696CD674">
      <w:pPr>
        <w:pStyle w:val="319"/>
        <w:numPr>
          <w:ilvl w:val="0"/>
          <w:numId w:val="36"/>
        </w:numPr>
        <w:tabs>
          <w:tab w:val="left" w:pos="798"/>
        </w:tabs>
        <w:ind w:firstLine="440"/>
        <w:rPr>
          <w:rFonts w:cs="Times New Roman"/>
          <w:sz w:val="21"/>
          <w:szCs w:val="21"/>
        </w:rPr>
      </w:pPr>
      <w:bookmarkStart w:id="1975" w:name="bookmark1639"/>
      <w:bookmarkEnd w:id="1975"/>
      <w:r>
        <w:rPr>
          <w:rFonts w:hint="eastAsia"/>
          <w:sz w:val="21"/>
          <w:szCs w:val="21"/>
        </w:rPr>
        <w:t>需承包人办理的有关施工场地交通、环卫和施工噪音降尘管理等手续：遵守有关部门对施工现场交通、环卫和施工噪音降尘管理规定，如有发生，费用由承包人承担。</w:t>
      </w:r>
    </w:p>
    <w:p w14:paraId="599666F3">
      <w:pPr>
        <w:pStyle w:val="319"/>
        <w:numPr>
          <w:ilvl w:val="0"/>
          <w:numId w:val="36"/>
        </w:numPr>
        <w:tabs>
          <w:tab w:val="left" w:pos="819"/>
        </w:tabs>
        <w:ind w:firstLine="440"/>
        <w:rPr>
          <w:rFonts w:cs="Times New Roman"/>
          <w:sz w:val="21"/>
          <w:szCs w:val="21"/>
        </w:rPr>
      </w:pPr>
      <w:bookmarkStart w:id="1976" w:name="bookmark1640"/>
      <w:bookmarkEnd w:id="1976"/>
      <w:r>
        <w:rPr>
          <w:rFonts w:hint="eastAsia"/>
          <w:sz w:val="21"/>
          <w:szCs w:val="21"/>
        </w:rPr>
        <w:t>已完工程成品保护的特殊要求及费用承担：已完工工程未交付发包人之前，承包人按协议条款约定负责已完成工程的成品保护工作，保护期间发生损坏，承包人自费予以修复。</w:t>
      </w:r>
    </w:p>
    <w:p w14:paraId="7F8FD997">
      <w:pPr>
        <w:pStyle w:val="319"/>
        <w:numPr>
          <w:ilvl w:val="0"/>
          <w:numId w:val="36"/>
        </w:numPr>
        <w:tabs>
          <w:tab w:val="left" w:pos="814"/>
        </w:tabs>
        <w:ind w:firstLine="440"/>
        <w:rPr>
          <w:rFonts w:cs="Times New Roman"/>
          <w:sz w:val="21"/>
          <w:szCs w:val="21"/>
        </w:rPr>
      </w:pPr>
      <w:bookmarkStart w:id="1977" w:name="bookmark1641"/>
      <w:bookmarkEnd w:id="1977"/>
      <w:r>
        <w:rPr>
          <w:rFonts w:hint="eastAsia"/>
          <w:sz w:val="21"/>
          <w:szCs w:val="21"/>
        </w:rPr>
        <w:t>承包人有义务对施工场地周围管线</w:t>
      </w:r>
      <w:r>
        <w:rPr>
          <w:sz w:val="21"/>
          <w:szCs w:val="21"/>
        </w:rPr>
        <w:t>(</w:t>
      </w:r>
      <w:r>
        <w:rPr>
          <w:rFonts w:hint="eastAsia"/>
          <w:sz w:val="21"/>
          <w:szCs w:val="21"/>
        </w:rPr>
        <w:t>含地上及地下</w:t>
      </w:r>
      <w:r>
        <w:rPr>
          <w:sz w:val="21"/>
          <w:szCs w:val="21"/>
        </w:rPr>
        <w:t>)</w:t>
      </w:r>
      <w:r>
        <w:rPr>
          <w:rFonts w:hint="eastAsia"/>
          <w:sz w:val="21"/>
          <w:szCs w:val="21"/>
        </w:rPr>
        <w:t>和邻近建筑物、构筑物</w:t>
      </w:r>
      <w:r>
        <w:rPr>
          <w:sz w:val="21"/>
          <w:szCs w:val="21"/>
        </w:rPr>
        <w:t>(</w:t>
      </w:r>
      <w:r>
        <w:rPr>
          <w:rFonts w:hint="eastAsia"/>
          <w:sz w:val="21"/>
          <w:szCs w:val="21"/>
        </w:rPr>
        <w:t>含文物保护建筑</w:t>
      </w:r>
      <w:r>
        <w:rPr>
          <w:sz w:val="21"/>
          <w:szCs w:val="21"/>
        </w:rPr>
        <w:t>)</w:t>
      </w:r>
      <w:r>
        <w:rPr>
          <w:rFonts w:hint="eastAsia"/>
          <w:sz w:val="21"/>
          <w:szCs w:val="21"/>
        </w:rPr>
        <w:t>、古树名木等进行探明并负责保护。</w:t>
      </w:r>
    </w:p>
    <w:p w14:paraId="585D7001">
      <w:pPr>
        <w:pStyle w:val="319"/>
        <w:numPr>
          <w:ilvl w:val="0"/>
          <w:numId w:val="36"/>
        </w:numPr>
        <w:tabs>
          <w:tab w:val="left" w:pos="819"/>
        </w:tabs>
        <w:ind w:firstLine="440"/>
        <w:rPr>
          <w:rFonts w:cs="Times New Roman"/>
          <w:sz w:val="21"/>
          <w:szCs w:val="21"/>
        </w:rPr>
      </w:pPr>
      <w:bookmarkStart w:id="1978" w:name="bookmark1642"/>
      <w:bookmarkEnd w:id="1978"/>
      <w:r>
        <w:rPr>
          <w:rFonts w:hint="eastAsia"/>
          <w:sz w:val="21"/>
          <w:szCs w:val="21"/>
        </w:rPr>
        <w:t>施工场地清洁卫生的要求：按城建卫生有关规定执行，由承包人负责，费用由承包人承担。</w:t>
      </w:r>
    </w:p>
    <w:p w14:paraId="3E206DC7">
      <w:pPr>
        <w:pStyle w:val="319"/>
        <w:numPr>
          <w:ilvl w:val="0"/>
          <w:numId w:val="36"/>
        </w:numPr>
        <w:tabs>
          <w:tab w:val="left" w:pos="839"/>
        </w:tabs>
        <w:spacing w:after="120"/>
        <w:ind w:firstLine="440"/>
        <w:rPr>
          <w:rFonts w:cs="Times New Roman"/>
          <w:sz w:val="21"/>
          <w:szCs w:val="21"/>
        </w:rPr>
      </w:pPr>
      <w:bookmarkStart w:id="1979" w:name="bookmark1643"/>
      <w:bookmarkEnd w:id="1979"/>
      <w:r>
        <w:rPr>
          <w:rFonts w:hint="eastAsia"/>
          <w:sz w:val="21"/>
          <w:szCs w:val="21"/>
        </w:rPr>
        <w:t>承包人承担施工场地、水电及运输通道的修建和维护、清场等费用。</w:t>
      </w:r>
    </w:p>
    <w:p w14:paraId="34B5D11B">
      <w:pPr>
        <w:pStyle w:val="319"/>
        <w:numPr>
          <w:ilvl w:val="0"/>
          <w:numId w:val="35"/>
        </w:numPr>
        <w:tabs>
          <w:tab w:val="left" w:pos="1026"/>
        </w:tabs>
        <w:ind w:firstLine="440"/>
        <w:rPr>
          <w:rFonts w:cs="Times New Roman"/>
          <w:sz w:val="21"/>
          <w:szCs w:val="21"/>
        </w:rPr>
      </w:pPr>
      <w:bookmarkStart w:id="1980" w:name="bookmark1644"/>
      <w:bookmarkEnd w:id="1980"/>
      <w:r>
        <w:rPr>
          <w:rFonts w:hint="eastAsia"/>
          <w:sz w:val="21"/>
          <w:szCs w:val="21"/>
        </w:rPr>
        <w:t>双方约定承包人应做的其他工作：</w:t>
      </w:r>
    </w:p>
    <w:p w14:paraId="4EE9C504">
      <w:pPr>
        <w:pStyle w:val="319"/>
        <w:numPr>
          <w:ilvl w:val="0"/>
          <w:numId w:val="37"/>
        </w:numPr>
        <w:tabs>
          <w:tab w:val="left" w:pos="819"/>
        </w:tabs>
        <w:ind w:firstLine="440"/>
        <w:rPr>
          <w:rFonts w:cs="Times New Roman"/>
          <w:sz w:val="21"/>
          <w:szCs w:val="21"/>
        </w:rPr>
      </w:pPr>
      <w:bookmarkStart w:id="1981" w:name="bookmark1645"/>
      <w:bookmarkEnd w:id="1981"/>
      <w:r>
        <w:rPr>
          <w:rFonts w:hint="eastAsia"/>
          <w:sz w:val="21"/>
          <w:szCs w:val="21"/>
        </w:rPr>
        <w:t>凡属于需要承包人交付给其他承包人的工作面以及与其他承包人交叉作业的工作面</w:t>
      </w:r>
      <w:r>
        <w:rPr>
          <w:sz w:val="21"/>
          <w:szCs w:val="21"/>
        </w:rPr>
        <w:t xml:space="preserve">, </w:t>
      </w:r>
      <w:r>
        <w:rPr>
          <w:rFonts w:hint="eastAsia"/>
          <w:sz w:val="21"/>
          <w:szCs w:val="21"/>
        </w:rPr>
        <w:t>承包人必须服从监理人的决定，按规定的完工日期完成并将清理好的工作面移交给发包人</w:t>
      </w:r>
      <w:r>
        <w:rPr>
          <w:sz w:val="21"/>
          <w:szCs w:val="21"/>
        </w:rPr>
        <w:t xml:space="preserve">, </w:t>
      </w:r>
      <w:r>
        <w:rPr>
          <w:rFonts w:hint="eastAsia"/>
          <w:sz w:val="21"/>
          <w:szCs w:val="21"/>
        </w:rPr>
        <w:t>并取得监理人的同意。</w:t>
      </w:r>
    </w:p>
    <w:p w14:paraId="75476E5C">
      <w:pPr>
        <w:pStyle w:val="319"/>
        <w:numPr>
          <w:ilvl w:val="0"/>
          <w:numId w:val="37"/>
        </w:numPr>
        <w:tabs>
          <w:tab w:val="left" w:pos="819"/>
        </w:tabs>
        <w:ind w:firstLine="440"/>
        <w:rPr>
          <w:rFonts w:cs="Times New Roman"/>
          <w:sz w:val="21"/>
          <w:szCs w:val="21"/>
        </w:rPr>
      </w:pPr>
      <w:r>
        <w:rPr>
          <w:rFonts w:hint="eastAsia"/>
          <w:sz w:val="21"/>
          <w:szCs w:val="21"/>
        </w:rPr>
        <w:t>工程完工后，承包人应按监理人的指示清理施工现场。并在工程完工后</w:t>
      </w:r>
      <w:r>
        <w:rPr>
          <w:sz w:val="21"/>
          <w:szCs w:val="21"/>
        </w:rPr>
        <w:t>6</w:t>
      </w:r>
      <w:r>
        <w:rPr>
          <w:rFonts w:hint="eastAsia"/>
          <w:sz w:val="21"/>
          <w:szCs w:val="21"/>
        </w:rPr>
        <w:t>个月内完成并提交工程竣工资料和工程结算资料。承包人逾期提交，发包人将对承包人的拖延行为视为违约，并按</w:t>
      </w:r>
      <w:r>
        <w:rPr>
          <w:sz w:val="21"/>
          <w:szCs w:val="21"/>
        </w:rPr>
        <w:t>1000</w:t>
      </w:r>
      <w:r>
        <w:rPr>
          <w:rFonts w:hint="eastAsia"/>
          <w:sz w:val="21"/>
          <w:szCs w:val="21"/>
        </w:rPr>
        <w:t>元</w:t>
      </w:r>
      <w:r>
        <w:rPr>
          <w:sz w:val="21"/>
          <w:szCs w:val="21"/>
        </w:rPr>
        <w:t>/</w:t>
      </w:r>
      <w:r>
        <w:rPr>
          <w:rFonts w:hint="eastAsia"/>
          <w:sz w:val="21"/>
          <w:szCs w:val="21"/>
        </w:rPr>
        <w:t>天计算违约金，违约金从承包人应得的工程款中扣除，但其最终的累计总金额与各项逾期完工违约金合计不超过合同价格的</w:t>
      </w:r>
      <w:r>
        <w:rPr>
          <w:sz w:val="21"/>
          <w:szCs w:val="21"/>
        </w:rPr>
        <w:t>5%</w:t>
      </w:r>
      <w:r>
        <w:rPr>
          <w:rFonts w:hint="eastAsia"/>
          <w:sz w:val="21"/>
          <w:szCs w:val="21"/>
        </w:rPr>
        <w:t>。</w:t>
      </w:r>
    </w:p>
    <w:p w14:paraId="3C2A4948">
      <w:pPr>
        <w:pStyle w:val="319"/>
        <w:numPr>
          <w:ilvl w:val="0"/>
          <w:numId w:val="35"/>
        </w:numPr>
        <w:tabs>
          <w:tab w:val="left" w:pos="1026"/>
        </w:tabs>
        <w:ind w:firstLine="440"/>
        <w:rPr>
          <w:rFonts w:cs="Times New Roman"/>
          <w:sz w:val="21"/>
          <w:szCs w:val="21"/>
        </w:rPr>
      </w:pPr>
      <w:bookmarkStart w:id="1982" w:name="bookmark1646"/>
      <w:bookmarkEnd w:id="1982"/>
      <w:bookmarkStart w:id="1983" w:name="bookmark1647"/>
      <w:bookmarkEnd w:id="1983"/>
      <w:r>
        <w:rPr>
          <w:rFonts w:hint="eastAsia"/>
          <w:sz w:val="21"/>
          <w:szCs w:val="21"/>
        </w:rPr>
        <w:t>其他未尽事宜待签订施工合同时双方再协商。</w:t>
      </w:r>
    </w:p>
    <w:p w14:paraId="612133AF">
      <w:pPr>
        <w:pStyle w:val="319"/>
        <w:tabs>
          <w:tab w:val="left" w:pos="1031"/>
        </w:tabs>
        <w:ind w:firstLine="420" w:firstLineChars="200"/>
        <w:rPr>
          <w:rFonts w:cs="Times New Roman"/>
          <w:sz w:val="21"/>
          <w:szCs w:val="21"/>
        </w:rPr>
      </w:pPr>
      <w:bookmarkStart w:id="1984" w:name="bookmark1648"/>
      <w:bookmarkEnd w:id="1984"/>
      <w:r>
        <w:rPr>
          <w:rFonts w:hint="eastAsia"/>
          <w:sz w:val="21"/>
          <w:szCs w:val="21"/>
        </w:rPr>
        <w:t>（四）鼓励承包人根据工程建设实际，吸纳建档立卡贫困劳动力参加工程建设。</w:t>
      </w:r>
    </w:p>
    <w:p w14:paraId="471BEF4F">
      <w:pPr>
        <w:pStyle w:val="319"/>
        <w:tabs>
          <w:tab w:val="left" w:pos="1030"/>
        </w:tabs>
        <w:spacing w:after="120"/>
        <w:ind w:firstLine="420" w:firstLineChars="200"/>
        <w:rPr>
          <w:rFonts w:cs="Times New Roman"/>
          <w:sz w:val="21"/>
          <w:szCs w:val="21"/>
        </w:rPr>
      </w:pPr>
      <w:bookmarkStart w:id="1985" w:name="bookmark1649"/>
      <w:bookmarkEnd w:id="1985"/>
      <w:r>
        <w:rPr>
          <w:rFonts w:hint="eastAsia"/>
          <w:sz w:val="21"/>
          <w:szCs w:val="21"/>
        </w:rPr>
        <w:t>（五）执行自治区关于松材线虫病防控工作的有关规定，工程建设采用的模板、支撑及脚手架以钢模板、钢支撑为主，不使用松木及其包装材料。木质模板及仿材尽量就地采购，避免长途转运。</w:t>
      </w:r>
    </w:p>
    <w:p w14:paraId="7051AB8A">
      <w:pPr>
        <w:pStyle w:val="315"/>
        <w:tabs>
          <w:tab w:val="left" w:pos="8227"/>
        </w:tabs>
        <w:spacing w:after="180" w:line="422" w:lineRule="exact"/>
        <w:ind w:firstLine="0"/>
        <w:rPr>
          <w:rFonts w:cs="Times New Roman"/>
          <w:b/>
          <w:bCs/>
          <w:lang w:val="en-US"/>
        </w:rPr>
      </w:pPr>
      <w:r>
        <w:rPr>
          <w:b/>
          <w:bCs/>
        </w:rPr>
        <w:t>4.</w:t>
      </w:r>
      <w:r>
        <w:rPr>
          <w:b/>
          <w:bCs/>
          <w:lang w:val="en-US"/>
        </w:rPr>
        <w:t>2</w:t>
      </w:r>
      <w:r>
        <w:rPr>
          <w:rFonts w:hint="eastAsia"/>
          <w:b/>
          <w:bCs/>
          <w:lang w:val="en-US"/>
        </w:rPr>
        <w:t>履约担保</w:t>
      </w:r>
    </w:p>
    <w:p w14:paraId="0F7F9F69">
      <w:pPr>
        <w:pStyle w:val="315"/>
        <w:spacing w:line="374" w:lineRule="auto"/>
        <w:ind w:firstLine="420"/>
        <w:rPr>
          <w:rFonts w:cs="Times New Roman"/>
          <w:lang w:val="en-US"/>
        </w:rPr>
      </w:pPr>
      <w:r>
        <w:rPr>
          <w:rFonts w:hint="eastAsia"/>
          <w:lang w:val="en-US"/>
        </w:rPr>
        <w:t>履约担保的形式：采取履约保函担保形式，依据广西壮族自治区人民政府办公厅《关于促进建筑业持续健康发展的实施意见》（桂政办发〔</w:t>
      </w:r>
      <w:r>
        <w:rPr>
          <w:lang w:val="en-US"/>
        </w:rPr>
        <w:t>2018</w:t>
      </w:r>
      <w:r>
        <w:rPr>
          <w:rFonts w:hint="eastAsia"/>
          <w:lang w:val="en-US"/>
        </w:rPr>
        <w:t>〕</w:t>
      </w:r>
      <w:r>
        <w:rPr>
          <w:lang w:val="en-US"/>
        </w:rPr>
        <w:t>29</w:t>
      </w:r>
      <w:r>
        <w:rPr>
          <w:rFonts w:hint="eastAsia"/>
          <w:lang w:val="en-US"/>
        </w:rPr>
        <w:t>号），可采用银行保函、工程保险保函或工程担保保函作为保证金。</w:t>
      </w:r>
    </w:p>
    <w:p w14:paraId="402EAB0C">
      <w:pPr>
        <w:pStyle w:val="315"/>
        <w:spacing w:line="374" w:lineRule="auto"/>
        <w:ind w:firstLine="420"/>
        <w:rPr>
          <w:rFonts w:cs="Times New Roman"/>
          <w:lang w:val="en-US"/>
        </w:rPr>
      </w:pPr>
      <w:r>
        <w:rPr>
          <w:rFonts w:hint="eastAsia"/>
          <w:lang w:val="en-US"/>
        </w:rPr>
        <w:t>采取现金履约担保形式的，履约担保金额为合同价格的</w:t>
      </w:r>
      <w:r>
        <w:rPr>
          <w:lang w:val="en-US"/>
        </w:rPr>
        <w:t>3%</w:t>
      </w:r>
      <w:r>
        <w:rPr>
          <w:rFonts w:hint="eastAsia"/>
          <w:lang w:val="en-US"/>
        </w:rPr>
        <w:t>，不计利息，工程施工合同签订前从承包人的基本账户汇入的账户。发包人在工程质量保修期满后</w:t>
      </w:r>
      <w:r>
        <w:rPr>
          <w:lang w:val="en-US"/>
        </w:rPr>
        <w:t xml:space="preserve">28 </w:t>
      </w:r>
      <w:r>
        <w:rPr>
          <w:rFonts w:hint="eastAsia"/>
          <w:lang w:val="en-US"/>
        </w:rPr>
        <w:t>天内将履约担保金退还给承包人。</w:t>
      </w:r>
    </w:p>
    <w:p w14:paraId="6EF34A32">
      <w:pPr>
        <w:pStyle w:val="315"/>
        <w:spacing w:line="374" w:lineRule="auto"/>
        <w:ind w:firstLine="420"/>
        <w:rPr>
          <w:rFonts w:cs="Times New Roman"/>
          <w:lang w:val="en-US"/>
        </w:rPr>
      </w:pPr>
      <w:r>
        <w:rPr>
          <w:rFonts w:hint="eastAsia"/>
          <w:lang w:val="en-US"/>
        </w:rPr>
        <w:t>采取履约保函担保形式的，履约保函担保额度为中标合同金额的</w:t>
      </w:r>
      <w:r>
        <w:rPr>
          <w:lang w:val="en-US"/>
        </w:rPr>
        <w:t xml:space="preserve"> 3%</w:t>
      </w:r>
      <w:r>
        <w:rPr>
          <w:rFonts w:hint="eastAsia"/>
          <w:lang w:val="en-US"/>
        </w:rPr>
        <w:t>，中标人提交履约保函（原件）给发包人，担保期限自签订本合同生效之日起至发包人签发工程完工证书之日止。当履约保函的担保期已满，而工程尚未完工时，发包人有权要求承包人延长保函的担保期限直至工程完工，发包人在工程质量保修期满后</w:t>
      </w:r>
      <w:r>
        <w:rPr>
          <w:lang w:val="en-US"/>
        </w:rPr>
        <w:t xml:space="preserve"> 28 </w:t>
      </w:r>
      <w:r>
        <w:rPr>
          <w:rFonts w:hint="eastAsia"/>
          <w:lang w:val="en-US"/>
        </w:rPr>
        <w:t>天内将履约保函（原件）退还给承包人。</w:t>
      </w:r>
    </w:p>
    <w:p w14:paraId="7AC4729A">
      <w:pPr>
        <w:pStyle w:val="318"/>
        <w:spacing w:line="360" w:lineRule="auto"/>
        <w:rPr>
          <w:rFonts w:ascii="宋体" w:cs="宋体"/>
          <w:sz w:val="21"/>
          <w:szCs w:val="21"/>
        </w:rPr>
      </w:pPr>
      <w:bookmarkStart w:id="1986" w:name="bookmark1651"/>
      <w:bookmarkStart w:id="1987" w:name="bookmark1652"/>
      <w:bookmarkStart w:id="1988" w:name="_Toc31691"/>
      <w:bookmarkStart w:id="1989" w:name="_Toc256000188"/>
      <w:bookmarkStart w:id="1990" w:name="_Toc18454"/>
      <w:bookmarkStart w:id="1991" w:name="_Toc256000438"/>
      <w:bookmarkStart w:id="1992" w:name="bookmark1650"/>
      <w:r>
        <w:rPr>
          <w:rFonts w:ascii="宋体" w:hAnsi="宋体" w:cs="宋体"/>
          <w:sz w:val="21"/>
          <w:szCs w:val="21"/>
        </w:rPr>
        <w:t>4.3</w:t>
      </w:r>
      <w:r>
        <w:rPr>
          <w:rFonts w:hint="eastAsia" w:ascii="宋体" w:hAnsi="宋体" w:cs="宋体"/>
          <w:sz w:val="21"/>
          <w:szCs w:val="21"/>
        </w:rPr>
        <w:t>分包</w:t>
      </w:r>
      <w:bookmarkEnd w:id="1986"/>
      <w:bookmarkEnd w:id="1987"/>
      <w:bookmarkEnd w:id="1988"/>
      <w:bookmarkEnd w:id="1989"/>
      <w:bookmarkEnd w:id="1990"/>
      <w:bookmarkEnd w:id="1991"/>
      <w:bookmarkEnd w:id="1992"/>
    </w:p>
    <w:p w14:paraId="04CE227D">
      <w:pPr>
        <w:pStyle w:val="319"/>
        <w:tabs>
          <w:tab w:val="left" w:pos="5849"/>
        </w:tabs>
        <w:ind w:firstLine="420"/>
        <w:rPr>
          <w:rFonts w:cs="Times New Roman"/>
          <w:sz w:val="21"/>
          <w:szCs w:val="21"/>
          <w:lang w:val="en-US"/>
        </w:rPr>
      </w:pPr>
      <w:r>
        <w:rPr>
          <w:sz w:val="21"/>
          <w:szCs w:val="21"/>
          <w:lang w:val="en-US"/>
        </w:rPr>
        <w:t xml:space="preserve">4.3.1 </w:t>
      </w:r>
      <w:r>
        <w:rPr>
          <w:rFonts w:hint="eastAsia"/>
          <w:sz w:val="21"/>
          <w:szCs w:val="21"/>
          <w:lang w:val="en-US"/>
        </w:rPr>
        <w:t>本工程不允许非法分包，分包要取得发包人同意。</w:t>
      </w:r>
    </w:p>
    <w:p w14:paraId="1D58DFDA">
      <w:pPr>
        <w:pStyle w:val="318"/>
        <w:spacing w:line="360" w:lineRule="auto"/>
        <w:rPr>
          <w:rFonts w:ascii="宋体" w:cs="宋体"/>
          <w:sz w:val="21"/>
          <w:szCs w:val="21"/>
        </w:rPr>
      </w:pPr>
      <w:bookmarkStart w:id="1993" w:name="bookmark1658"/>
      <w:bookmarkStart w:id="1994" w:name="_Toc256000441"/>
      <w:bookmarkStart w:id="1995" w:name="_Toc18339"/>
      <w:bookmarkStart w:id="1996" w:name="_Toc256000191"/>
      <w:bookmarkStart w:id="1997" w:name="bookmark1656"/>
      <w:bookmarkStart w:id="1998" w:name="_Toc3023"/>
      <w:bookmarkStart w:id="1999" w:name="bookmark1657"/>
      <w:r>
        <w:rPr>
          <w:rFonts w:ascii="宋体" w:hAnsi="宋体" w:cs="宋体"/>
          <w:sz w:val="21"/>
          <w:szCs w:val="21"/>
        </w:rPr>
        <w:t>4.7</w:t>
      </w:r>
      <w:r>
        <w:rPr>
          <w:rFonts w:hint="eastAsia" w:ascii="宋体" w:hAnsi="宋体" w:cs="宋体"/>
          <w:sz w:val="21"/>
          <w:szCs w:val="21"/>
        </w:rPr>
        <w:t>撤换承包人项目经理和其他人员</w:t>
      </w:r>
      <w:bookmarkEnd w:id="1993"/>
      <w:bookmarkEnd w:id="1994"/>
      <w:bookmarkEnd w:id="1995"/>
      <w:bookmarkEnd w:id="1996"/>
      <w:bookmarkEnd w:id="1997"/>
      <w:bookmarkEnd w:id="1998"/>
      <w:bookmarkEnd w:id="1999"/>
    </w:p>
    <w:p w14:paraId="2EA34165">
      <w:pPr>
        <w:pStyle w:val="315"/>
        <w:spacing w:line="374" w:lineRule="auto"/>
        <w:ind w:firstLine="420"/>
        <w:rPr>
          <w:rFonts w:cs="Times New Roman"/>
        </w:rPr>
      </w:pPr>
      <w:r>
        <w:rPr>
          <w:rFonts w:hint="eastAsia"/>
        </w:rPr>
        <w:t>口</w:t>
      </w:r>
      <w:r>
        <w:rPr>
          <w:rFonts w:ascii="Times New Roman" w:hAnsi="Times New Roman" w:cs="Times New Roman"/>
          <w:lang w:val="en-US"/>
        </w:rPr>
        <w:t xml:space="preserve">4. 7. </w:t>
      </w:r>
      <w:r>
        <w:rPr>
          <w:rFonts w:ascii="Times New Roman" w:hAnsi="Times New Roman" w:cs="Times New Roman"/>
        </w:rPr>
        <w:t>1</w:t>
      </w:r>
      <w:r>
        <w:rPr>
          <w:rFonts w:hint="eastAsia"/>
        </w:rPr>
        <w:t>中标人根据投标文件的承诺，投入本项目的项目经理、技术负责人、质量管理员、安全管理员等主要管理人员中标后不得更换</w:t>
      </w:r>
      <w:r>
        <w:t>(</w:t>
      </w:r>
      <w:r>
        <w:rPr>
          <w:rFonts w:hint="eastAsia"/>
        </w:rPr>
        <w:t>除因故去世、调离本单位外</w:t>
      </w:r>
      <w:r>
        <w:t>)</w:t>
      </w:r>
      <w:r>
        <w:rPr>
          <w:rFonts w:hint="eastAsia"/>
        </w:rPr>
        <w:t>。</w:t>
      </w:r>
    </w:p>
    <w:p w14:paraId="453E1165">
      <w:pPr>
        <w:pStyle w:val="315"/>
        <w:spacing w:line="356" w:lineRule="exact"/>
        <w:ind w:firstLine="440"/>
        <w:rPr>
          <w:rFonts w:cs="Times New Roman"/>
        </w:rPr>
      </w:pPr>
      <w:r>
        <w:rPr>
          <w:rFonts w:hint="eastAsia" w:ascii="MS Mincho" w:hAnsi="MS Mincho" w:eastAsia="MS Mincho" w:cs="MS Mincho"/>
        </w:rPr>
        <w:t>☑</w:t>
      </w:r>
      <w:r>
        <w:rPr>
          <w:rFonts w:ascii="Times New Roman" w:hAnsi="Times New Roman" w:cs="Times New Roman"/>
          <w:lang w:val="en-US"/>
        </w:rPr>
        <w:t xml:space="preserve">4. 7. </w:t>
      </w:r>
      <w:r>
        <w:rPr>
          <w:rFonts w:ascii="Times New Roman" w:hAnsi="Times New Roman" w:cs="Times New Roman"/>
        </w:rPr>
        <w:t>1</w:t>
      </w:r>
      <w:r>
        <w:rPr>
          <w:rFonts w:hint="eastAsia"/>
        </w:rPr>
        <w:t>投入本项目的项目经理、技术负责人、质量管理员、专全管理员等主要管理人员中标后，经中标人申请、监理机构审核允许、招标人同意后方可变更为不低于同等条</w:t>
      </w:r>
      <w:r>
        <w:t xml:space="preserve"> </w:t>
      </w:r>
      <w:r>
        <w:rPr>
          <w:rFonts w:hint="eastAsia"/>
        </w:rPr>
        <w:t>件的人员。</w:t>
      </w:r>
    </w:p>
    <w:p w14:paraId="36535846">
      <w:pPr>
        <w:pStyle w:val="315"/>
        <w:tabs>
          <w:tab w:val="left" w:pos="4711"/>
        </w:tabs>
        <w:spacing w:after="140" w:line="356" w:lineRule="exact"/>
        <w:ind w:firstLine="440"/>
        <w:rPr>
          <w:rFonts w:cs="Times New Roman"/>
        </w:rPr>
      </w:pPr>
      <w:r>
        <w:rPr>
          <w:rFonts w:ascii="Times New Roman" w:hAnsi="Times New Roman" w:cs="Times New Roman"/>
          <w:lang w:val="en-US"/>
        </w:rPr>
        <w:t>4.7.2</w:t>
      </w:r>
      <w:r>
        <w:rPr>
          <w:rFonts w:hint="eastAsia"/>
        </w:rPr>
        <w:t>项目经理每月在工地时间少于</w:t>
      </w:r>
      <w:r>
        <w:rPr>
          <w:u w:val="single"/>
          <w:lang w:val="en-US"/>
        </w:rPr>
        <w:t>10</w:t>
      </w:r>
      <w:r>
        <w:rPr>
          <w:rFonts w:hint="eastAsia"/>
        </w:rPr>
        <w:t>日，且未经招标人同意的，按未履职处理，由有关行政监督部门处理后报请自治区有关行政监督部门将结果记入市场主体信用档案，公布不良行为记录。</w:t>
      </w:r>
    </w:p>
    <w:p w14:paraId="2E4E9D66">
      <w:pPr>
        <w:pStyle w:val="318"/>
        <w:spacing w:line="360" w:lineRule="auto"/>
        <w:rPr>
          <w:rFonts w:ascii="宋体" w:cs="宋体"/>
          <w:sz w:val="21"/>
          <w:szCs w:val="21"/>
        </w:rPr>
      </w:pPr>
      <w:bookmarkStart w:id="2000" w:name="bookmark1661"/>
      <w:bookmarkStart w:id="2001" w:name="_Toc11695"/>
      <w:bookmarkStart w:id="2002" w:name="_Toc29818"/>
      <w:bookmarkStart w:id="2003" w:name="bookmark1659"/>
      <w:bookmarkStart w:id="2004" w:name="_Toc256000442"/>
      <w:bookmarkStart w:id="2005" w:name="_Toc256000192"/>
      <w:bookmarkStart w:id="2006" w:name="bookmark1660"/>
      <w:r>
        <w:rPr>
          <w:rFonts w:ascii="宋体" w:hAnsi="宋体" w:cs="宋体"/>
          <w:sz w:val="21"/>
          <w:szCs w:val="21"/>
        </w:rPr>
        <w:t>4.11</w:t>
      </w:r>
      <w:r>
        <w:rPr>
          <w:rFonts w:hint="eastAsia" w:ascii="宋体" w:hAnsi="宋体" w:cs="宋体"/>
          <w:sz w:val="21"/>
          <w:szCs w:val="21"/>
        </w:rPr>
        <w:t>不利物质条件</w:t>
      </w:r>
      <w:bookmarkEnd w:id="2000"/>
      <w:bookmarkEnd w:id="2001"/>
      <w:bookmarkEnd w:id="2002"/>
      <w:bookmarkEnd w:id="2003"/>
      <w:bookmarkEnd w:id="2004"/>
      <w:bookmarkEnd w:id="2005"/>
      <w:bookmarkEnd w:id="2006"/>
    </w:p>
    <w:p w14:paraId="3E39D620">
      <w:pPr>
        <w:pStyle w:val="319"/>
        <w:tabs>
          <w:tab w:val="left" w:pos="8230"/>
        </w:tabs>
        <w:ind w:firstLine="420"/>
        <w:rPr>
          <w:rFonts w:cs="Times New Roman"/>
          <w:sz w:val="21"/>
          <w:szCs w:val="21"/>
        </w:rPr>
      </w:pPr>
      <w:r>
        <w:rPr>
          <w:sz w:val="21"/>
          <w:szCs w:val="21"/>
          <w:lang w:val="en-US"/>
        </w:rPr>
        <w:t>4.11.1</w:t>
      </w:r>
      <w:r>
        <w:rPr>
          <w:rFonts w:hint="eastAsia"/>
          <w:sz w:val="21"/>
          <w:szCs w:val="21"/>
        </w:rPr>
        <w:t>不利物质条件的范围：</w:t>
      </w:r>
      <w:r>
        <w:rPr>
          <w:sz w:val="21"/>
          <w:szCs w:val="21"/>
          <w:u w:val="single"/>
        </w:rPr>
        <w:t xml:space="preserve"> </w:t>
      </w:r>
      <w:r>
        <w:rPr>
          <w:rFonts w:hint="eastAsia"/>
          <w:sz w:val="21"/>
          <w:szCs w:val="21"/>
          <w:u w:val="single"/>
        </w:rPr>
        <w:t>按通用条款执行</w:t>
      </w:r>
      <w:r>
        <w:rPr>
          <w:sz w:val="21"/>
          <w:szCs w:val="21"/>
          <w:u w:val="single"/>
        </w:rPr>
        <w:t xml:space="preserve"> </w:t>
      </w:r>
      <w:r>
        <w:rPr>
          <w:rFonts w:hint="eastAsia"/>
          <w:sz w:val="21"/>
          <w:szCs w:val="21"/>
          <w:lang w:val="en-US"/>
        </w:rPr>
        <w:t>。</w:t>
      </w:r>
    </w:p>
    <w:p w14:paraId="77903EFB">
      <w:pPr>
        <w:pStyle w:val="318"/>
        <w:spacing w:line="360" w:lineRule="auto"/>
        <w:rPr>
          <w:rFonts w:ascii="宋体" w:cs="宋体"/>
          <w:sz w:val="21"/>
          <w:szCs w:val="21"/>
        </w:rPr>
      </w:pPr>
      <w:bookmarkStart w:id="2007" w:name="bookmark1664"/>
      <w:bookmarkEnd w:id="2007"/>
      <w:bookmarkStart w:id="2008" w:name="_Toc256000443"/>
      <w:bookmarkStart w:id="2009" w:name="_Toc16573"/>
      <w:bookmarkStart w:id="2010" w:name="bookmark1665"/>
      <w:bookmarkStart w:id="2011" w:name="bookmark1662"/>
      <w:bookmarkStart w:id="2012" w:name="bookmark1663"/>
      <w:bookmarkStart w:id="2013" w:name="_Toc22685"/>
      <w:bookmarkStart w:id="2014" w:name="_Toc256000193"/>
      <w:bookmarkStart w:id="2015" w:name="_Toc21919"/>
      <w:r>
        <w:rPr>
          <w:rFonts w:ascii="宋体" w:hAnsi="宋体" w:cs="宋体"/>
          <w:sz w:val="21"/>
          <w:szCs w:val="21"/>
        </w:rPr>
        <w:t xml:space="preserve">5. </w:t>
      </w:r>
      <w:r>
        <w:rPr>
          <w:rFonts w:hint="eastAsia" w:ascii="宋体" w:hAnsi="宋体" w:cs="宋体"/>
          <w:sz w:val="21"/>
          <w:szCs w:val="21"/>
        </w:rPr>
        <w:t>材料和工程设备</w:t>
      </w:r>
      <w:bookmarkEnd w:id="2008"/>
      <w:bookmarkEnd w:id="2009"/>
      <w:bookmarkEnd w:id="2010"/>
      <w:bookmarkEnd w:id="2011"/>
      <w:bookmarkEnd w:id="2012"/>
      <w:bookmarkEnd w:id="2013"/>
      <w:bookmarkEnd w:id="2014"/>
      <w:bookmarkEnd w:id="2015"/>
    </w:p>
    <w:p w14:paraId="3FA7A36F">
      <w:pPr>
        <w:pStyle w:val="318"/>
        <w:spacing w:line="360" w:lineRule="auto"/>
        <w:rPr>
          <w:rFonts w:ascii="宋体" w:cs="宋体"/>
          <w:sz w:val="21"/>
          <w:szCs w:val="21"/>
        </w:rPr>
      </w:pPr>
      <w:bookmarkStart w:id="2016" w:name="bookmark1668"/>
      <w:bookmarkStart w:id="2017" w:name="_Toc17415"/>
      <w:bookmarkStart w:id="2018" w:name="_Toc6105"/>
      <w:bookmarkStart w:id="2019" w:name="_Toc256000444"/>
      <w:bookmarkStart w:id="2020" w:name="bookmark1667"/>
      <w:bookmarkStart w:id="2021" w:name="bookmark1666"/>
      <w:bookmarkStart w:id="2022" w:name="_Toc256000194"/>
      <w:r>
        <w:rPr>
          <w:rFonts w:ascii="宋体" w:hAnsi="宋体" w:cs="宋体"/>
          <w:sz w:val="21"/>
          <w:szCs w:val="21"/>
        </w:rPr>
        <w:t>5.2</w:t>
      </w:r>
      <w:r>
        <w:rPr>
          <w:rFonts w:hint="eastAsia" w:ascii="宋体" w:hAnsi="宋体" w:cs="宋体"/>
          <w:sz w:val="21"/>
          <w:szCs w:val="21"/>
        </w:rPr>
        <w:t>发包人提供的材料和工程设备</w:t>
      </w:r>
      <w:bookmarkEnd w:id="2016"/>
      <w:bookmarkEnd w:id="2017"/>
      <w:bookmarkEnd w:id="2018"/>
      <w:bookmarkEnd w:id="2019"/>
      <w:bookmarkEnd w:id="2020"/>
      <w:bookmarkEnd w:id="2021"/>
      <w:bookmarkEnd w:id="2022"/>
    </w:p>
    <w:p w14:paraId="2407383D">
      <w:pPr>
        <w:pStyle w:val="319"/>
        <w:tabs>
          <w:tab w:val="left" w:pos="8230"/>
        </w:tabs>
        <w:ind w:firstLine="420"/>
        <w:rPr>
          <w:rFonts w:cs="Times New Roman"/>
          <w:sz w:val="21"/>
          <w:szCs w:val="21"/>
        </w:rPr>
      </w:pPr>
      <w:bookmarkStart w:id="2023" w:name="bookmark1669"/>
      <w:bookmarkEnd w:id="2023"/>
      <w:r>
        <w:rPr>
          <w:sz w:val="21"/>
          <w:szCs w:val="21"/>
        </w:rPr>
        <w:t xml:space="preserve">5.2.1  </w:t>
      </w:r>
      <w:r>
        <w:rPr>
          <w:rFonts w:hint="eastAsia"/>
          <w:sz w:val="21"/>
          <w:szCs w:val="21"/>
        </w:rPr>
        <w:t>发包人与承包人签订的施工合同中约定是否提供材料和工程设备：不提供。</w:t>
      </w:r>
    </w:p>
    <w:p w14:paraId="020DB812">
      <w:pPr>
        <w:pStyle w:val="318"/>
        <w:spacing w:line="360" w:lineRule="auto"/>
        <w:rPr>
          <w:rFonts w:ascii="宋体" w:cs="宋体"/>
          <w:sz w:val="21"/>
          <w:szCs w:val="21"/>
        </w:rPr>
      </w:pPr>
      <w:bookmarkStart w:id="2024" w:name="bookmark1672"/>
      <w:bookmarkEnd w:id="2024"/>
      <w:bookmarkStart w:id="2025" w:name="_Toc256000445"/>
      <w:bookmarkStart w:id="2026" w:name="bookmark1670"/>
      <w:bookmarkStart w:id="2027" w:name="_Toc10454"/>
      <w:bookmarkStart w:id="2028" w:name="_Toc13001"/>
      <w:bookmarkStart w:id="2029" w:name="_Toc6599"/>
      <w:bookmarkStart w:id="2030" w:name="_Toc9582"/>
      <w:bookmarkStart w:id="2031" w:name="_Toc453"/>
      <w:bookmarkStart w:id="2032" w:name="bookmark1671"/>
      <w:bookmarkStart w:id="2033" w:name="bookmark1673"/>
      <w:bookmarkStart w:id="2034" w:name="_Toc256000195"/>
      <w:r>
        <w:rPr>
          <w:rFonts w:ascii="宋体" w:hAnsi="宋体" w:cs="宋体"/>
          <w:sz w:val="21"/>
          <w:szCs w:val="21"/>
        </w:rPr>
        <w:t xml:space="preserve">6. </w:t>
      </w:r>
      <w:r>
        <w:rPr>
          <w:rFonts w:hint="eastAsia" w:ascii="宋体" w:hAnsi="宋体" w:cs="宋体"/>
          <w:sz w:val="21"/>
          <w:szCs w:val="21"/>
        </w:rPr>
        <w:t>施工设备和临时设施</w:t>
      </w:r>
      <w:bookmarkEnd w:id="2025"/>
      <w:bookmarkEnd w:id="2026"/>
      <w:bookmarkEnd w:id="2027"/>
      <w:bookmarkEnd w:id="2028"/>
      <w:bookmarkEnd w:id="2029"/>
      <w:bookmarkEnd w:id="2030"/>
      <w:bookmarkEnd w:id="2031"/>
      <w:bookmarkEnd w:id="2032"/>
      <w:bookmarkEnd w:id="2033"/>
      <w:bookmarkEnd w:id="2034"/>
    </w:p>
    <w:p w14:paraId="0952985E">
      <w:pPr>
        <w:pStyle w:val="318"/>
        <w:spacing w:line="360" w:lineRule="auto"/>
        <w:rPr>
          <w:rFonts w:ascii="宋体" w:cs="宋体"/>
          <w:sz w:val="21"/>
          <w:szCs w:val="21"/>
        </w:rPr>
      </w:pPr>
      <w:bookmarkStart w:id="2035" w:name="bookmark1675"/>
      <w:bookmarkStart w:id="2036" w:name="_Toc17759"/>
      <w:bookmarkStart w:id="2037" w:name="_Toc585"/>
      <w:bookmarkStart w:id="2038" w:name="bookmark1676"/>
      <w:bookmarkStart w:id="2039" w:name="bookmark1674"/>
      <w:bookmarkStart w:id="2040" w:name="_Toc256000446"/>
      <w:bookmarkStart w:id="2041" w:name="_Toc256000196"/>
      <w:r>
        <w:rPr>
          <w:rFonts w:ascii="宋体" w:hAnsi="宋体" w:cs="宋体"/>
          <w:sz w:val="21"/>
          <w:szCs w:val="21"/>
        </w:rPr>
        <w:t>6.1</w:t>
      </w:r>
      <w:r>
        <w:rPr>
          <w:rFonts w:hint="eastAsia" w:ascii="宋体" w:hAnsi="宋体" w:cs="宋体"/>
          <w:sz w:val="21"/>
          <w:szCs w:val="21"/>
        </w:rPr>
        <w:t>承包人提供的施工设备和临时设施</w:t>
      </w:r>
      <w:bookmarkEnd w:id="2035"/>
      <w:bookmarkEnd w:id="2036"/>
      <w:bookmarkEnd w:id="2037"/>
      <w:bookmarkEnd w:id="2038"/>
      <w:bookmarkEnd w:id="2039"/>
      <w:bookmarkEnd w:id="2040"/>
      <w:bookmarkEnd w:id="2041"/>
    </w:p>
    <w:p w14:paraId="76F30BD8">
      <w:pPr>
        <w:pStyle w:val="319"/>
        <w:spacing w:after="140"/>
        <w:ind w:firstLine="440"/>
        <w:rPr>
          <w:rFonts w:cs="Times New Roman"/>
          <w:sz w:val="21"/>
          <w:szCs w:val="21"/>
        </w:rPr>
      </w:pPr>
      <w:r>
        <w:rPr>
          <w:sz w:val="21"/>
          <w:szCs w:val="21"/>
          <w:lang w:val="en-US"/>
        </w:rPr>
        <w:t>6.1.2</w:t>
      </w:r>
      <w:r>
        <w:rPr>
          <w:rFonts w:hint="eastAsia"/>
          <w:sz w:val="21"/>
          <w:szCs w:val="21"/>
        </w:rPr>
        <w:t>承包人自行承担修建临时设施的费用，需要临时占地的，由承包人办理相关申请手续，发包人予以协助，发生的相关费用由承包人承担。</w:t>
      </w:r>
    </w:p>
    <w:p w14:paraId="2EDE7B2A">
      <w:pPr>
        <w:pStyle w:val="318"/>
        <w:spacing w:line="360" w:lineRule="auto"/>
        <w:rPr>
          <w:rFonts w:ascii="宋体" w:cs="宋体"/>
          <w:sz w:val="21"/>
          <w:szCs w:val="21"/>
        </w:rPr>
      </w:pPr>
      <w:bookmarkStart w:id="2042" w:name="_Toc256000447"/>
      <w:bookmarkStart w:id="2043" w:name="bookmark1677"/>
      <w:bookmarkStart w:id="2044" w:name="bookmark1679"/>
      <w:bookmarkStart w:id="2045" w:name="_Toc256000197"/>
      <w:bookmarkStart w:id="2046" w:name="_Toc22235"/>
      <w:bookmarkStart w:id="2047" w:name="bookmark1678"/>
      <w:bookmarkStart w:id="2048" w:name="_Toc4001"/>
      <w:r>
        <w:rPr>
          <w:rFonts w:ascii="宋体" w:hAnsi="宋体" w:cs="宋体"/>
          <w:sz w:val="21"/>
          <w:szCs w:val="21"/>
        </w:rPr>
        <w:t>6.2</w:t>
      </w:r>
      <w:r>
        <w:rPr>
          <w:rFonts w:hint="eastAsia" w:ascii="宋体" w:hAnsi="宋体" w:cs="宋体"/>
          <w:sz w:val="21"/>
          <w:szCs w:val="21"/>
        </w:rPr>
        <w:t>发包人提供的施工设备和临时设施</w:t>
      </w:r>
      <w:bookmarkEnd w:id="2042"/>
      <w:bookmarkEnd w:id="2043"/>
      <w:bookmarkEnd w:id="2044"/>
      <w:bookmarkEnd w:id="2045"/>
      <w:bookmarkEnd w:id="2046"/>
      <w:bookmarkEnd w:id="2047"/>
      <w:bookmarkEnd w:id="2048"/>
    </w:p>
    <w:p w14:paraId="6C87BCD3">
      <w:pPr>
        <w:pStyle w:val="319"/>
        <w:tabs>
          <w:tab w:val="left" w:pos="903"/>
          <w:tab w:val="left" w:pos="8198"/>
        </w:tabs>
        <w:ind w:firstLine="420" w:firstLineChars="200"/>
        <w:rPr>
          <w:rFonts w:cs="Times New Roman"/>
          <w:sz w:val="21"/>
          <w:szCs w:val="21"/>
          <w:lang w:val="en-US"/>
        </w:rPr>
      </w:pPr>
      <w:bookmarkStart w:id="2049" w:name="bookmark1680"/>
      <w:bookmarkEnd w:id="2049"/>
      <w:r>
        <w:rPr>
          <w:rFonts w:hint="eastAsia"/>
          <w:sz w:val="21"/>
          <w:szCs w:val="21"/>
        </w:rPr>
        <w:t>（</w:t>
      </w:r>
      <w:r>
        <w:rPr>
          <w:sz w:val="21"/>
          <w:szCs w:val="21"/>
          <w:lang w:val="en-US"/>
        </w:rPr>
        <w:t>1</w:t>
      </w:r>
      <w:r>
        <w:rPr>
          <w:rFonts w:hint="eastAsia"/>
          <w:sz w:val="21"/>
          <w:szCs w:val="21"/>
        </w:rPr>
        <w:t>）发包人提供的的施工设备：</w:t>
      </w:r>
      <w:r>
        <w:rPr>
          <w:rFonts w:hint="eastAsia"/>
          <w:sz w:val="21"/>
          <w:szCs w:val="21"/>
          <w:lang w:val="en-US"/>
        </w:rPr>
        <w:t>不提供</w:t>
      </w:r>
    </w:p>
    <w:p w14:paraId="5E0B1C6B">
      <w:pPr>
        <w:pStyle w:val="319"/>
        <w:tabs>
          <w:tab w:val="left" w:pos="903"/>
          <w:tab w:val="left" w:pos="8198"/>
        </w:tabs>
        <w:spacing w:after="20"/>
        <w:ind w:firstLine="420" w:firstLineChars="200"/>
        <w:rPr>
          <w:rFonts w:cs="Times New Roman"/>
          <w:sz w:val="21"/>
          <w:szCs w:val="21"/>
        </w:rPr>
      </w:pPr>
      <w:bookmarkStart w:id="2050" w:name="bookmark1681"/>
      <w:bookmarkEnd w:id="2050"/>
      <w:r>
        <w:rPr>
          <w:rFonts w:hint="eastAsia"/>
          <w:sz w:val="21"/>
          <w:szCs w:val="21"/>
        </w:rPr>
        <w:t>（</w:t>
      </w:r>
      <w:r>
        <w:rPr>
          <w:sz w:val="21"/>
          <w:szCs w:val="21"/>
          <w:lang w:val="en-US"/>
        </w:rPr>
        <w:t>2</w:t>
      </w:r>
      <w:r>
        <w:rPr>
          <w:rFonts w:hint="eastAsia"/>
          <w:sz w:val="21"/>
          <w:szCs w:val="21"/>
        </w:rPr>
        <w:t>）发包人提供的临时设施：</w:t>
      </w:r>
      <w:r>
        <w:rPr>
          <w:rFonts w:hint="eastAsia"/>
          <w:sz w:val="21"/>
          <w:szCs w:val="21"/>
          <w:lang w:val="en-US"/>
        </w:rPr>
        <w:t>不提供</w:t>
      </w:r>
    </w:p>
    <w:p w14:paraId="41E31768">
      <w:pPr>
        <w:pStyle w:val="318"/>
        <w:spacing w:line="360" w:lineRule="auto"/>
        <w:rPr>
          <w:rFonts w:ascii="宋体" w:cs="宋体"/>
          <w:sz w:val="21"/>
          <w:szCs w:val="21"/>
        </w:rPr>
      </w:pPr>
      <w:bookmarkStart w:id="2051" w:name="bookmark1684"/>
      <w:bookmarkEnd w:id="2051"/>
      <w:bookmarkStart w:id="2052" w:name="_Toc256000448"/>
      <w:bookmarkStart w:id="2053" w:name="_Toc256000198"/>
      <w:bookmarkStart w:id="2054" w:name="_Toc11359"/>
      <w:bookmarkStart w:id="2055" w:name="_Toc9116"/>
      <w:bookmarkStart w:id="2056" w:name="bookmark1685"/>
      <w:bookmarkStart w:id="2057" w:name="bookmark1683"/>
      <w:bookmarkStart w:id="2058" w:name="_Toc31905"/>
      <w:bookmarkStart w:id="2059" w:name="_Toc18798"/>
      <w:bookmarkStart w:id="2060" w:name="_Toc8746"/>
      <w:bookmarkStart w:id="2061" w:name="bookmark1682"/>
      <w:bookmarkStart w:id="2062" w:name="bookmark1686"/>
      <w:bookmarkStart w:id="2063" w:name="bookmark1688"/>
      <w:bookmarkStart w:id="2064" w:name="bookmark1687"/>
      <w:r>
        <w:rPr>
          <w:rFonts w:ascii="宋体" w:hAnsi="宋体" w:cs="宋体"/>
          <w:sz w:val="21"/>
          <w:szCs w:val="21"/>
        </w:rPr>
        <w:t xml:space="preserve">7. </w:t>
      </w:r>
      <w:r>
        <w:rPr>
          <w:rFonts w:hint="eastAsia" w:ascii="宋体" w:hAnsi="宋体" w:cs="宋体"/>
          <w:sz w:val="21"/>
          <w:szCs w:val="21"/>
        </w:rPr>
        <w:t>交通运输</w:t>
      </w:r>
      <w:bookmarkEnd w:id="2052"/>
      <w:bookmarkEnd w:id="2053"/>
      <w:bookmarkEnd w:id="2054"/>
      <w:bookmarkEnd w:id="2055"/>
      <w:bookmarkEnd w:id="2056"/>
      <w:bookmarkEnd w:id="2057"/>
      <w:bookmarkEnd w:id="2058"/>
      <w:bookmarkEnd w:id="2059"/>
      <w:bookmarkEnd w:id="2060"/>
      <w:bookmarkEnd w:id="2061"/>
    </w:p>
    <w:p w14:paraId="1C9D7D49">
      <w:pPr>
        <w:pStyle w:val="318"/>
        <w:spacing w:line="360" w:lineRule="auto"/>
        <w:rPr>
          <w:rFonts w:ascii="宋体" w:cs="宋体"/>
          <w:sz w:val="21"/>
          <w:szCs w:val="21"/>
        </w:rPr>
      </w:pPr>
      <w:bookmarkStart w:id="2065" w:name="_Toc256000199"/>
      <w:bookmarkStart w:id="2066" w:name="_Toc256000449"/>
      <w:bookmarkStart w:id="2067" w:name="_Toc2926"/>
      <w:bookmarkStart w:id="2068" w:name="_Toc32601"/>
      <w:r>
        <w:rPr>
          <w:rFonts w:ascii="宋体" w:hAnsi="宋体" w:cs="宋体"/>
          <w:sz w:val="21"/>
          <w:szCs w:val="21"/>
        </w:rPr>
        <w:t>7.1</w:t>
      </w:r>
      <w:r>
        <w:rPr>
          <w:rFonts w:hint="eastAsia" w:ascii="宋体" w:hAnsi="宋体" w:cs="宋体"/>
          <w:sz w:val="21"/>
          <w:szCs w:val="21"/>
        </w:rPr>
        <w:t>道路通行权和场外设施</w:t>
      </w:r>
      <w:bookmarkEnd w:id="2062"/>
      <w:bookmarkEnd w:id="2063"/>
      <w:bookmarkEnd w:id="2064"/>
      <w:bookmarkEnd w:id="2065"/>
      <w:bookmarkEnd w:id="2066"/>
      <w:bookmarkEnd w:id="2067"/>
      <w:bookmarkEnd w:id="2068"/>
    </w:p>
    <w:p w14:paraId="600D7153">
      <w:pPr>
        <w:pStyle w:val="319"/>
        <w:tabs>
          <w:tab w:val="left" w:pos="8218"/>
        </w:tabs>
        <w:ind w:firstLine="420"/>
        <w:rPr>
          <w:rFonts w:cs="Times New Roman"/>
          <w:sz w:val="21"/>
          <w:szCs w:val="21"/>
          <w:lang w:val="en-US"/>
        </w:rPr>
      </w:pPr>
      <w:r>
        <w:rPr>
          <w:rFonts w:hint="eastAsia"/>
          <w:sz w:val="21"/>
          <w:szCs w:val="21"/>
        </w:rPr>
        <w:t>道路通行权和场外设施的约定：</w:t>
      </w:r>
      <w:r>
        <w:rPr>
          <w:rFonts w:hint="eastAsia"/>
          <w:sz w:val="21"/>
          <w:szCs w:val="21"/>
          <w:u w:val="single"/>
        </w:rPr>
        <w:t>发包人指定道路通行的，发包人应负责办理好有关政策处理上的事宜；通行道路在施工期间由施工单位维修、保养，其费用由施工单位负责</w:t>
      </w:r>
      <w:r>
        <w:rPr>
          <w:sz w:val="21"/>
          <w:szCs w:val="21"/>
          <w:u w:val="single"/>
        </w:rPr>
        <w:t xml:space="preserve"> </w:t>
      </w:r>
      <w:r>
        <w:rPr>
          <w:rFonts w:hint="eastAsia"/>
          <w:sz w:val="21"/>
          <w:szCs w:val="21"/>
          <w:lang w:val="en-US"/>
        </w:rPr>
        <w:t>。</w:t>
      </w:r>
    </w:p>
    <w:p w14:paraId="61F6C40B">
      <w:pPr>
        <w:pStyle w:val="318"/>
        <w:spacing w:line="360" w:lineRule="auto"/>
        <w:rPr>
          <w:rFonts w:ascii="宋体" w:cs="宋体"/>
          <w:sz w:val="21"/>
          <w:szCs w:val="21"/>
        </w:rPr>
      </w:pPr>
      <w:bookmarkStart w:id="2069" w:name="_Toc8505"/>
      <w:bookmarkStart w:id="2070" w:name="_Toc256000450"/>
      <w:bookmarkStart w:id="2071" w:name="bookmark1689"/>
      <w:bookmarkStart w:id="2072" w:name="_Toc976"/>
      <w:bookmarkStart w:id="2073" w:name="bookmark1692"/>
      <w:bookmarkStart w:id="2074" w:name="_Toc6815"/>
      <w:bookmarkStart w:id="2075" w:name="_Toc256000200"/>
      <w:bookmarkStart w:id="2076" w:name="_Toc1538"/>
      <w:bookmarkStart w:id="2077" w:name="_Toc28858"/>
      <w:bookmarkStart w:id="2078" w:name="bookmark1690"/>
      <w:bookmarkStart w:id="2079" w:name="bookmark1693"/>
      <w:bookmarkStart w:id="2080" w:name="bookmark1694"/>
      <w:bookmarkStart w:id="2081" w:name="bookmark1695"/>
      <w:r>
        <w:rPr>
          <w:rFonts w:ascii="宋体" w:hAnsi="宋体" w:cs="宋体"/>
          <w:sz w:val="21"/>
          <w:szCs w:val="21"/>
        </w:rPr>
        <w:t xml:space="preserve">8. </w:t>
      </w:r>
      <w:r>
        <w:rPr>
          <w:rFonts w:hint="eastAsia" w:ascii="宋体" w:hAnsi="宋体" w:cs="宋体"/>
          <w:sz w:val="21"/>
          <w:szCs w:val="21"/>
        </w:rPr>
        <w:t>测量放线</w:t>
      </w:r>
      <w:bookmarkEnd w:id="2069"/>
      <w:bookmarkEnd w:id="2070"/>
      <w:bookmarkEnd w:id="2071"/>
      <w:bookmarkEnd w:id="2072"/>
      <w:bookmarkEnd w:id="2073"/>
      <w:bookmarkEnd w:id="2074"/>
      <w:bookmarkEnd w:id="2075"/>
      <w:bookmarkEnd w:id="2076"/>
      <w:bookmarkEnd w:id="2077"/>
      <w:bookmarkEnd w:id="2078"/>
    </w:p>
    <w:p w14:paraId="75821E72">
      <w:pPr>
        <w:pStyle w:val="318"/>
        <w:spacing w:line="360" w:lineRule="auto"/>
        <w:rPr>
          <w:rFonts w:ascii="宋体" w:cs="宋体"/>
          <w:sz w:val="21"/>
          <w:szCs w:val="21"/>
        </w:rPr>
      </w:pPr>
      <w:bookmarkStart w:id="2082" w:name="_Toc256000201"/>
      <w:bookmarkStart w:id="2083" w:name="_Toc26608"/>
      <w:bookmarkStart w:id="2084" w:name="_Toc28717"/>
      <w:bookmarkStart w:id="2085" w:name="_Toc256000451"/>
      <w:r>
        <w:rPr>
          <w:rFonts w:ascii="宋体" w:hAnsi="宋体" w:cs="宋体"/>
          <w:sz w:val="21"/>
          <w:szCs w:val="21"/>
        </w:rPr>
        <w:t>8.1</w:t>
      </w:r>
      <w:r>
        <w:rPr>
          <w:rFonts w:hint="eastAsia" w:ascii="宋体" w:hAnsi="宋体" w:cs="宋体"/>
          <w:sz w:val="21"/>
          <w:szCs w:val="21"/>
        </w:rPr>
        <w:t>施工控制网</w:t>
      </w:r>
      <w:bookmarkEnd w:id="2079"/>
      <w:bookmarkEnd w:id="2080"/>
      <w:bookmarkEnd w:id="2081"/>
      <w:bookmarkEnd w:id="2082"/>
      <w:bookmarkEnd w:id="2083"/>
      <w:bookmarkEnd w:id="2084"/>
      <w:bookmarkEnd w:id="2085"/>
    </w:p>
    <w:p w14:paraId="1821EEF9">
      <w:pPr>
        <w:pStyle w:val="320"/>
        <w:tabs>
          <w:tab w:val="left" w:pos="750"/>
          <w:tab w:val="left" w:pos="4898"/>
        </w:tabs>
        <w:spacing w:after="140" w:line="360" w:lineRule="auto"/>
        <w:ind w:left="420" w:firstLine="0"/>
        <w:rPr>
          <w:rFonts w:ascii="宋体" w:cs="宋体"/>
          <w:sz w:val="21"/>
          <w:szCs w:val="21"/>
        </w:rPr>
      </w:pPr>
      <w:bookmarkStart w:id="2086" w:name="bookmark1696"/>
      <w:bookmarkEnd w:id="2086"/>
      <w:r>
        <w:rPr>
          <w:rFonts w:ascii="宋体" w:hAnsi="宋体" w:cs="宋体"/>
          <w:sz w:val="21"/>
          <w:szCs w:val="21"/>
        </w:rPr>
        <w:t>8.1.</w:t>
      </w:r>
      <w:r>
        <w:rPr>
          <w:rFonts w:ascii="宋体" w:hAnsi="宋体" w:cs="宋体"/>
          <w:sz w:val="21"/>
          <w:szCs w:val="21"/>
          <w:lang w:val="zh-CN"/>
        </w:rPr>
        <w:t xml:space="preserve">1 </w:t>
      </w:r>
      <w:r>
        <w:rPr>
          <w:rFonts w:hint="eastAsia" w:ascii="宋体" w:hAnsi="宋体" w:cs="宋体"/>
          <w:sz w:val="21"/>
          <w:szCs w:val="21"/>
          <w:lang w:val="zh-CN"/>
        </w:rPr>
        <w:t>施工控制网的约定：</w:t>
      </w:r>
      <w:r>
        <w:rPr>
          <w:rFonts w:hint="eastAsia" w:ascii="宋体" w:hAnsi="宋体" w:cs="宋体"/>
          <w:sz w:val="21"/>
          <w:szCs w:val="21"/>
          <w:u w:val="single"/>
          <w:lang w:val="zh-CN"/>
        </w:rPr>
        <w:t>由承包人负责测设、监理人核定</w:t>
      </w:r>
      <w:r>
        <w:rPr>
          <w:rFonts w:hint="eastAsia" w:ascii="宋体" w:hAnsi="宋体" w:cs="宋体"/>
          <w:sz w:val="21"/>
          <w:szCs w:val="21"/>
        </w:rPr>
        <w:t>。</w:t>
      </w:r>
    </w:p>
    <w:p w14:paraId="05704916">
      <w:pPr>
        <w:pStyle w:val="318"/>
        <w:spacing w:line="360" w:lineRule="auto"/>
        <w:rPr>
          <w:rFonts w:ascii="宋体" w:cs="宋体"/>
          <w:sz w:val="21"/>
          <w:szCs w:val="21"/>
        </w:rPr>
      </w:pPr>
      <w:bookmarkStart w:id="2087" w:name="_Toc256000202"/>
      <w:bookmarkStart w:id="2088" w:name="_Toc15272"/>
      <w:bookmarkStart w:id="2089" w:name="_Toc17055"/>
      <w:bookmarkStart w:id="2090" w:name="_Toc20338"/>
      <w:bookmarkStart w:id="2091" w:name="_Toc24041"/>
      <w:bookmarkStart w:id="2092" w:name="_Toc256000452"/>
      <w:r>
        <w:rPr>
          <w:rFonts w:ascii="宋体" w:hAnsi="宋体" w:cs="宋体"/>
          <w:sz w:val="21"/>
          <w:szCs w:val="21"/>
        </w:rPr>
        <w:t xml:space="preserve">9. </w:t>
      </w:r>
      <w:r>
        <w:rPr>
          <w:rFonts w:hint="eastAsia" w:ascii="宋体" w:hAnsi="宋体" w:cs="宋体"/>
          <w:sz w:val="21"/>
          <w:szCs w:val="21"/>
        </w:rPr>
        <w:t>施工安全、治安保卫和环境保护</w:t>
      </w:r>
      <w:bookmarkEnd w:id="2087"/>
      <w:bookmarkEnd w:id="2088"/>
      <w:bookmarkEnd w:id="2089"/>
      <w:bookmarkEnd w:id="2090"/>
      <w:bookmarkEnd w:id="2091"/>
      <w:bookmarkEnd w:id="2092"/>
    </w:p>
    <w:p w14:paraId="348A1A44">
      <w:pPr>
        <w:pStyle w:val="318"/>
        <w:spacing w:line="360" w:lineRule="auto"/>
        <w:rPr>
          <w:rFonts w:ascii="宋体" w:cs="宋体"/>
          <w:sz w:val="21"/>
          <w:szCs w:val="21"/>
        </w:rPr>
      </w:pPr>
      <w:bookmarkStart w:id="2093" w:name="_Toc25576"/>
      <w:bookmarkStart w:id="2094" w:name="_Toc256000203"/>
      <w:bookmarkStart w:id="2095" w:name="_Toc256000453"/>
      <w:bookmarkStart w:id="2096" w:name="_Toc8744"/>
      <w:r>
        <w:rPr>
          <w:rFonts w:ascii="宋体" w:hAnsi="宋体" w:cs="宋体"/>
          <w:sz w:val="21"/>
          <w:szCs w:val="21"/>
        </w:rPr>
        <w:t>9.2</w:t>
      </w:r>
      <w:r>
        <w:rPr>
          <w:rFonts w:hint="eastAsia" w:ascii="宋体" w:hAnsi="宋体" w:cs="宋体"/>
          <w:sz w:val="21"/>
          <w:szCs w:val="21"/>
        </w:rPr>
        <w:t>承包人的施工安全责任</w:t>
      </w:r>
      <w:bookmarkEnd w:id="2093"/>
      <w:bookmarkEnd w:id="2094"/>
      <w:bookmarkEnd w:id="2095"/>
      <w:bookmarkEnd w:id="2096"/>
    </w:p>
    <w:p w14:paraId="613DBB92">
      <w:pPr>
        <w:pStyle w:val="319"/>
        <w:tabs>
          <w:tab w:val="left" w:pos="754"/>
        </w:tabs>
        <w:ind w:left="420" w:firstLine="0"/>
        <w:rPr>
          <w:rFonts w:cs="Times New Roman"/>
          <w:sz w:val="21"/>
          <w:szCs w:val="21"/>
        </w:rPr>
      </w:pPr>
      <w:r>
        <w:rPr>
          <w:sz w:val="21"/>
          <w:szCs w:val="21"/>
          <w:lang w:val="en-US"/>
        </w:rPr>
        <w:t xml:space="preserve">9.2. </w:t>
      </w:r>
      <w:r>
        <w:rPr>
          <w:sz w:val="21"/>
          <w:szCs w:val="21"/>
        </w:rPr>
        <w:t>8</w:t>
      </w:r>
      <w:r>
        <w:rPr>
          <w:rFonts w:hint="eastAsia"/>
          <w:sz w:val="21"/>
          <w:szCs w:val="21"/>
        </w:rPr>
        <w:t>安全施工措施所需费用在投标时不得做竞争调整。</w:t>
      </w:r>
    </w:p>
    <w:p w14:paraId="795E2B64">
      <w:pPr>
        <w:pStyle w:val="319"/>
        <w:tabs>
          <w:tab w:val="left" w:pos="4162"/>
          <w:tab w:val="left" w:pos="6139"/>
        </w:tabs>
        <w:spacing w:after="140"/>
        <w:ind w:firstLine="440"/>
        <w:rPr>
          <w:rFonts w:cs="Times New Roman"/>
          <w:sz w:val="21"/>
          <w:szCs w:val="21"/>
        </w:rPr>
      </w:pPr>
      <w:r>
        <w:rPr>
          <w:sz w:val="21"/>
          <w:szCs w:val="21"/>
          <w:lang w:val="en-US"/>
        </w:rPr>
        <w:t xml:space="preserve">9.2. </w:t>
      </w:r>
      <w:r>
        <w:rPr>
          <w:sz w:val="21"/>
          <w:szCs w:val="21"/>
        </w:rPr>
        <w:t>12</w:t>
      </w:r>
      <w:r>
        <w:rPr>
          <w:rFonts w:hint="eastAsia"/>
          <w:sz w:val="21"/>
          <w:szCs w:val="21"/>
        </w:rPr>
        <w:t>下列工程应编制专项施工方案：</w:t>
      </w:r>
      <w:r>
        <w:rPr>
          <w:sz w:val="21"/>
          <w:szCs w:val="21"/>
          <w:u w:val="single"/>
          <w:lang w:val="en-US"/>
        </w:rPr>
        <w:t>/</w:t>
      </w:r>
      <w:r>
        <w:rPr>
          <w:rFonts w:hint="eastAsia"/>
          <w:sz w:val="21"/>
          <w:szCs w:val="21"/>
          <w:lang w:val="en-US"/>
        </w:rPr>
        <w:t>。</w:t>
      </w:r>
      <w:r>
        <w:rPr>
          <w:rFonts w:hint="eastAsia"/>
          <w:sz w:val="21"/>
          <w:szCs w:val="21"/>
        </w:rPr>
        <w:t>其中应组织专家论证和审查的专项施工方案：</w:t>
      </w:r>
      <w:r>
        <w:rPr>
          <w:sz w:val="21"/>
          <w:szCs w:val="21"/>
          <w:u w:val="single"/>
          <w:lang w:val="en-US"/>
        </w:rPr>
        <w:t>/</w:t>
      </w:r>
      <w:r>
        <w:rPr>
          <w:rFonts w:hint="eastAsia"/>
          <w:sz w:val="21"/>
          <w:szCs w:val="21"/>
          <w:lang w:val="en-US"/>
        </w:rPr>
        <w:t>。</w:t>
      </w:r>
    </w:p>
    <w:p w14:paraId="32640DBD">
      <w:pPr>
        <w:pStyle w:val="318"/>
        <w:spacing w:line="360" w:lineRule="auto"/>
        <w:rPr>
          <w:rFonts w:ascii="宋体" w:cs="宋体"/>
          <w:sz w:val="21"/>
          <w:szCs w:val="21"/>
        </w:rPr>
      </w:pPr>
      <w:bookmarkStart w:id="2097" w:name="_Toc256000204"/>
      <w:bookmarkStart w:id="2098" w:name="_Toc256000454"/>
      <w:bookmarkStart w:id="2099" w:name="_Toc3012"/>
      <w:bookmarkStart w:id="2100" w:name="_Toc13952"/>
      <w:r>
        <w:rPr>
          <w:rFonts w:ascii="宋体" w:hAnsi="宋体" w:cs="宋体"/>
          <w:sz w:val="21"/>
          <w:szCs w:val="21"/>
        </w:rPr>
        <w:t>9.7</w:t>
      </w:r>
      <w:r>
        <w:rPr>
          <w:rFonts w:hint="eastAsia" w:ascii="宋体" w:hAnsi="宋体" w:cs="宋体"/>
          <w:sz w:val="21"/>
          <w:szCs w:val="21"/>
        </w:rPr>
        <w:t>文明工地</w:t>
      </w:r>
      <w:bookmarkEnd w:id="2097"/>
      <w:bookmarkEnd w:id="2098"/>
      <w:bookmarkEnd w:id="2099"/>
      <w:bookmarkEnd w:id="2100"/>
    </w:p>
    <w:p w14:paraId="7EA54B13">
      <w:pPr>
        <w:pStyle w:val="246"/>
        <w:spacing w:line="360" w:lineRule="auto"/>
        <w:ind w:firstLine="420" w:firstLineChars="200"/>
        <w:rPr>
          <w:rFonts w:ascii="宋体" w:cs="宋体"/>
          <w:u w:val="single"/>
        </w:rPr>
      </w:pPr>
      <w:r>
        <w:rPr>
          <w:rFonts w:ascii="宋体" w:hAnsi="宋体" w:cs="宋体"/>
        </w:rPr>
        <w:t>9.7. 1</w:t>
      </w:r>
      <w:r>
        <w:rPr>
          <w:rFonts w:hint="eastAsia" w:ascii="宋体" w:hAnsi="宋体" w:cs="宋体"/>
        </w:rPr>
        <w:t>本合同文明工地的约定：</w:t>
      </w:r>
      <w:r>
        <w:rPr>
          <w:rFonts w:hint="eastAsia" w:ascii="宋体" w:hAnsi="宋体" w:cs="宋体"/>
          <w:u w:val="single"/>
          <w:lang w:val="zh-CN"/>
        </w:rPr>
        <w:t>按水利部《水利系统文明建设工地评审管理办法》创建文明建设工地。</w:t>
      </w:r>
    </w:p>
    <w:p w14:paraId="35BBB51D">
      <w:pPr>
        <w:pStyle w:val="318"/>
        <w:spacing w:line="360" w:lineRule="auto"/>
        <w:rPr>
          <w:rFonts w:ascii="宋体" w:cs="宋体"/>
          <w:sz w:val="21"/>
          <w:szCs w:val="21"/>
        </w:rPr>
      </w:pPr>
      <w:bookmarkStart w:id="2101" w:name="bookmark1710"/>
      <w:bookmarkStart w:id="2102" w:name="_Toc845"/>
      <w:bookmarkStart w:id="2103" w:name="bookmark1708"/>
      <w:bookmarkStart w:id="2104" w:name="bookmark1709"/>
      <w:bookmarkStart w:id="2105" w:name="_Toc8738"/>
      <w:bookmarkStart w:id="2106" w:name="_Toc31209"/>
      <w:bookmarkStart w:id="2107" w:name="_Toc256000455"/>
      <w:bookmarkStart w:id="2108" w:name="_Toc15986"/>
      <w:bookmarkStart w:id="2109" w:name="_Toc256000205"/>
      <w:bookmarkStart w:id="2110" w:name="_Toc20970"/>
      <w:r>
        <w:rPr>
          <w:rFonts w:ascii="宋体" w:hAnsi="宋体" w:cs="宋体"/>
          <w:sz w:val="21"/>
          <w:szCs w:val="21"/>
        </w:rPr>
        <w:t xml:space="preserve">11. </w:t>
      </w:r>
      <w:r>
        <w:rPr>
          <w:rFonts w:hint="eastAsia" w:ascii="宋体" w:hAnsi="宋体" w:cs="宋体"/>
          <w:sz w:val="21"/>
          <w:szCs w:val="21"/>
        </w:rPr>
        <w:t>开工和竣工（完工</w:t>
      </w:r>
      <w:bookmarkEnd w:id="2101"/>
      <w:bookmarkEnd w:id="2102"/>
      <w:bookmarkEnd w:id="2103"/>
      <w:bookmarkEnd w:id="2104"/>
      <w:bookmarkEnd w:id="2105"/>
      <w:r>
        <w:rPr>
          <w:rFonts w:hint="eastAsia" w:ascii="宋体" w:hAnsi="宋体" w:cs="宋体"/>
          <w:sz w:val="21"/>
          <w:szCs w:val="21"/>
        </w:rPr>
        <w:t>）</w:t>
      </w:r>
      <w:bookmarkEnd w:id="2106"/>
      <w:bookmarkEnd w:id="2107"/>
      <w:bookmarkEnd w:id="2108"/>
      <w:bookmarkEnd w:id="2109"/>
      <w:bookmarkEnd w:id="2110"/>
    </w:p>
    <w:p w14:paraId="653E8133">
      <w:pPr>
        <w:pStyle w:val="318"/>
        <w:spacing w:line="360" w:lineRule="auto"/>
        <w:rPr>
          <w:rFonts w:ascii="宋体" w:cs="宋体"/>
          <w:sz w:val="21"/>
          <w:szCs w:val="21"/>
        </w:rPr>
      </w:pPr>
      <w:bookmarkStart w:id="2111" w:name="_Toc15865"/>
      <w:bookmarkStart w:id="2112" w:name="_Toc846"/>
      <w:bookmarkStart w:id="2113" w:name="bookmark1711"/>
      <w:bookmarkStart w:id="2114" w:name="_Toc256000206"/>
      <w:bookmarkStart w:id="2115" w:name="bookmark1712"/>
      <w:bookmarkStart w:id="2116" w:name="_Toc256000456"/>
      <w:bookmarkStart w:id="2117" w:name="bookmark1713"/>
      <w:r>
        <w:rPr>
          <w:rFonts w:ascii="宋体" w:hAnsi="宋体" w:cs="宋体"/>
          <w:sz w:val="21"/>
          <w:szCs w:val="21"/>
        </w:rPr>
        <w:t>11.2</w:t>
      </w:r>
      <w:r>
        <w:rPr>
          <w:rFonts w:hint="eastAsia" w:ascii="宋体" w:hAnsi="宋体" w:cs="宋体"/>
          <w:sz w:val="21"/>
          <w:szCs w:val="21"/>
        </w:rPr>
        <w:t>本工程主体工程完工时间为：</w:t>
      </w:r>
      <w:r>
        <w:rPr>
          <w:rFonts w:ascii="宋体" w:cs="宋体"/>
          <w:sz w:val="21"/>
          <w:szCs w:val="21"/>
        </w:rPr>
        <w:tab/>
      </w:r>
      <w:r>
        <w:rPr>
          <w:rFonts w:ascii="宋体" w:hAnsi="宋体" w:cs="宋体"/>
          <w:sz w:val="21"/>
          <w:szCs w:val="21"/>
        </w:rPr>
        <w:t xml:space="preserve">  </w:t>
      </w: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bookmarkEnd w:id="2111"/>
      <w:bookmarkEnd w:id="2112"/>
      <w:bookmarkEnd w:id="2113"/>
      <w:bookmarkEnd w:id="2114"/>
      <w:bookmarkEnd w:id="2115"/>
      <w:bookmarkEnd w:id="2116"/>
      <w:bookmarkEnd w:id="2117"/>
    </w:p>
    <w:p w14:paraId="0F873EE8">
      <w:pPr>
        <w:pStyle w:val="318"/>
        <w:spacing w:line="360" w:lineRule="auto"/>
        <w:rPr>
          <w:rFonts w:ascii="宋体" w:cs="宋体"/>
          <w:sz w:val="21"/>
          <w:szCs w:val="21"/>
        </w:rPr>
      </w:pPr>
      <w:bookmarkStart w:id="2118" w:name="bookmark1715"/>
      <w:bookmarkStart w:id="2119" w:name="bookmark1716"/>
      <w:bookmarkStart w:id="2120" w:name="_Toc256000207"/>
      <w:bookmarkStart w:id="2121" w:name="bookmark1714"/>
      <w:bookmarkStart w:id="2122" w:name="_Toc11634"/>
      <w:bookmarkStart w:id="2123" w:name="_Toc5945"/>
      <w:bookmarkStart w:id="2124" w:name="_Toc256000457"/>
      <w:r>
        <w:rPr>
          <w:rFonts w:ascii="宋体" w:hAnsi="宋体" w:cs="宋体"/>
          <w:sz w:val="21"/>
          <w:szCs w:val="21"/>
        </w:rPr>
        <w:t>11.3</w:t>
      </w:r>
      <w:r>
        <w:rPr>
          <w:rFonts w:hint="eastAsia" w:ascii="宋体" w:hAnsi="宋体" w:cs="宋体"/>
          <w:sz w:val="21"/>
          <w:szCs w:val="21"/>
        </w:rPr>
        <w:t>发包人的工期延误</w:t>
      </w:r>
      <w:bookmarkEnd w:id="2118"/>
      <w:bookmarkEnd w:id="2119"/>
      <w:bookmarkEnd w:id="2120"/>
      <w:bookmarkEnd w:id="2121"/>
      <w:bookmarkEnd w:id="2122"/>
      <w:bookmarkEnd w:id="2123"/>
      <w:bookmarkEnd w:id="2124"/>
    </w:p>
    <w:p w14:paraId="3F948D08">
      <w:pPr>
        <w:pStyle w:val="318"/>
        <w:spacing w:line="360" w:lineRule="auto"/>
        <w:rPr>
          <w:rFonts w:ascii="宋体" w:cs="宋体"/>
          <w:sz w:val="21"/>
          <w:szCs w:val="21"/>
        </w:rPr>
      </w:pPr>
      <w:bookmarkStart w:id="2125" w:name="_Toc26725"/>
      <w:bookmarkStart w:id="2126" w:name="bookmark1717"/>
      <w:bookmarkStart w:id="2127" w:name="_Toc22649"/>
      <w:bookmarkStart w:id="2128" w:name="bookmark1718"/>
      <w:bookmarkStart w:id="2129" w:name="_Toc256000208"/>
      <w:bookmarkStart w:id="2130" w:name="bookmark1719"/>
      <w:bookmarkStart w:id="2131" w:name="_Toc256000458"/>
      <w:r>
        <w:rPr>
          <w:rFonts w:ascii="宋体" w:hAnsi="宋体" w:cs="宋体"/>
          <w:sz w:val="21"/>
          <w:szCs w:val="21"/>
        </w:rPr>
        <w:t>11.4</w:t>
      </w:r>
      <w:r>
        <w:rPr>
          <w:rFonts w:hint="eastAsia" w:ascii="宋体" w:hAnsi="宋体" w:cs="宋体"/>
          <w:sz w:val="21"/>
          <w:szCs w:val="21"/>
        </w:rPr>
        <w:t>异常恶劣的气候条件</w:t>
      </w:r>
      <w:bookmarkEnd w:id="2125"/>
      <w:bookmarkEnd w:id="2126"/>
      <w:bookmarkEnd w:id="2127"/>
      <w:bookmarkEnd w:id="2128"/>
      <w:bookmarkEnd w:id="2129"/>
      <w:bookmarkEnd w:id="2130"/>
      <w:bookmarkEnd w:id="2131"/>
    </w:p>
    <w:p w14:paraId="40A20DBD">
      <w:pPr>
        <w:pStyle w:val="319"/>
        <w:spacing w:after="100"/>
        <w:ind w:firstLine="420"/>
        <w:rPr>
          <w:rFonts w:cs="Times New Roman"/>
          <w:sz w:val="21"/>
          <w:szCs w:val="21"/>
        </w:rPr>
      </w:pPr>
      <w:r>
        <w:rPr>
          <w:sz w:val="21"/>
          <w:szCs w:val="21"/>
          <w:lang w:val="en-US"/>
        </w:rPr>
        <w:t>11.4.3</w:t>
      </w:r>
      <w:r>
        <w:rPr>
          <w:rFonts w:hint="eastAsia"/>
          <w:sz w:val="21"/>
          <w:szCs w:val="21"/>
        </w:rPr>
        <w:t>本合同工程界定异常恶劣气候条件的范围为：</w:t>
      </w:r>
    </w:p>
    <w:p w14:paraId="71C55A1F">
      <w:pPr>
        <w:pStyle w:val="322"/>
        <w:numPr>
          <w:ilvl w:val="0"/>
          <w:numId w:val="38"/>
        </w:numPr>
        <w:tabs>
          <w:tab w:val="left" w:pos="903"/>
        </w:tabs>
        <w:spacing w:after="160"/>
        <w:ind w:firstLine="420"/>
        <w:rPr>
          <w:rFonts w:cs="Times New Roman"/>
          <w:sz w:val="21"/>
          <w:szCs w:val="21"/>
        </w:rPr>
      </w:pPr>
      <w:bookmarkStart w:id="2132" w:name="bookmark1720"/>
      <w:bookmarkEnd w:id="2132"/>
      <w:bookmarkStart w:id="2133" w:name="_Toc256000209"/>
      <w:bookmarkStart w:id="2134" w:name="bookmark1730"/>
      <w:bookmarkStart w:id="2135" w:name="bookmark1728"/>
      <w:bookmarkStart w:id="2136" w:name="bookmark1729"/>
      <w:r>
        <w:rPr>
          <w:rFonts w:hint="eastAsia"/>
          <w:sz w:val="21"/>
          <w:szCs w:val="21"/>
        </w:rPr>
        <w:t>日降雨量大于</w:t>
      </w:r>
      <w:r>
        <w:rPr>
          <w:sz w:val="21"/>
          <w:szCs w:val="21"/>
          <w:lang w:val="en-US"/>
        </w:rPr>
        <w:t>150mm</w:t>
      </w:r>
      <w:r>
        <w:rPr>
          <w:rFonts w:hint="eastAsia"/>
          <w:sz w:val="21"/>
          <w:szCs w:val="21"/>
        </w:rPr>
        <w:t>的雨日超过</w:t>
      </w:r>
      <w:r>
        <w:rPr>
          <w:sz w:val="21"/>
          <w:szCs w:val="21"/>
          <w:lang w:val="en-US"/>
        </w:rPr>
        <w:t>1</w:t>
      </w:r>
      <w:r>
        <w:rPr>
          <w:rFonts w:hint="eastAsia"/>
          <w:sz w:val="21"/>
          <w:szCs w:val="21"/>
        </w:rPr>
        <w:t>天；</w:t>
      </w:r>
    </w:p>
    <w:p w14:paraId="7F2F854C">
      <w:pPr>
        <w:pStyle w:val="322"/>
        <w:numPr>
          <w:ilvl w:val="0"/>
          <w:numId w:val="38"/>
        </w:numPr>
        <w:tabs>
          <w:tab w:val="left" w:pos="903"/>
        </w:tabs>
        <w:spacing w:after="160"/>
        <w:ind w:firstLine="420"/>
        <w:rPr>
          <w:rFonts w:cs="Times New Roman"/>
          <w:sz w:val="21"/>
          <w:szCs w:val="21"/>
        </w:rPr>
      </w:pPr>
      <w:bookmarkStart w:id="2137" w:name="bookmark1721"/>
      <w:bookmarkEnd w:id="2137"/>
      <w:r>
        <w:rPr>
          <w:rFonts w:hint="eastAsia"/>
          <w:sz w:val="21"/>
          <w:szCs w:val="21"/>
        </w:rPr>
        <w:t>风速大于</w:t>
      </w:r>
      <w:r>
        <w:rPr>
          <w:sz w:val="21"/>
          <w:szCs w:val="21"/>
          <w:lang w:val="en-US"/>
        </w:rPr>
        <w:t>10.8-13.8m/s</w:t>
      </w:r>
      <w:r>
        <w:rPr>
          <w:rFonts w:hint="eastAsia"/>
          <w:sz w:val="21"/>
          <w:szCs w:val="21"/>
        </w:rPr>
        <w:t>的</w:t>
      </w:r>
      <w:r>
        <w:rPr>
          <w:rFonts w:hint="eastAsia"/>
          <w:sz w:val="21"/>
          <w:szCs w:val="21"/>
          <w:lang w:val="en-US"/>
        </w:rPr>
        <w:t>六</w:t>
      </w:r>
      <w:r>
        <w:rPr>
          <w:rFonts w:hint="eastAsia"/>
          <w:sz w:val="21"/>
          <w:szCs w:val="21"/>
        </w:rPr>
        <w:t>级以上台风灾害；</w:t>
      </w:r>
    </w:p>
    <w:p w14:paraId="6B171772">
      <w:pPr>
        <w:pStyle w:val="322"/>
        <w:numPr>
          <w:ilvl w:val="0"/>
          <w:numId w:val="38"/>
        </w:numPr>
        <w:tabs>
          <w:tab w:val="left" w:pos="903"/>
        </w:tabs>
        <w:spacing w:after="160"/>
        <w:ind w:firstLine="420"/>
        <w:rPr>
          <w:rFonts w:cs="Times New Roman"/>
          <w:sz w:val="21"/>
          <w:szCs w:val="21"/>
        </w:rPr>
      </w:pPr>
      <w:bookmarkStart w:id="2138" w:name="bookmark1722"/>
      <w:bookmarkEnd w:id="2138"/>
      <w:r>
        <w:rPr>
          <w:rFonts w:hint="eastAsia"/>
          <w:sz w:val="21"/>
          <w:szCs w:val="21"/>
        </w:rPr>
        <w:t>日气温超过</w:t>
      </w:r>
      <w:r>
        <w:rPr>
          <w:sz w:val="21"/>
          <w:szCs w:val="21"/>
          <w:lang w:val="en-US"/>
        </w:rPr>
        <w:t>37</w:t>
      </w:r>
      <w:r>
        <w:rPr>
          <w:rFonts w:hint="eastAsia"/>
          <w:sz w:val="21"/>
          <w:szCs w:val="21"/>
          <w:lang w:val="en-US"/>
        </w:rPr>
        <w:t>℃</w:t>
      </w:r>
      <w:r>
        <w:rPr>
          <w:rFonts w:hint="eastAsia"/>
          <w:sz w:val="21"/>
          <w:szCs w:val="21"/>
        </w:rPr>
        <w:t>的高温大于</w:t>
      </w:r>
      <w:r>
        <w:rPr>
          <w:sz w:val="21"/>
          <w:szCs w:val="21"/>
          <w:lang w:val="en-US"/>
        </w:rPr>
        <w:t>1</w:t>
      </w:r>
      <w:r>
        <w:rPr>
          <w:rFonts w:hint="eastAsia"/>
          <w:sz w:val="21"/>
          <w:szCs w:val="21"/>
        </w:rPr>
        <w:t>天；</w:t>
      </w:r>
    </w:p>
    <w:p w14:paraId="7F3CA543">
      <w:pPr>
        <w:pStyle w:val="322"/>
        <w:numPr>
          <w:ilvl w:val="0"/>
          <w:numId w:val="38"/>
        </w:numPr>
        <w:tabs>
          <w:tab w:val="left" w:pos="903"/>
        </w:tabs>
        <w:spacing w:after="160"/>
        <w:ind w:firstLine="420"/>
        <w:rPr>
          <w:rFonts w:cs="Times New Roman"/>
          <w:sz w:val="21"/>
          <w:szCs w:val="21"/>
        </w:rPr>
      </w:pPr>
      <w:bookmarkStart w:id="2139" w:name="bookmark1723"/>
      <w:bookmarkEnd w:id="2139"/>
      <w:r>
        <w:rPr>
          <w:rFonts w:hint="eastAsia"/>
          <w:sz w:val="21"/>
          <w:szCs w:val="21"/>
        </w:rPr>
        <w:t>日气温低于</w:t>
      </w:r>
      <w:r>
        <w:rPr>
          <w:sz w:val="21"/>
          <w:szCs w:val="21"/>
          <w:lang w:val="en-US"/>
        </w:rPr>
        <w:t>-5</w:t>
      </w:r>
      <w:r>
        <w:rPr>
          <w:rFonts w:hint="eastAsia"/>
          <w:sz w:val="21"/>
          <w:szCs w:val="21"/>
          <w:lang w:val="en-US"/>
        </w:rPr>
        <w:t>℃</w:t>
      </w:r>
      <w:r>
        <w:rPr>
          <w:rFonts w:hint="eastAsia"/>
          <w:sz w:val="21"/>
          <w:szCs w:val="21"/>
        </w:rPr>
        <w:t>的严寒大于</w:t>
      </w:r>
      <w:r>
        <w:rPr>
          <w:sz w:val="21"/>
          <w:szCs w:val="21"/>
          <w:lang w:val="en-US"/>
        </w:rPr>
        <w:t>1</w:t>
      </w:r>
      <w:r>
        <w:rPr>
          <w:rFonts w:hint="eastAsia"/>
          <w:sz w:val="21"/>
          <w:szCs w:val="21"/>
        </w:rPr>
        <w:t>天。</w:t>
      </w:r>
    </w:p>
    <w:p w14:paraId="77AC807A">
      <w:pPr>
        <w:pStyle w:val="322"/>
        <w:numPr>
          <w:ilvl w:val="0"/>
          <w:numId w:val="38"/>
        </w:numPr>
        <w:tabs>
          <w:tab w:val="left" w:pos="903"/>
        </w:tabs>
        <w:spacing w:after="160"/>
        <w:ind w:firstLine="420"/>
        <w:rPr>
          <w:rFonts w:cs="Times New Roman"/>
          <w:sz w:val="21"/>
          <w:szCs w:val="21"/>
        </w:rPr>
      </w:pPr>
      <w:bookmarkStart w:id="2140" w:name="bookmark1724"/>
      <w:bookmarkEnd w:id="2140"/>
      <w:r>
        <w:rPr>
          <w:rFonts w:hint="eastAsia"/>
          <w:sz w:val="21"/>
          <w:szCs w:val="21"/>
        </w:rPr>
        <w:t>造成工程损坏的冰雹和大雪灾害；</w:t>
      </w:r>
    </w:p>
    <w:p w14:paraId="3D7BB795">
      <w:pPr>
        <w:pStyle w:val="322"/>
        <w:numPr>
          <w:ilvl w:val="0"/>
          <w:numId w:val="38"/>
        </w:numPr>
        <w:tabs>
          <w:tab w:val="left" w:pos="903"/>
        </w:tabs>
        <w:spacing w:after="160"/>
        <w:ind w:firstLine="420"/>
        <w:rPr>
          <w:rFonts w:cs="Times New Roman"/>
          <w:sz w:val="21"/>
          <w:szCs w:val="21"/>
        </w:rPr>
      </w:pPr>
      <w:bookmarkStart w:id="2141" w:name="bookmark1725"/>
      <w:bookmarkEnd w:id="2141"/>
      <w:r>
        <w:rPr>
          <w:rFonts w:hint="eastAsia"/>
          <w:sz w:val="21"/>
          <w:szCs w:val="21"/>
          <w:lang w:val="en-US"/>
        </w:rPr>
        <w:t>四</w:t>
      </w:r>
      <w:r>
        <w:rPr>
          <w:rFonts w:hint="eastAsia"/>
          <w:sz w:val="21"/>
          <w:szCs w:val="21"/>
        </w:rPr>
        <w:t>级以上的地震；</w:t>
      </w:r>
    </w:p>
    <w:p w14:paraId="4306570D">
      <w:pPr>
        <w:pStyle w:val="322"/>
        <w:numPr>
          <w:ilvl w:val="0"/>
          <w:numId w:val="38"/>
        </w:numPr>
        <w:tabs>
          <w:tab w:val="left" w:pos="903"/>
        </w:tabs>
        <w:spacing w:after="160"/>
        <w:ind w:firstLine="420"/>
        <w:rPr>
          <w:rFonts w:cs="Times New Roman"/>
          <w:sz w:val="21"/>
          <w:szCs w:val="21"/>
        </w:rPr>
      </w:pPr>
      <w:bookmarkStart w:id="2142" w:name="bookmark1726"/>
      <w:bookmarkEnd w:id="2142"/>
      <w:r>
        <w:rPr>
          <w:sz w:val="21"/>
          <w:szCs w:val="21"/>
          <w:lang w:val="en-US"/>
        </w:rPr>
        <w:t>10</w:t>
      </w:r>
      <w:r>
        <w:rPr>
          <w:rFonts w:hint="eastAsia"/>
          <w:sz w:val="21"/>
          <w:szCs w:val="21"/>
        </w:rPr>
        <w:t>年一遇及以上的洪水；</w:t>
      </w:r>
    </w:p>
    <w:p w14:paraId="1DDB121E">
      <w:pPr>
        <w:pStyle w:val="322"/>
        <w:numPr>
          <w:ilvl w:val="0"/>
          <w:numId w:val="38"/>
        </w:numPr>
        <w:tabs>
          <w:tab w:val="left" w:pos="903"/>
        </w:tabs>
        <w:spacing w:after="160"/>
        <w:ind w:firstLine="420"/>
        <w:rPr>
          <w:rFonts w:cs="Times New Roman"/>
          <w:sz w:val="21"/>
          <w:szCs w:val="21"/>
        </w:rPr>
      </w:pPr>
      <w:bookmarkStart w:id="2143" w:name="bookmark1727"/>
      <w:bookmarkEnd w:id="2143"/>
      <w:r>
        <w:rPr>
          <w:rFonts w:hint="eastAsia"/>
          <w:sz w:val="21"/>
          <w:szCs w:val="21"/>
        </w:rPr>
        <w:t>其他异常恶劣气候灾害。</w:t>
      </w:r>
    </w:p>
    <w:p w14:paraId="415026EE">
      <w:pPr>
        <w:pStyle w:val="318"/>
        <w:spacing w:line="360" w:lineRule="auto"/>
        <w:rPr>
          <w:rFonts w:ascii="宋体" w:cs="宋体"/>
          <w:sz w:val="21"/>
          <w:szCs w:val="21"/>
        </w:rPr>
      </w:pPr>
      <w:bookmarkStart w:id="2144" w:name="_Toc256000459"/>
      <w:bookmarkStart w:id="2145" w:name="_Toc32392"/>
      <w:bookmarkStart w:id="2146" w:name="_Toc9660"/>
      <w:r>
        <w:rPr>
          <w:rFonts w:ascii="宋体" w:hAnsi="宋体" w:cs="宋体"/>
          <w:sz w:val="21"/>
          <w:szCs w:val="21"/>
        </w:rPr>
        <w:t>11.5</w:t>
      </w:r>
      <w:r>
        <w:rPr>
          <w:rFonts w:hint="eastAsia" w:ascii="宋体" w:hAnsi="宋体" w:cs="宋体"/>
          <w:sz w:val="21"/>
          <w:szCs w:val="21"/>
        </w:rPr>
        <w:t>承包人工期延误</w:t>
      </w:r>
      <w:bookmarkEnd w:id="2133"/>
      <w:bookmarkEnd w:id="2134"/>
      <w:bookmarkEnd w:id="2135"/>
      <w:bookmarkEnd w:id="2136"/>
      <w:bookmarkEnd w:id="2144"/>
      <w:bookmarkEnd w:id="2145"/>
      <w:bookmarkEnd w:id="2146"/>
    </w:p>
    <w:p w14:paraId="5F48C325">
      <w:pPr>
        <w:pStyle w:val="319"/>
        <w:spacing w:after="100"/>
        <w:ind w:firstLine="420"/>
        <w:rPr>
          <w:sz w:val="21"/>
          <w:szCs w:val="21"/>
        </w:rPr>
      </w:pPr>
      <w:r>
        <w:rPr>
          <w:sz w:val="21"/>
          <w:szCs w:val="21"/>
        </w:rPr>
        <w:t>(1)</w:t>
      </w:r>
      <w:r>
        <w:rPr>
          <w:rFonts w:hint="eastAsia"/>
          <w:sz w:val="21"/>
          <w:szCs w:val="21"/>
        </w:rPr>
        <w:t>逾期完工违约金表</w:t>
      </w:r>
      <w:r>
        <w:rPr>
          <w:sz w:val="21"/>
          <w:szCs w:val="21"/>
        </w:rPr>
        <w:t>(</w:t>
      </w:r>
      <w:r>
        <w:rPr>
          <w:rFonts w:hint="eastAsia"/>
          <w:sz w:val="21"/>
          <w:szCs w:val="21"/>
        </w:rPr>
        <w:t>参考格式</w:t>
      </w:r>
      <w:r>
        <w:rPr>
          <w:sz w:val="21"/>
          <w:szCs w:val="21"/>
        </w:rPr>
        <w:t>)</w:t>
      </w:r>
    </w:p>
    <w:tbl>
      <w:tblPr>
        <w:tblStyle w:val="44"/>
        <w:tblW w:w="0" w:type="auto"/>
        <w:jc w:val="center"/>
        <w:tblLayout w:type="fixed"/>
        <w:tblCellMar>
          <w:top w:w="0" w:type="dxa"/>
          <w:left w:w="10" w:type="dxa"/>
          <w:bottom w:w="0" w:type="dxa"/>
          <w:right w:w="10" w:type="dxa"/>
        </w:tblCellMar>
      </w:tblPr>
      <w:tblGrid>
        <w:gridCol w:w="576"/>
        <w:gridCol w:w="4536"/>
        <w:gridCol w:w="1699"/>
        <w:gridCol w:w="1541"/>
      </w:tblGrid>
      <w:tr w14:paraId="5439CAC3">
        <w:tblPrEx>
          <w:tblCellMar>
            <w:top w:w="0" w:type="dxa"/>
            <w:left w:w="10" w:type="dxa"/>
            <w:bottom w:w="0" w:type="dxa"/>
            <w:right w:w="10" w:type="dxa"/>
          </w:tblCellMar>
        </w:tblPrEx>
        <w:trPr>
          <w:trHeight w:val="461" w:hRule="exact"/>
          <w:jc w:val="center"/>
        </w:trPr>
        <w:tc>
          <w:tcPr>
            <w:tcW w:w="576" w:type="dxa"/>
            <w:tcBorders>
              <w:top w:val="single" w:color="auto" w:sz="4" w:space="0"/>
              <w:left w:val="single" w:color="auto" w:sz="4" w:space="0"/>
            </w:tcBorders>
            <w:shd w:val="clear" w:color="auto" w:fill="FFFFFF"/>
            <w:vAlign w:val="center"/>
          </w:tcPr>
          <w:p w14:paraId="252C7038">
            <w:pPr>
              <w:pStyle w:val="321"/>
              <w:ind w:firstLine="0"/>
              <w:jc w:val="center"/>
              <w:rPr>
                <w:rFonts w:cs="Times New Roman"/>
                <w:sz w:val="21"/>
                <w:szCs w:val="21"/>
              </w:rPr>
            </w:pPr>
            <w:r>
              <w:rPr>
                <w:rFonts w:hint="eastAsia"/>
                <w:sz w:val="21"/>
                <w:szCs w:val="21"/>
              </w:rPr>
              <w:t>序号</w:t>
            </w:r>
          </w:p>
        </w:tc>
        <w:tc>
          <w:tcPr>
            <w:tcW w:w="4536" w:type="dxa"/>
            <w:tcBorders>
              <w:top w:val="single" w:color="auto" w:sz="4" w:space="0"/>
              <w:left w:val="single" w:color="auto" w:sz="4" w:space="0"/>
            </w:tcBorders>
            <w:shd w:val="clear" w:color="auto" w:fill="FFFFFF"/>
            <w:vAlign w:val="center"/>
          </w:tcPr>
          <w:p w14:paraId="4639326E">
            <w:pPr>
              <w:pStyle w:val="321"/>
              <w:ind w:firstLine="0"/>
              <w:jc w:val="center"/>
              <w:rPr>
                <w:rFonts w:cs="Times New Roman"/>
                <w:sz w:val="21"/>
                <w:szCs w:val="21"/>
              </w:rPr>
            </w:pPr>
            <w:r>
              <w:rPr>
                <w:rFonts w:hint="eastAsia"/>
                <w:sz w:val="21"/>
                <w:szCs w:val="21"/>
              </w:rPr>
              <w:t>项目及其说明</w:t>
            </w:r>
          </w:p>
        </w:tc>
        <w:tc>
          <w:tcPr>
            <w:tcW w:w="1699" w:type="dxa"/>
            <w:tcBorders>
              <w:top w:val="single" w:color="auto" w:sz="4" w:space="0"/>
              <w:left w:val="single" w:color="auto" w:sz="4" w:space="0"/>
            </w:tcBorders>
            <w:shd w:val="clear" w:color="auto" w:fill="FFFFFF"/>
            <w:vAlign w:val="center"/>
          </w:tcPr>
          <w:p w14:paraId="2E3F4879">
            <w:pPr>
              <w:pStyle w:val="321"/>
              <w:ind w:firstLine="0"/>
              <w:jc w:val="center"/>
              <w:rPr>
                <w:rFonts w:cs="Times New Roman"/>
                <w:sz w:val="21"/>
                <w:szCs w:val="21"/>
              </w:rPr>
            </w:pPr>
            <w:r>
              <w:rPr>
                <w:rFonts w:hint="eastAsia"/>
                <w:sz w:val="21"/>
                <w:szCs w:val="21"/>
              </w:rPr>
              <w:t>要求完工日期</w:t>
            </w:r>
          </w:p>
        </w:tc>
        <w:tc>
          <w:tcPr>
            <w:tcW w:w="1541" w:type="dxa"/>
            <w:tcBorders>
              <w:top w:val="single" w:color="auto" w:sz="4" w:space="0"/>
              <w:left w:val="single" w:color="auto" w:sz="4" w:space="0"/>
              <w:right w:val="single" w:color="auto" w:sz="4" w:space="0"/>
            </w:tcBorders>
            <w:shd w:val="clear" w:color="auto" w:fill="FFFFFF"/>
            <w:vAlign w:val="center"/>
          </w:tcPr>
          <w:p w14:paraId="6C18CA19">
            <w:pPr>
              <w:pStyle w:val="321"/>
              <w:ind w:firstLine="0"/>
              <w:jc w:val="center"/>
              <w:rPr>
                <w:sz w:val="21"/>
                <w:szCs w:val="21"/>
              </w:rPr>
            </w:pPr>
            <w:r>
              <w:rPr>
                <w:rFonts w:hint="eastAsia"/>
                <w:sz w:val="21"/>
                <w:szCs w:val="21"/>
              </w:rPr>
              <w:t>违约金</w:t>
            </w:r>
            <w:r>
              <w:rPr>
                <w:sz w:val="21"/>
                <w:szCs w:val="21"/>
              </w:rPr>
              <w:t>(</w:t>
            </w:r>
            <w:r>
              <w:rPr>
                <w:rFonts w:hint="eastAsia"/>
                <w:sz w:val="21"/>
                <w:szCs w:val="21"/>
              </w:rPr>
              <w:t>元</w:t>
            </w:r>
            <w:r>
              <w:rPr>
                <w:sz w:val="21"/>
                <w:szCs w:val="21"/>
              </w:rPr>
              <w:t>/</w:t>
            </w:r>
            <w:r>
              <w:rPr>
                <w:rFonts w:hint="eastAsia"/>
                <w:sz w:val="21"/>
                <w:szCs w:val="21"/>
              </w:rPr>
              <w:t>天</w:t>
            </w:r>
            <w:r>
              <w:rPr>
                <w:sz w:val="21"/>
                <w:szCs w:val="21"/>
              </w:rPr>
              <w:t>)</w:t>
            </w:r>
          </w:p>
        </w:tc>
      </w:tr>
      <w:tr w14:paraId="3A41B491">
        <w:tblPrEx>
          <w:tblCellMar>
            <w:top w:w="0" w:type="dxa"/>
            <w:left w:w="10" w:type="dxa"/>
            <w:bottom w:w="0" w:type="dxa"/>
            <w:right w:w="10" w:type="dxa"/>
          </w:tblCellMar>
        </w:tblPrEx>
        <w:trPr>
          <w:trHeight w:val="451" w:hRule="exact"/>
          <w:jc w:val="center"/>
        </w:trPr>
        <w:tc>
          <w:tcPr>
            <w:tcW w:w="576" w:type="dxa"/>
            <w:tcBorders>
              <w:top w:val="single" w:color="auto" w:sz="4" w:space="0"/>
              <w:left w:val="single" w:color="auto" w:sz="4" w:space="0"/>
            </w:tcBorders>
            <w:shd w:val="clear" w:color="auto" w:fill="FFFFFF"/>
          </w:tcPr>
          <w:p w14:paraId="2BD7A926">
            <w:pPr>
              <w:pStyle w:val="306"/>
              <w:spacing w:line="360" w:lineRule="auto"/>
              <w:rPr>
                <w:rFonts w:ascii="宋体" w:cs="宋体"/>
              </w:rPr>
            </w:pPr>
          </w:p>
        </w:tc>
        <w:tc>
          <w:tcPr>
            <w:tcW w:w="4536" w:type="dxa"/>
            <w:tcBorders>
              <w:top w:val="single" w:color="auto" w:sz="4" w:space="0"/>
              <w:left w:val="single" w:color="auto" w:sz="4" w:space="0"/>
            </w:tcBorders>
            <w:shd w:val="clear" w:color="auto" w:fill="FFFFFF"/>
          </w:tcPr>
          <w:p w14:paraId="61D0138C">
            <w:pPr>
              <w:pStyle w:val="306"/>
              <w:spacing w:line="360" w:lineRule="auto"/>
              <w:rPr>
                <w:rFonts w:ascii="宋体" w:cs="宋体"/>
              </w:rPr>
            </w:pPr>
            <w:r>
              <w:rPr>
                <w:rFonts w:hint="eastAsia" w:ascii="宋体" w:hAnsi="宋体" w:cs="宋体"/>
              </w:rPr>
              <w:t>本项目</w:t>
            </w:r>
            <w:r>
              <w:rPr>
                <w:rFonts w:hint="eastAsia" w:ascii="宋体" w:hAnsi="宋体" w:cs="宋体"/>
                <w:lang w:val="zh-CN"/>
              </w:rPr>
              <w:t>施工图纸及工程量清单包括的全部内容</w:t>
            </w:r>
          </w:p>
        </w:tc>
        <w:tc>
          <w:tcPr>
            <w:tcW w:w="1699" w:type="dxa"/>
            <w:tcBorders>
              <w:top w:val="single" w:color="auto" w:sz="4" w:space="0"/>
              <w:left w:val="single" w:color="auto" w:sz="4" w:space="0"/>
            </w:tcBorders>
            <w:shd w:val="clear" w:color="auto" w:fill="FFFFFF"/>
          </w:tcPr>
          <w:p w14:paraId="5FEB3C91">
            <w:pPr>
              <w:pStyle w:val="306"/>
              <w:spacing w:line="360" w:lineRule="auto"/>
              <w:jc w:val="center"/>
              <w:rPr>
                <w:rFonts w:ascii="宋体" w:cs="宋体"/>
              </w:rPr>
            </w:pPr>
            <w:r>
              <w:rPr>
                <w:rFonts w:hint="eastAsia" w:ascii="宋体" w:hAnsi="宋体" w:cs="宋体"/>
              </w:rPr>
              <w:t>合同工期</w:t>
            </w:r>
          </w:p>
        </w:tc>
        <w:tc>
          <w:tcPr>
            <w:tcW w:w="1541" w:type="dxa"/>
            <w:tcBorders>
              <w:top w:val="single" w:color="auto" w:sz="4" w:space="0"/>
              <w:left w:val="single" w:color="auto" w:sz="4" w:space="0"/>
              <w:right w:val="single" w:color="auto" w:sz="4" w:space="0"/>
            </w:tcBorders>
            <w:shd w:val="clear" w:color="auto" w:fill="FFFFFF"/>
          </w:tcPr>
          <w:p w14:paraId="04C536EA">
            <w:pPr>
              <w:pStyle w:val="306"/>
              <w:spacing w:line="360" w:lineRule="auto"/>
              <w:jc w:val="center"/>
              <w:rPr>
                <w:rFonts w:ascii="宋体" w:hAnsi="宋体" w:cs="宋体"/>
              </w:rPr>
            </w:pPr>
            <w:r>
              <w:rPr>
                <w:rFonts w:ascii="宋体" w:hAnsi="宋体" w:cs="宋体"/>
              </w:rPr>
              <w:t>500</w:t>
            </w:r>
          </w:p>
        </w:tc>
      </w:tr>
      <w:tr w14:paraId="13C70D1A">
        <w:tblPrEx>
          <w:tblCellMar>
            <w:top w:w="0" w:type="dxa"/>
            <w:left w:w="10" w:type="dxa"/>
            <w:bottom w:w="0" w:type="dxa"/>
            <w:right w:w="10" w:type="dxa"/>
          </w:tblCellMar>
        </w:tblPrEx>
        <w:trPr>
          <w:trHeight w:val="456" w:hRule="exact"/>
          <w:jc w:val="center"/>
        </w:trPr>
        <w:tc>
          <w:tcPr>
            <w:tcW w:w="576" w:type="dxa"/>
            <w:tcBorders>
              <w:top w:val="single" w:color="auto" w:sz="4" w:space="0"/>
              <w:left w:val="single" w:color="auto" w:sz="4" w:space="0"/>
            </w:tcBorders>
            <w:shd w:val="clear" w:color="auto" w:fill="FFFFFF"/>
          </w:tcPr>
          <w:p w14:paraId="605FF163">
            <w:pPr>
              <w:pStyle w:val="306"/>
              <w:spacing w:line="360" w:lineRule="auto"/>
              <w:rPr>
                <w:rFonts w:ascii="宋体" w:cs="宋体"/>
              </w:rPr>
            </w:pPr>
          </w:p>
        </w:tc>
        <w:tc>
          <w:tcPr>
            <w:tcW w:w="4536" w:type="dxa"/>
            <w:tcBorders>
              <w:top w:val="single" w:color="auto" w:sz="4" w:space="0"/>
              <w:left w:val="single" w:color="auto" w:sz="4" w:space="0"/>
            </w:tcBorders>
            <w:shd w:val="clear" w:color="auto" w:fill="FFFFFF"/>
          </w:tcPr>
          <w:p w14:paraId="0976CFEC">
            <w:pPr>
              <w:pStyle w:val="306"/>
              <w:spacing w:line="360" w:lineRule="auto"/>
              <w:rPr>
                <w:rFonts w:ascii="宋体" w:cs="宋体"/>
              </w:rPr>
            </w:pPr>
          </w:p>
        </w:tc>
        <w:tc>
          <w:tcPr>
            <w:tcW w:w="1699" w:type="dxa"/>
            <w:tcBorders>
              <w:top w:val="single" w:color="auto" w:sz="4" w:space="0"/>
              <w:left w:val="single" w:color="auto" w:sz="4" w:space="0"/>
            </w:tcBorders>
            <w:shd w:val="clear" w:color="auto" w:fill="FFFFFF"/>
          </w:tcPr>
          <w:p w14:paraId="062BD5BE">
            <w:pPr>
              <w:pStyle w:val="306"/>
              <w:spacing w:line="360" w:lineRule="auto"/>
              <w:rPr>
                <w:rFonts w:ascii="宋体" w:cs="宋体"/>
              </w:rPr>
            </w:pPr>
          </w:p>
        </w:tc>
        <w:tc>
          <w:tcPr>
            <w:tcW w:w="1541" w:type="dxa"/>
            <w:tcBorders>
              <w:top w:val="single" w:color="auto" w:sz="4" w:space="0"/>
              <w:left w:val="single" w:color="auto" w:sz="4" w:space="0"/>
              <w:right w:val="single" w:color="auto" w:sz="4" w:space="0"/>
            </w:tcBorders>
            <w:shd w:val="clear" w:color="auto" w:fill="FFFFFF"/>
          </w:tcPr>
          <w:p w14:paraId="2BF38A56">
            <w:pPr>
              <w:pStyle w:val="306"/>
              <w:spacing w:line="360" w:lineRule="auto"/>
              <w:rPr>
                <w:rFonts w:ascii="宋体" w:cs="宋体"/>
              </w:rPr>
            </w:pPr>
          </w:p>
        </w:tc>
      </w:tr>
      <w:tr w14:paraId="79839650">
        <w:tblPrEx>
          <w:tblCellMar>
            <w:top w:w="0" w:type="dxa"/>
            <w:left w:w="10" w:type="dxa"/>
            <w:bottom w:w="0" w:type="dxa"/>
            <w:right w:w="10" w:type="dxa"/>
          </w:tblCellMar>
        </w:tblPrEx>
        <w:trPr>
          <w:trHeight w:val="466" w:hRule="exact"/>
          <w:jc w:val="center"/>
        </w:trPr>
        <w:tc>
          <w:tcPr>
            <w:tcW w:w="576" w:type="dxa"/>
            <w:tcBorders>
              <w:top w:val="single" w:color="auto" w:sz="4" w:space="0"/>
              <w:left w:val="single" w:color="auto" w:sz="4" w:space="0"/>
              <w:bottom w:val="single" w:color="auto" w:sz="4" w:space="0"/>
            </w:tcBorders>
            <w:shd w:val="clear" w:color="auto" w:fill="FFFFFF"/>
          </w:tcPr>
          <w:p w14:paraId="7C7B54A6">
            <w:pPr>
              <w:pStyle w:val="306"/>
              <w:spacing w:line="360" w:lineRule="auto"/>
              <w:rPr>
                <w:rFonts w:ascii="宋体" w:cs="宋体"/>
              </w:rPr>
            </w:pPr>
          </w:p>
        </w:tc>
        <w:tc>
          <w:tcPr>
            <w:tcW w:w="4536" w:type="dxa"/>
            <w:tcBorders>
              <w:top w:val="single" w:color="auto" w:sz="4" w:space="0"/>
              <w:left w:val="single" w:color="auto" w:sz="4" w:space="0"/>
              <w:bottom w:val="single" w:color="auto" w:sz="4" w:space="0"/>
            </w:tcBorders>
            <w:shd w:val="clear" w:color="auto" w:fill="FFFFFF"/>
          </w:tcPr>
          <w:p w14:paraId="27A29C34">
            <w:pPr>
              <w:pStyle w:val="306"/>
              <w:spacing w:line="360" w:lineRule="auto"/>
              <w:rPr>
                <w:rFonts w:ascii="宋体" w:cs="宋体"/>
              </w:rPr>
            </w:pPr>
          </w:p>
        </w:tc>
        <w:tc>
          <w:tcPr>
            <w:tcW w:w="1699" w:type="dxa"/>
            <w:tcBorders>
              <w:top w:val="single" w:color="auto" w:sz="4" w:space="0"/>
              <w:left w:val="single" w:color="auto" w:sz="4" w:space="0"/>
              <w:bottom w:val="single" w:color="auto" w:sz="4" w:space="0"/>
            </w:tcBorders>
            <w:shd w:val="clear" w:color="auto" w:fill="FFFFFF"/>
          </w:tcPr>
          <w:p w14:paraId="3448E50F">
            <w:pPr>
              <w:pStyle w:val="306"/>
              <w:spacing w:line="360" w:lineRule="auto"/>
              <w:rPr>
                <w:rFonts w:ascii="宋体" w:cs="宋体"/>
              </w:rPr>
            </w:pPr>
          </w:p>
        </w:tc>
        <w:tc>
          <w:tcPr>
            <w:tcW w:w="1541" w:type="dxa"/>
            <w:tcBorders>
              <w:top w:val="single" w:color="auto" w:sz="4" w:space="0"/>
              <w:left w:val="single" w:color="auto" w:sz="4" w:space="0"/>
              <w:bottom w:val="single" w:color="auto" w:sz="4" w:space="0"/>
              <w:right w:val="single" w:color="auto" w:sz="4" w:space="0"/>
            </w:tcBorders>
            <w:shd w:val="clear" w:color="auto" w:fill="FFFFFF"/>
          </w:tcPr>
          <w:p w14:paraId="248D2756">
            <w:pPr>
              <w:pStyle w:val="306"/>
              <w:spacing w:line="360" w:lineRule="auto"/>
              <w:rPr>
                <w:rFonts w:ascii="宋体" w:cs="宋体"/>
              </w:rPr>
            </w:pPr>
          </w:p>
        </w:tc>
      </w:tr>
    </w:tbl>
    <w:p w14:paraId="13DE5E48">
      <w:pPr>
        <w:pStyle w:val="319"/>
        <w:tabs>
          <w:tab w:val="left" w:pos="7999"/>
        </w:tabs>
        <w:ind w:firstLine="420" w:firstLineChars="200"/>
        <w:rPr>
          <w:rFonts w:cs="Times New Roman"/>
          <w:sz w:val="21"/>
          <w:szCs w:val="21"/>
        </w:rPr>
      </w:pPr>
      <w:r>
        <w:rPr>
          <w:rFonts w:hint="eastAsia"/>
          <w:sz w:val="21"/>
          <w:szCs w:val="21"/>
        </w:rPr>
        <w:t>承包人如未能按上表各节点要求的完工日期前完工，逾期完工违约金按</w:t>
      </w:r>
      <w:r>
        <w:rPr>
          <w:sz w:val="21"/>
          <w:szCs w:val="21"/>
          <w:lang w:val="en-US"/>
        </w:rPr>
        <w:t>500</w:t>
      </w:r>
      <w:r>
        <w:rPr>
          <w:rFonts w:hint="eastAsia"/>
          <w:sz w:val="21"/>
          <w:szCs w:val="21"/>
        </w:rPr>
        <w:t>元</w:t>
      </w:r>
      <w:r>
        <w:rPr>
          <w:sz w:val="21"/>
          <w:szCs w:val="21"/>
        </w:rPr>
        <w:t xml:space="preserve">/ </w:t>
      </w:r>
      <w:r>
        <w:rPr>
          <w:rFonts w:hint="eastAsia"/>
          <w:sz w:val="21"/>
          <w:szCs w:val="21"/>
        </w:rPr>
        <w:t>天计算。</w:t>
      </w:r>
    </w:p>
    <w:p w14:paraId="6569E9E9">
      <w:pPr>
        <w:pStyle w:val="319"/>
        <w:numPr>
          <w:ilvl w:val="0"/>
          <w:numId w:val="39"/>
        </w:numPr>
        <w:tabs>
          <w:tab w:val="left" w:pos="922"/>
          <w:tab w:val="left" w:pos="6190"/>
        </w:tabs>
        <w:spacing w:after="160"/>
        <w:ind w:firstLine="440"/>
        <w:rPr>
          <w:rFonts w:cs="Times New Roman"/>
          <w:sz w:val="21"/>
          <w:szCs w:val="21"/>
        </w:rPr>
      </w:pPr>
      <w:bookmarkStart w:id="2147" w:name="bookmark1731"/>
      <w:bookmarkEnd w:id="2147"/>
      <w:r>
        <w:rPr>
          <w:rFonts w:hint="eastAsia"/>
          <w:sz w:val="21"/>
          <w:szCs w:val="21"/>
        </w:rPr>
        <w:t>全部逾期完工违约金的总限额不超过合同总价的</w:t>
      </w:r>
      <w:r>
        <w:rPr>
          <w:sz w:val="21"/>
          <w:szCs w:val="21"/>
        </w:rPr>
        <w:t>3%,</w:t>
      </w:r>
      <w:r>
        <w:rPr>
          <w:rFonts w:hint="eastAsia"/>
          <w:sz w:val="21"/>
          <w:szCs w:val="21"/>
        </w:rPr>
        <w:t>发包人可从应向承包人支付的任何金额中扣除此项违约金或以其他方式收回此款，此违约金的支付并不能解除承包人应完成工程的责任或合同规定的其他责任。</w:t>
      </w:r>
    </w:p>
    <w:p w14:paraId="2C0CF26E">
      <w:pPr>
        <w:pStyle w:val="318"/>
        <w:spacing w:line="360" w:lineRule="auto"/>
        <w:rPr>
          <w:rFonts w:ascii="宋体" w:cs="宋体"/>
          <w:sz w:val="21"/>
          <w:szCs w:val="21"/>
        </w:rPr>
      </w:pPr>
      <w:bookmarkStart w:id="2148" w:name="_Toc256000210"/>
      <w:bookmarkStart w:id="2149" w:name="bookmark1732"/>
      <w:bookmarkStart w:id="2150" w:name="_Toc13022"/>
      <w:bookmarkStart w:id="2151" w:name="_Toc256000460"/>
      <w:bookmarkStart w:id="2152" w:name="_Toc32217"/>
      <w:bookmarkStart w:id="2153" w:name="bookmark1734"/>
      <w:bookmarkStart w:id="2154" w:name="bookmark1733"/>
      <w:r>
        <w:rPr>
          <w:rFonts w:ascii="宋体" w:hAnsi="宋体" w:cs="宋体"/>
          <w:sz w:val="21"/>
          <w:szCs w:val="21"/>
        </w:rPr>
        <w:t>11.6</w:t>
      </w:r>
      <w:r>
        <w:rPr>
          <w:rFonts w:hint="eastAsia" w:ascii="宋体" w:hAnsi="宋体" w:cs="宋体"/>
          <w:sz w:val="21"/>
          <w:szCs w:val="21"/>
        </w:rPr>
        <w:t>工期提前</w:t>
      </w:r>
      <w:bookmarkEnd w:id="2148"/>
      <w:bookmarkEnd w:id="2149"/>
      <w:bookmarkEnd w:id="2150"/>
      <w:bookmarkEnd w:id="2151"/>
      <w:bookmarkEnd w:id="2152"/>
      <w:bookmarkEnd w:id="2153"/>
      <w:bookmarkEnd w:id="2154"/>
    </w:p>
    <w:p w14:paraId="738D4162">
      <w:pPr>
        <w:pStyle w:val="319"/>
        <w:tabs>
          <w:tab w:val="left" w:pos="8218"/>
        </w:tabs>
        <w:ind w:firstLine="420"/>
        <w:rPr>
          <w:rFonts w:cs="Times New Roman"/>
          <w:sz w:val="21"/>
          <w:szCs w:val="21"/>
        </w:rPr>
      </w:pPr>
      <w:r>
        <w:rPr>
          <w:rFonts w:hint="eastAsia"/>
          <w:sz w:val="21"/>
          <w:szCs w:val="21"/>
        </w:rPr>
        <w:t>工期提前的资金约定：</w:t>
      </w:r>
      <w:r>
        <w:rPr>
          <w:sz w:val="21"/>
          <w:szCs w:val="21"/>
          <w:u w:val="single"/>
        </w:rPr>
        <w:t xml:space="preserve"> </w:t>
      </w:r>
      <w:r>
        <w:rPr>
          <w:rFonts w:hint="eastAsia"/>
          <w:sz w:val="21"/>
          <w:szCs w:val="21"/>
          <w:u w:val="single"/>
        </w:rPr>
        <w:t>在保证工程质量的前提下，发包人鼓励承包人提前完工，但本合同工程无提前工期奖金</w:t>
      </w:r>
      <w:r>
        <w:rPr>
          <w:sz w:val="21"/>
          <w:szCs w:val="21"/>
          <w:u w:val="single"/>
        </w:rPr>
        <w:t xml:space="preserve"> </w:t>
      </w:r>
      <w:r>
        <w:rPr>
          <w:sz w:val="21"/>
          <w:szCs w:val="21"/>
        </w:rPr>
        <w:t xml:space="preserve"> </w:t>
      </w:r>
      <w:r>
        <w:rPr>
          <w:rFonts w:hint="eastAsia"/>
          <w:sz w:val="21"/>
          <w:szCs w:val="21"/>
          <w:lang w:val="en-US"/>
        </w:rPr>
        <w:t>。</w:t>
      </w:r>
    </w:p>
    <w:p w14:paraId="63E1D911">
      <w:pPr>
        <w:pStyle w:val="318"/>
        <w:spacing w:line="360" w:lineRule="auto"/>
        <w:rPr>
          <w:rFonts w:ascii="宋体" w:cs="宋体"/>
          <w:sz w:val="21"/>
          <w:szCs w:val="21"/>
        </w:rPr>
      </w:pPr>
      <w:bookmarkStart w:id="2155" w:name="_Toc24236"/>
      <w:bookmarkStart w:id="2156" w:name="_Toc256000211"/>
      <w:bookmarkStart w:id="2157" w:name="bookmark1736"/>
      <w:bookmarkStart w:id="2158" w:name="_Toc256000461"/>
      <w:bookmarkStart w:id="2159" w:name="_Toc6849"/>
      <w:bookmarkStart w:id="2160" w:name="bookmark1737"/>
      <w:bookmarkStart w:id="2161" w:name="_Toc19689"/>
      <w:bookmarkStart w:id="2162" w:name="bookmark1735"/>
      <w:bookmarkStart w:id="2163" w:name="_Toc24244"/>
      <w:bookmarkStart w:id="2164" w:name="_Toc23224"/>
      <w:r>
        <w:rPr>
          <w:rFonts w:ascii="宋体" w:hAnsi="宋体" w:cs="宋体"/>
          <w:sz w:val="21"/>
          <w:szCs w:val="21"/>
        </w:rPr>
        <w:t xml:space="preserve">12. </w:t>
      </w:r>
      <w:r>
        <w:rPr>
          <w:rFonts w:hint="eastAsia" w:ascii="宋体" w:hAnsi="宋体" w:cs="宋体"/>
          <w:sz w:val="21"/>
          <w:szCs w:val="21"/>
        </w:rPr>
        <w:t>暂停施工</w:t>
      </w:r>
      <w:bookmarkEnd w:id="2155"/>
      <w:bookmarkEnd w:id="2156"/>
      <w:bookmarkEnd w:id="2157"/>
      <w:bookmarkEnd w:id="2158"/>
      <w:bookmarkEnd w:id="2159"/>
      <w:bookmarkEnd w:id="2160"/>
      <w:bookmarkEnd w:id="2161"/>
      <w:bookmarkEnd w:id="2162"/>
      <w:bookmarkEnd w:id="2163"/>
      <w:bookmarkEnd w:id="2164"/>
    </w:p>
    <w:p w14:paraId="3B5B81F5">
      <w:pPr>
        <w:pStyle w:val="318"/>
        <w:spacing w:line="360" w:lineRule="auto"/>
        <w:rPr>
          <w:rFonts w:ascii="宋体" w:cs="宋体"/>
          <w:sz w:val="21"/>
          <w:szCs w:val="21"/>
        </w:rPr>
      </w:pPr>
      <w:bookmarkStart w:id="2165" w:name="bookmark1738"/>
      <w:bookmarkStart w:id="2166" w:name="_Toc256000212"/>
      <w:bookmarkStart w:id="2167" w:name="bookmark1739"/>
      <w:bookmarkStart w:id="2168" w:name="_Toc29710"/>
      <w:bookmarkStart w:id="2169" w:name="_Toc256000462"/>
      <w:bookmarkStart w:id="2170" w:name="bookmark1740"/>
      <w:bookmarkStart w:id="2171" w:name="_Toc6629"/>
      <w:r>
        <w:rPr>
          <w:rFonts w:ascii="宋体" w:hAnsi="宋体" w:cs="宋体"/>
          <w:sz w:val="21"/>
          <w:szCs w:val="21"/>
        </w:rPr>
        <w:t>12.1</w:t>
      </w:r>
      <w:r>
        <w:rPr>
          <w:rFonts w:hint="eastAsia" w:ascii="宋体" w:hAnsi="宋体" w:cs="宋体"/>
          <w:sz w:val="21"/>
          <w:szCs w:val="21"/>
        </w:rPr>
        <w:t>承包人暂停施工的责任</w:t>
      </w:r>
      <w:bookmarkEnd w:id="2165"/>
      <w:bookmarkEnd w:id="2166"/>
      <w:bookmarkEnd w:id="2167"/>
      <w:bookmarkEnd w:id="2168"/>
      <w:bookmarkEnd w:id="2169"/>
      <w:bookmarkEnd w:id="2170"/>
      <w:bookmarkEnd w:id="2171"/>
    </w:p>
    <w:p w14:paraId="35EACEB1">
      <w:pPr>
        <w:pStyle w:val="319"/>
        <w:tabs>
          <w:tab w:val="left" w:pos="8220"/>
        </w:tabs>
        <w:ind w:left="440" w:firstLine="0"/>
        <w:rPr>
          <w:rFonts w:cs="Times New Roman"/>
          <w:sz w:val="21"/>
          <w:szCs w:val="21"/>
          <w:lang w:val="en-US"/>
        </w:rPr>
      </w:pPr>
      <w:bookmarkStart w:id="2172" w:name="bookmark1741"/>
      <w:bookmarkEnd w:id="2172"/>
      <w:r>
        <w:rPr>
          <w:rFonts w:hint="eastAsia"/>
          <w:sz w:val="21"/>
          <w:szCs w:val="21"/>
        </w:rPr>
        <w:t>包人承担暂停施工责任的其它情形：</w:t>
      </w:r>
      <w:r>
        <w:rPr>
          <w:rFonts w:hint="eastAsia"/>
          <w:sz w:val="21"/>
          <w:szCs w:val="21"/>
          <w:u w:val="single"/>
        </w:rPr>
        <w:t>属于下列任何一种情况引起的暂停施工，承包人不能提出增加费用和延长工期的要求</w:t>
      </w:r>
      <w:r>
        <w:rPr>
          <w:sz w:val="21"/>
          <w:szCs w:val="21"/>
          <w:u w:val="single"/>
        </w:rPr>
        <w:t xml:space="preserve">  </w:t>
      </w:r>
      <w:r>
        <w:rPr>
          <w:rFonts w:hint="eastAsia"/>
          <w:sz w:val="21"/>
          <w:szCs w:val="21"/>
          <w:lang w:val="en-US"/>
        </w:rPr>
        <w:t>。</w:t>
      </w:r>
    </w:p>
    <w:p w14:paraId="6177C7EA">
      <w:pPr>
        <w:pStyle w:val="319"/>
        <w:tabs>
          <w:tab w:val="left" w:pos="8220"/>
        </w:tabs>
        <w:ind w:left="440" w:firstLine="0"/>
        <w:rPr>
          <w:rFonts w:cs="Times New Roman"/>
          <w:sz w:val="21"/>
          <w:szCs w:val="21"/>
          <w:lang w:val="en-US"/>
        </w:rPr>
      </w:pPr>
      <w:r>
        <w:rPr>
          <w:rFonts w:hint="eastAsia"/>
          <w:sz w:val="21"/>
          <w:szCs w:val="21"/>
          <w:lang w:val="en-US"/>
        </w:rPr>
        <w:t>①</w:t>
      </w:r>
      <w:r>
        <w:rPr>
          <w:sz w:val="21"/>
          <w:szCs w:val="21"/>
          <w:lang w:val="en-US"/>
        </w:rPr>
        <w:t xml:space="preserve"> </w:t>
      </w:r>
      <w:r>
        <w:rPr>
          <w:rFonts w:hint="eastAsia"/>
          <w:sz w:val="21"/>
          <w:szCs w:val="21"/>
          <w:lang w:val="en-US"/>
        </w:rPr>
        <w:t>合同中另有规定的。</w:t>
      </w:r>
    </w:p>
    <w:p w14:paraId="135BBDEF">
      <w:pPr>
        <w:pStyle w:val="319"/>
        <w:tabs>
          <w:tab w:val="left" w:pos="8220"/>
        </w:tabs>
        <w:ind w:left="440" w:firstLine="0"/>
        <w:rPr>
          <w:rFonts w:cs="Times New Roman"/>
          <w:sz w:val="21"/>
          <w:szCs w:val="21"/>
          <w:lang w:val="en-US"/>
        </w:rPr>
      </w:pPr>
      <w:r>
        <w:rPr>
          <w:rFonts w:hint="eastAsia"/>
          <w:sz w:val="21"/>
          <w:szCs w:val="21"/>
          <w:lang w:val="en-US"/>
        </w:rPr>
        <w:t>②</w:t>
      </w:r>
      <w:r>
        <w:rPr>
          <w:sz w:val="21"/>
          <w:szCs w:val="21"/>
          <w:lang w:val="en-US"/>
        </w:rPr>
        <w:t xml:space="preserve"> </w:t>
      </w:r>
      <w:r>
        <w:rPr>
          <w:rFonts w:hint="eastAsia"/>
          <w:sz w:val="21"/>
          <w:szCs w:val="21"/>
          <w:lang w:val="en-US"/>
        </w:rPr>
        <w:t>由于承包人违约引起的暂停施工。</w:t>
      </w:r>
    </w:p>
    <w:p w14:paraId="7E6C4170">
      <w:pPr>
        <w:pStyle w:val="319"/>
        <w:tabs>
          <w:tab w:val="left" w:pos="8220"/>
        </w:tabs>
        <w:ind w:left="440" w:firstLine="0"/>
        <w:rPr>
          <w:rFonts w:cs="Times New Roman"/>
          <w:sz w:val="21"/>
          <w:szCs w:val="21"/>
          <w:lang w:val="en-US"/>
        </w:rPr>
      </w:pPr>
      <w:r>
        <w:rPr>
          <w:rFonts w:hint="eastAsia"/>
          <w:sz w:val="21"/>
          <w:szCs w:val="21"/>
          <w:lang w:val="en-US"/>
        </w:rPr>
        <w:t>③</w:t>
      </w:r>
      <w:r>
        <w:rPr>
          <w:sz w:val="21"/>
          <w:szCs w:val="21"/>
          <w:lang w:val="en-US"/>
        </w:rPr>
        <w:t xml:space="preserve"> </w:t>
      </w:r>
      <w:r>
        <w:rPr>
          <w:rFonts w:hint="eastAsia"/>
          <w:sz w:val="21"/>
          <w:szCs w:val="21"/>
          <w:lang w:val="en-US"/>
        </w:rPr>
        <w:t>由于现场非异常恶劣气候条件引起的正常停工。</w:t>
      </w:r>
    </w:p>
    <w:p w14:paraId="7FC1EBAF">
      <w:pPr>
        <w:pStyle w:val="319"/>
        <w:tabs>
          <w:tab w:val="left" w:pos="8220"/>
        </w:tabs>
        <w:ind w:left="440" w:firstLine="0"/>
        <w:rPr>
          <w:rFonts w:cs="Times New Roman"/>
          <w:sz w:val="21"/>
          <w:szCs w:val="21"/>
          <w:lang w:val="en-US"/>
        </w:rPr>
      </w:pPr>
      <w:r>
        <w:rPr>
          <w:rFonts w:hint="eastAsia"/>
          <w:sz w:val="21"/>
          <w:szCs w:val="21"/>
          <w:lang w:val="en-US"/>
        </w:rPr>
        <w:t>④由于承包人为工程的合理施工和保证安全所必须的暂停施工（不包括每年的汛期的正常停工）。</w:t>
      </w:r>
    </w:p>
    <w:p w14:paraId="0C3C5438">
      <w:pPr>
        <w:pStyle w:val="319"/>
        <w:tabs>
          <w:tab w:val="left" w:pos="8220"/>
        </w:tabs>
        <w:ind w:left="440" w:firstLine="0"/>
        <w:rPr>
          <w:rFonts w:cs="Times New Roman"/>
          <w:sz w:val="21"/>
          <w:szCs w:val="21"/>
          <w:lang w:val="en-US"/>
        </w:rPr>
      </w:pPr>
      <w:r>
        <w:rPr>
          <w:rFonts w:hint="eastAsia"/>
          <w:sz w:val="21"/>
          <w:szCs w:val="21"/>
          <w:lang w:val="en-US"/>
        </w:rPr>
        <w:t>⑤</w:t>
      </w:r>
      <w:r>
        <w:rPr>
          <w:sz w:val="21"/>
          <w:szCs w:val="21"/>
          <w:lang w:val="en-US"/>
        </w:rPr>
        <w:t xml:space="preserve"> </w:t>
      </w:r>
      <w:r>
        <w:rPr>
          <w:rFonts w:hint="eastAsia"/>
          <w:sz w:val="21"/>
          <w:szCs w:val="21"/>
          <w:lang w:val="en-US"/>
        </w:rPr>
        <w:t>未得到监理人许可的承包人擅自停工。</w:t>
      </w:r>
    </w:p>
    <w:p w14:paraId="6BD9AE45">
      <w:pPr>
        <w:pStyle w:val="319"/>
        <w:tabs>
          <w:tab w:val="left" w:pos="8220"/>
        </w:tabs>
        <w:ind w:left="440" w:firstLine="0"/>
        <w:rPr>
          <w:rFonts w:cs="Times New Roman"/>
          <w:sz w:val="21"/>
          <w:szCs w:val="21"/>
          <w:lang w:val="en-US"/>
        </w:rPr>
      </w:pPr>
      <w:r>
        <w:rPr>
          <w:rFonts w:hint="eastAsia"/>
          <w:sz w:val="21"/>
          <w:szCs w:val="21"/>
          <w:lang w:val="en-US"/>
        </w:rPr>
        <w:t>⑥</w:t>
      </w:r>
      <w:r>
        <w:rPr>
          <w:sz w:val="21"/>
          <w:szCs w:val="21"/>
          <w:lang w:val="en-US"/>
        </w:rPr>
        <w:t xml:space="preserve"> </w:t>
      </w:r>
      <w:r>
        <w:rPr>
          <w:rFonts w:hint="eastAsia"/>
          <w:sz w:val="21"/>
          <w:szCs w:val="21"/>
          <w:lang w:val="en-US"/>
        </w:rPr>
        <w:t>其它由于承包人原因引起的暂停施工。</w:t>
      </w:r>
    </w:p>
    <w:p w14:paraId="2D3A7FCA">
      <w:pPr>
        <w:pStyle w:val="318"/>
        <w:spacing w:line="360" w:lineRule="auto"/>
        <w:rPr>
          <w:rFonts w:ascii="宋体" w:cs="宋体"/>
          <w:sz w:val="21"/>
          <w:szCs w:val="21"/>
        </w:rPr>
      </w:pPr>
      <w:bookmarkStart w:id="2173" w:name="_Toc20425"/>
      <w:bookmarkStart w:id="2174" w:name="_Toc843"/>
      <w:bookmarkStart w:id="2175" w:name="_Toc256000213"/>
      <w:bookmarkStart w:id="2176" w:name="_Toc256000463"/>
      <w:r>
        <w:rPr>
          <w:rFonts w:ascii="宋体" w:hAnsi="宋体" w:cs="宋体"/>
          <w:sz w:val="21"/>
          <w:szCs w:val="21"/>
        </w:rPr>
        <w:t>12.2</w:t>
      </w:r>
      <w:r>
        <w:rPr>
          <w:rFonts w:hint="eastAsia" w:ascii="宋体" w:hAnsi="宋体" w:cs="宋体"/>
          <w:sz w:val="21"/>
          <w:szCs w:val="21"/>
        </w:rPr>
        <w:t>发包人暂停施工的责任</w:t>
      </w:r>
      <w:bookmarkEnd w:id="2173"/>
      <w:bookmarkEnd w:id="2174"/>
      <w:bookmarkEnd w:id="2175"/>
      <w:bookmarkEnd w:id="2176"/>
    </w:p>
    <w:p w14:paraId="1AA95423">
      <w:pPr>
        <w:pStyle w:val="319"/>
        <w:numPr>
          <w:ilvl w:val="0"/>
          <w:numId w:val="39"/>
        </w:numPr>
        <w:tabs>
          <w:tab w:val="left" w:pos="923"/>
          <w:tab w:val="left" w:pos="8218"/>
        </w:tabs>
        <w:spacing w:after="140"/>
        <w:ind w:firstLine="440"/>
        <w:rPr>
          <w:rFonts w:cs="Times New Roman"/>
          <w:sz w:val="21"/>
          <w:szCs w:val="21"/>
        </w:rPr>
      </w:pPr>
      <w:bookmarkStart w:id="2177" w:name="bookmark1742"/>
      <w:bookmarkEnd w:id="2177"/>
      <w:r>
        <w:rPr>
          <w:rFonts w:hint="eastAsia"/>
          <w:sz w:val="21"/>
          <w:szCs w:val="21"/>
        </w:rPr>
        <w:t>发包人承担暂停施工责任的其它情形：</w:t>
      </w:r>
      <w:r>
        <w:rPr>
          <w:rFonts w:hint="eastAsia"/>
          <w:sz w:val="21"/>
          <w:szCs w:val="21"/>
          <w:u w:val="single"/>
        </w:rPr>
        <w:t>发包人可以根据资金到位情况暂停部分项目的施工，发包人只延长因该部分暂停施工增加的工期，但不增加投资</w:t>
      </w:r>
      <w:r>
        <w:rPr>
          <w:rFonts w:hint="eastAsia"/>
          <w:sz w:val="21"/>
          <w:szCs w:val="21"/>
          <w:lang w:val="en-US"/>
        </w:rPr>
        <w:t>。</w:t>
      </w:r>
    </w:p>
    <w:p w14:paraId="7A4851AC">
      <w:pPr>
        <w:pStyle w:val="318"/>
        <w:spacing w:line="360" w:lineRule="auto"/>
        <w:rPr>
          <w:rFonts w:ascii="宋体" w:cs="宋体"/>
          <w:sz w:val="21"/>
          <w:szCs w:val="21"/>
        </w:rPr>
      </w:pPr>
      <w:bookmarkStart w:id="2178" w:name="_Toc12539"/>
      <w:bookmarkStart w:id="2179" w:name="_Toc256000214"/>
      <w:bookmarkStart w:id="2180" w:name="_Toc26672"/>
      <w:bookmarkStart w:id="2181" w:name="_Toc13616"/>
      <w:bookmarkStart w:id="2182" w:name="_Toc256000464"/>
      <w:bookmarkStart w:id="2183" w:name="bookmark1745"/>
      <w:bookmarkStart w:id="2184" w:name="_Toc4631"/>
      <w:bookmarkStart w:id="2185" w:name="bookmark1743"/>
      <w:bookmarkStart w:id="2186" w:name="bookmark1744"/>
      <w:bookmarkStart w:id="2187" w:name="_Toc24228"/>
      <w:r>
        <w:rPr>
          <w:rFonts w:ascii="宋体" w:hAnsi="宋体" w:cs="宋体"/>
          <w:sz w:val="21"/>
          <w:szCs w:val="21"/>
        </w:rPr>
        <w:t xml:space="preserve">13. </w:t>
      </w:r>
      <w:r>
        <w:rPr>
          <w:rFonts w:hint="eastAsia" w:ascii="宋体" w:hAnsi="宋体" w:cs="宋体"/>
          <w:sz w:val="21"/>
          <w:szCs w:val="21"/>
        </w:rPr>
        <w:t>工程质量</w:t>
      </w:r>
      <w:bookmarkEnd w:id="2178"/>
      <w:bookmarkEnd w:id="2179"/>
      <w:bookmarkEnd w:id="2180"/>
      <w:bookmarkEnd w:id="2181"/>
      <w:bookmarkEnd w:id="2182"/>
      <w:bookmarkEnd w:id="2183"/>
      <w:bookmarkEnd w:id="2184"/>
      <w:bookmarkEnd w:id="2185"/>
      <w:bookmarkEnd w:id="2186"/>
      <w:bookmarkEnd w:id="2187"/>
    </w:p>
    <w:p w14:paraId="2B89AFA0">
      <w:pPr>
        <w:pStyle w:val="318"/>
        <w:spacing w:line="360" w:lineRule="auto"/>
        <w:rPr>
          <w:rFonts w:ascii="宋体" w:cs="宋体"/>
          <w:sz w:val="21"/>
          <w:szCs w:val="21"/>
        </w:rPr>
      </w:pPr>
      <w:bookmarkStart w:id="2188" w:name="bookmark1746"/>
      <w:bookmarkStart w:id="2189" w:name="_Toc256000215"/>
      <w:bookmarkStart w:id="2190" w:name="_Toc6517"/>
      <w:bookmarkStart w:id="2191" w:name="bookmark1748"/>
      <w:bookmarkStart w:id="2192" w:name="_Toc10978"/>
      <w:bookmarkStart w:id="2193" w:name="bookmark1747"/>
      <w:bookmarkStart w:id="2194" w:name="_Toc256000465"/>
      <w:r>
        <w:rPr>
          <w:rFonts w:ascii="宋体" w:hAnsi="宋体" w:cs="宋体"/>
          <w:sz w:val="21"/>
          <w:szCs w:val="21"/>
        </w:rPr>
        <w:t>13.7</w:t>
      </w:r>
      <w:r>
        <w:rPr>
          <w:rFonts w:hint="eastAsia" w:ascii="宋体" w:hAnsi="宋体" w:cs="宋体"/>
          <w:sz w:val="21"/>
          <w:szCs w:val="21"/>
        </w:rPr>
        <w:t>质量评定</w:t>
      </w:r>
      <w:bookmarkEnd w:id="2188"/>
      <w:bookmarkEnd w:id="2189"/>
      <w:bookmarkEnd w:id="2190"/>
      <w:bookmarkEnd w:id="2191"/>
      <w:bookmarkEnd w:id="2192"/>
      <w:bookmarkEnd w:id="2193"/>
      <w:bookmarkEnd w:id="2194"/>
    </w:p>
    <w:p w14:paraId="2B8631DF">
      <w:pPr>
        <w:pStyle w:val="319"/>
        <w:tabs>
          <w:tab w:val="left" w:pos="8228"/>
        </w:tabs>
        <w:ind w:firstLine="440"/>
        <w:rPr>
          <w:rFonts w:cs="Times New Roman"/>
          <w:sz w:val="21"/>
          <w:szCs w:val="21"/>
        </w:rPr>
      </w:pPr>
      <w:r>
        <w:rPr>
          <w:sz w:val="21"/>
          <w:szCs w:val="21"/>
          <w:lang w:val="en-US"/>
        </w:rPr>
        <w:t>13.7.4</w:t>
      </w:r>
      <w:r>
        <w:rPr>
          <w:rFonts w:hint="eastAsia"/>
          <w:sz w:val="21"/>
          <w:szCs w:val="21"/>
        </w:rPr>
        <w:t>重要隐蔽单元工程和关键部位单元工程质量评定的约定：工程质量合格</w:t>
      </w:r>
      <w:r>
        <w:rPr>
          <w:rFonts w:hint="eastAsia"/>
          <w:sz w:val="21"/>
          <w:szCs w:val="21"/>
          <w:lang w:val="en-US"/>
        </w:rPr>
        <w:t>。</w:t>
      </w:r>
    </w:p>
    <w:p w14:paraId="5188828A">
      <w:pPr>
        <w:pStyle w:val="319"/>
        <w:tabs>
          <w:tab w:val="left" w:pos="3751"/>
          <w:tab w:val="left" w:pos="4834"/>
          <w:tab w:val="left" w:pos="8225"/>
        </w:tabs>
        <w:spacing w:after="240"/>
        <w:ind w:firstLine="440"/>
        <w:rPr>
          <w:rFonts w:cs="Times New Roman"/>
          <w:sz w:val="21"/>
          <w:szCs w:val="21"/>
        </w:rPr>
      </w:pPr>
      <w:r>
        <w:rPr>
          <w:sz w:val="21"/>
          <w:szCs w:val="21"/>
          <w:lang w:val="en-US"/>
        </w:rPr>
        <w:t xml:space="preserve">13.7.7 </w:t>
      </w:r>
      <w:r>
        <w:rPr>
          <w:rFonts w:hint="eastAsia"/>
          <w:sz w:val="21"/>
          <w:szCs w:val="21"/>
        </w:rPr>
        <w:t>工程合格标准为：</w:t>
      </w:r>
      <w:r>
        <w:rPr>
          <w:rFonts w:hint="eastAsia"/>
          <w:sz w:val="21"/>
          <w:szCs w:val="21"/>
          <w:u w:val="single"/>
        </w:rPr>
        <w:t>按《水利水电工程施工质量评定规程》进行质量检验评定，施工质量达到合格等级</w:t>
      </w:r>
      <w:r>
        <w:rPr>
          <w:rFonts w:hint="eastAsia"/>
          <w:sz w:val="21"/>
          <w:szCs w:val="21"/>
        </w:rPr>
        <w:t>；优良标准为：</w:t>
      </w:r>
      <w:r>
        <w:rPr>
          <w:rFonts w:hint="eastAsia"/>
          <w:sz w:val="21"/>
          <w:szCs w:val="21"/>
          <w:u w:val="single"/>
        </w:rPr>
        <w:t>按《水利水电工程施工质量评定规程》进行质量检验评定，施工质量达到优良等级</w:t>
      </w:r>
      <w:r>
        <w:rPr>
          <w:rFonts w:hint="eastAsia"/>
          <w:sz w:val="21"/>
          <w:szCs w:val="21"/>
          <w:lang w:val="en-US"/>
        </w:rPr>
        <w:t>。</w:t>
      </w:r>
      <w:r>
        <w:rPr>
          <w:rFonts w:hint="eastAsia"/>
          <w:sz w:val="21"/>
          <w:szCs w:val="21"/>
        </w:rPr>
        <w:t>达到优良的奖金为：</w:t>
      </w:r>
      <w:r>
        <w:rPr>
          <w:rFonts w:hint="eastAsia"/>
          <w:sz w:val="21"/>
          <w:szCs w:val="21"/>
          <w:u w:val="single"/>
        </w:rPr>
        <w:t>无</w:t>
      </w:r>
      <w:r>
        <w:rPr>
          <w:rFonts w:hint="eastAsia"/>
          <w:sz w:val="21"/>
          <w:szCs w:val="21"/>
          <w:lang w:val="en-US"/>
        </w:rPr>
        <w:t>。</w:t>
      </w:r>
    </w:p>
    <w:p w14:paraId="3EC94890">
      <w:pPr>
        <w:pStyle w:val="318"/>
        <w:spacing w:line="360" w:lineRule="auto"/>
        <w:rPr>
          <w:rFonts w:ascii="宋体" w:cs="宋体"/>
          <w:sz w:val="21"/>
          <w:szCs w:val="21"/>
        </w:rPr>
      </w:pPr>
      <w:bookmarkStart w:id="2195" w:name="_Toc256000466"/>
      <w:bookmarkStart w:id="2196" w:name="_Toc15832"/>
      <w:bookmarkStart w:id="2197" w:name="bookmark1750"/>
      <w:bookmarkStart w:id="2198" w:name="_Toc256000216"/>
      <w:bookmarkStart w:id="2199" w:name="_Toc32490"/>
      <w:bookmarkStart w:id="2200" w:name="bookmark1751"/>
      <w:bookmarkStart w:id="2201" w:name="bookmark1749"/>
      <w:r>
        <w:rPr>
          <w:rFonts w:ascii="宋体" w:hAnsi="宋体" w:cs="宋体"/>
          <w:sz w:val="21"/>
          <w:szCs w:val="21"/>
        </w:rPr>
        <w:t>13.8</w:t>
      </w:r>
      <w:r>
        <w:rPr>
          <w:rFonts w:hint="eastAsia" w:ascii="宋体" w:hAnsi="宋体" w:cs="宋体"/>
          <w:sz w:val="21"/>
          <w:szCs w:val="21"/>
        </w:rPr>
        <w:t>质量事故处理</w:t>
      </w:r>
      <w:bookmarkEnd w:id="2195"/>
      <w:bookmarkEnd w:id="2196"/>
      <w:bookmarkEnd w:id="2197"/>
      <w:bookmarkEnd w:id="2198"/>
      <w:bookmarkEnd w:id="2199"/>
      <w:bookmarkEnd w:id="2200"/>
      <w:bookmarkEnd w:id="2201"/>
    </w:p>
    <w:p w14:paraId="605DEFC6">
      <w:pPr>
        <w:pStyle w:val="319"/>
        <w:tabs>
          <w:tab w:val="left" w:pos="4814"/>
        </w:tabs>
        <w:spacing w:after="180"/>
        <w:ind w:firstLine="440"/>
        <w:rPr>
          <w:rFonts w:cs="Times New Roman"/>
          <w:sz w:val="21"/>
          <w:szCs w:val="21"/>
        </w:rPr>
      </w:pPr>
      <w:r>
        <w:rPr>
          <w:sz w:val="21"/>
          <w:szCs w:val="21"/>
          <w:lang w:val="en-US"/>
        </w:rPr>
        <w:t>13.8.4</w:t>
      </w:r>
      <w:r>
        <w:rPr>
          <w:rFonts w:hint="eastAsia"/>
          <w:sz w:val="21"/>
          <w:szCs w:val="21"/>
        </w:rPr>
        <w:t>工程竣工验收时，</w:t>
      </w:r>
      <w:r>
        <w:rPr>
          <w:sz w:val="21"/>
          <w:szCs w:val="21"/>
          <w:u w:val="single"/>
          <w:lang w:val="en-US"/>
        </w:rPr>
        <w:t xml:space="preserve"> </w:t>
      </w:r>
      <w:r>
        <w:rPr>
          <w:rFonts w:hint="eastAsia"/>
          <w:sz w:val="21"/>
          <w:szCs w:val="21"/>
          <w:u w:val="single"/>
        </w:rPr>
        <w:t>承包人及监理人分别</w:t>
      </w:r>
      <w:r>
        <w:rPr>
          <w:sz w:val="21"/>
          <w:szCs w:val="21"/>
          <w:u w:val="single"/>
          <w:lang w:val="en-US"/>
        </w:rPr>
        <w:t xml:space="preserve"> </w:t>
      </w:r>
      <w:r>
        <w:rPr>
          <w:rFonts w:hint="eastAsia"/>
          <w:sz w:val="21"/>
          <w:szCs w:val="21"/>
        </w:rPr>
        <w:t>向竣工验收委员会汇报并提交历次质量缺陷处理的备案资料。</w:t>
      </w:r>
    </w:p>
    <w:p w14:paraId="16D8B3D8">
      <w:pPr>
        <w:pStyle w:val="318"/>
        <w:spacing w:line="360" w:lineRule="auto"/>
        <w:rPr>
          <w:rFonts w:ascii="宋体" w:cs="宋体"/>
          <w:sz w:val="21"/>
          <w:szCs w:val="21"/>
        </w:rPr>
      </w:pPr>
      <w:bookmarkStart w:id="2202" w:name="_Toc29861"/>
      <w:bookmarkStart w:id="2203" w:name="_Toc6407"/>
      <w:bookmarkStart w:id="2204" w:name="_Toc256000217"/>
      <w:bookmarkStart w:id="2205" w:name="_Toc20650"/>
      <w:bookmarkStart w:id="2206" w:name="bookmark1752"/>
      <w:bookmarkStart w:id="2207" w:name="bookmark1753"/>
      <w:bookmarkStart w:id="2208" w:name="_Toc12025"/>
      <w:bookmarkStart w:id="2209" w:name="_Toc256000467"/>
      <w:bookmarkStart w:id="2210" w:name="bookmark1754"/>
      <w:bookmarkStart w:id="2211" w:name="_Toc24553"/>
      <w:r>
        <w:rPr>
          <w:rFonts w:ascii="宋体" w:hAnsi="宋体" w:cs="宋体"/>
          <w:sz w:val="21"/>
          <w:szCs w:val="21"/>
        </w:rPr>
        <w:t xml:space="preserve">14 . </w:t>
      </w:r>
      <w:r>
        <w:rPr>
          <w:rFonts w:hint="eastAsia" w:ascii="宋体" w:hAnsi="宋体" w:cs="宋体"/>
          <w:sz w:val="21"/>
          <w:szCs w:val="21"/>
        </w:rPr>
        <w:t>试验和检验</w:t>
      </w:r>
      <w:bookmarkEnd w:id="2202"/>
      <w:bookmarkEnd w:id="2203"/>
      <w:bookmarkEnd w:id="2204"/>
      <w:bookmarkEnd w:id="2205"/>
      <w:bookmarkEnd w:id="2206"/>
      <w:bookmarkEnd w:id="2207"/>
      <w:bookmarkEnd w:id="2208"/>
      <w:bookmarkEnd w:id="2209"/>
      <w:bookmarkEnd w:id="2210"/>
      <w:bookmarkEnd w:id="2211"/>
    </w:p>
    <w:p w14:paraId="72850DC4">
      <w:pPr>
        <w:pStyle w:val="318"/>
        <w:spacing w:line="360" w:lineRule="auto"/>
        <w:rPr>
          <w:rFonts w:ascii="宋体" w:cs="宋体"/>
          <w:sz w:val="21"/>
          <w:szCs w:val="21"/>
        </w:rPr>
      </w:pPr>
      <w:bookmarkStart w:id="2212" w:name="_Toc256000468"/>
      <w:bookmarkStart w:id="2213" w:name="_Toc256000218"/>
      <w:bookmarkStart w:id="2214" w:name="_Toc22278"/>
      <w:bookmarkStart w:id="2215" w:name="bookmark1756"/>
      <w:bookmarkStart w:id="2216" w:name="bookmark1755"/>
      <w:bookmarkStart w:id="2217" w:name="bookmark1757"/>
      <w:bookmarkStart w:id="2218" w:name="_Toc4604"/>
      <w:r>
        <w:rPr>
          <w:rFonts w:ascii="宋体" w:hAnsi="宋体" w:cs="宋体"/>
          <w:sz w:val="21"/>
          <w:szCs w:val="21"/>
        </w:rPr>
        <w:t>14.1</w:t>
      </w:r>
      <w:r>
        <w:rPr>
          <w:rFonts w:hint="eastAsia" w:ascii="宋体" w:hAnsi="宋体" w:cs="宋体"/>
          <w:sz w:val="21"/>
          <w:szCs w:val="21"/>
        </w:rPr>
        <w:t>材料、工程设备和工程的试验和检验</w:t>
      </w:r>
      <w:bookmarkEnd w:id="2212"/>
      <w:bookmarkEnd w:id="2213"/>
      <w:bookmarkEnd w:id="2214"/>
      <w:bookmarkEnd w:id="2215"/>
      <w:bookmarkEnd w:id="2216"/>
      <w:bookmarkEnd w:id="2217"/>
      <w:bookmarkEnd w:id="2218"/>
    </w:p>
    <w:p w14:paraId="5B45F8C8">
      <w:pPr>
        <w:pStyle w:val="319"/>
        <w:tabs>
          <w:tab w:val="left" w:pos="2071"/>
        </w:tabs>
        <w:ind w:firstLine="440"/>
        <w:rPr>
          <w:rFonts w:cs="Times New Roman"/>
          <w:sz w:val="21"/>
          <w:szCs w:val="21"/>
        </w:rPr>
      </w:pPr>
      <w:r>
        <w:rPr>
          <w:sz w:val="21"/>
          <w:szCs w:val="21"/>
          <w:lang w:val="en-US"/>
        </w:rPr>
        <w:t>14.1.5</w:t>
      </w:r>
      <w:r>
        <w:rPr>
          <w:rFonts w:hint="eastAsia"/>
          <w:sz w:val="21"/>
          <w:szCs w:val="21"/>
        </w:rPr>
        <w:t>水工金属结构、启闭机及机电产品进场后的交货检查和验收中，承包人负责</w:t>
      </w:r>
      <w:r>
        <w:rPr>
          <w:rFonts w:hint="eastAsia"/>
          <w:sz w:val="21"/>
          <w:szCs w:val="21"/>
          <w:u w:val="single"/>
        </w:rPr>
        <w:t>全部工作，并保证质量和进度</w:t>
      </w:r>
      <w:r>
        <w:rPr>
          <w:rFonts w:hint="eastAsia"/>
          <w:sz w:val="21"/>
          <w:szCs w:val="21"/>
          <w:lang w:val="en-US"/>
        </w:rPr>
        <w:t>。</w:t>
      </w:r>
    </w:p>
    <w:p w14:paraId="7FC433F4">
      <w:pPr>
        <w:pStyle w:val="319"/>
        <w:tabs>
          <w:tab w:val="left" w:pos="7525"/>
        </w:tabs>
        <w:spacing w:after="180"/>
        <w:ind w:firstLine="440"/>
        <w:rPr>
          <w:rFonts w:cs="Times New Roman"/>
          <w:sz w:val="21"/>
          <w:szCs w:val="21"/>
        </w:rPr>
      </w:pPr>
      <w:r>
        <w:rPr>
          <w:sz w:val="21"/>
          <w:szCs w:val="21"/>
          <w:lang w:val="en-US"/>
        </w:rPr>
        <w:t>14.1.6</w:t>
      </w:r>
      <w:r>
        <w:rPr>
          <w:rFonts w:hint="eastAsia"/>
          <w:sz w:val="21"/>
          <w:szCs w:val="21"/>
        </w:rPr>
        <w:t>本工程实行见证取样的试块、试件及有关材料：</w:t>
      </w:r>
      <w:r>
        <w:rPr>
          <w:rFonts w:hint="eastAsia"/>
          <w:sz w:val="21"/>
          <w:szCs w:val="21"/>
          <w:u w:val="single"/>
        </w:rPr>
        <w:t>砼试块、砂浆试块和土、水泥、砂、碎石、钢筋、砼等原材料及砂浆配合比、砼配合比等</w:t>
      </w:r>
      <w:r>
        <w:rPr>
          <w:rFonts w:hint="eastAsia"/>
          <w:sz w:val="21"/>
          <w:szCs w:val="21"/>
          <w:lang w:val="en-US"/>
        </w:rPr>
        <w:t>。</w:t>
      </w:r>
    </w:p>
    <w:p w14:paraId="56846EA9">
      <w:pPr>
        <w:pStyle w:val="318"/>
        <w:spacing w:line="360" w:lineRule="auto"/>
        <w:rPr>
          <w:rFonts w:ascii="宋体" w:cs="宋体"/>
          <w:sz w:val="21"/>
          <w:szCs w:val="21"/>
        </w:rPr>
      </w:pPr>
      <w:bookmarkStart w:id="2219" w:name="_Toc2879"/>
      <w:bookmarkStart w:id="2220" w:name="_Toc256000469"/>
      <w:bookmarkStart w:id="2221" w:name="_Toc217"/>
      <w:bookmarkStart w:id="2222" w:name="_Toc29563"/>
      <w:bookmarkStart w:id="2223" w:name="_Toc16418"/>
      <w:bookmarkStart w:id="2224" w:name="_Toc256000219"/>
      <w:bookmarkStart w:id="2225" w:name="bookmark1760"/>
      <w:bookmarkStart w:id="2226" w:name="_Toc8481"/>
      <w:bookmarkStart w:id="2227" w:name="bookmark1759"/>
      <w:bookmarkStart w:id="2228" w:name="bookmark1758"/>
      <w:r>
        <w:rPr>
          <w:rFonts w:ascii="宋体" w:hAnsi="宋体" w:cs="宋体"/>
          <w:sz w:val="21"/>
          <w:szCs w:val="21"/>
        </w:rPr>
        <w:t xml:space="preserve">15. </w:t>
      </w:r>
      <w:r>
        <w:rPr>
          <w:rFonts w:hint="eastAsia" w:ascii="宋体" w:hAnsi="宋体" w:cs="宋体"/>
          <w:sz w:val="21"/>
          <w:szCs w:val="21"/>
        </w:rPr>
        <w:t>变更</w:t>
      </w:r>
      <w:bookmarkEnd w:id="2219"/>
      <w:bookmarkEnd w:id="2220"/>
      <w:bookmarkEnd w:id="2221"/>
      <w:bookmarkEnd w:id="2222"/>
      <w:bookmarkEnd w:id="2223"/>
      <w:bookmarkEnd w:id="2224"/>
      <w:bookmarkEnd w:id="2225"/>
      <w:bookmarkEnd w:id="2226"/>
    </w:p>
    <w:p w14:paraId="33D8339B">
      <w:pPr>
        <w:pStyle w:val="318"/>
        <w:spacing w:line="360" w:lineRule="auto"/>
        <w:rPr>
          <w:rFonts w:ascii="宋体" w:cs="宋体"/>
          <w:sz w:val="21"/>
          <w:szCs w:val="21"/>
        </w:rPr>
      </w:pPr>
      <w:bookmarkStart w:id="2229" w:name="_Toc256000470"/>
      <w:bookmarkStart w:id="2230" w:name="_Toc256000220"/>
      <w:bookmarkStart w:id="2231" w:name="_Toc30982"/>
      <w:bookmarkStart w:id="2232" w:name="bookmark1761"/>
      <w:bookmarkStart w:id="2233" w:name="_Toc822"/>
      <w:r>
        <w:rPr>
          <w:rFonts w:ascii="宋体" w:hAnsi="宋体" w:cs="宋体"/>
          <w:sz w:val="21"/>
          <w:szCs w:val="21"/>
        </w:rPr>
        <w:t>15.1</w:t>
      </w:r>
      <w:r>
        <w:rPr>
          <w:rFonts w:hint="eastAsia" w:ascii="宋体" w:hAnsi="宋体" w:cs="宋体"/>
          <w:sz w:val="21"/>
          <w:szCs w:val="21"/>
        </w:rPr>
        <w:t>变更的范围和内容</w:t>
      </w:r>
      <w:bookmarkEnd w:id="2227"/>
      <w:bookmarkEnd w:id="2228"/>
      <w:bookmarkEnd w:id="2229"/>
      <w:bookmarkEnd w:id="2230"/>
      <w:bookmarkEnd w:id="2231"/>
      <w:bookmarkEnd w:id="2232"/>
      <w:bookmarkEnd w:id="2233"/>
    </w:p>
    <w:p w14:paraId="1E47CEF6">
      <w:pPr>
        <w:pStyle w:val="319"/>
        <w:tabs>
          <w:tab w:val="left" w:pos="2244"/>
          <w:tab w:val="left" w:pos="5791"/>
          <w:tab w:val="left" w:pos="7224"/>
        </w:tabs>
        <w:rPr>
          <w:rFonts w:cs="Times New Roman"/>
          <w:sz w:val="21"/>
          <w:szCs w:val="21"/>
          <w:lang w:val="en-US"/>
        </w:rPr>
      </w:pPr>
      <w:bookmarkStart w:id="2234" w:name="bookmark1762"/>
      <w:bookmarkEnd w:id="2234"/>
      <w:r>
        <w:rPr>
          <w:rFonts w:hint="eastAsia"/>
          <w:sz w:val="21"/>
          <w:szCs w:val="21"/>
        </w:rPr>
        <w:t>（</w:t>
      </w:r>
      <w:r>
        <w:rPr>
          <w:sz w:val="21"/>
          <w:szCs w:val="21"/>
          <w:lang w:val="en-US"/>
        </w:rPr>
        <w:t>6</w:t>
      </w:r>
      <w:r>
        <w:rPr>
          <w:rFonts w:hint="eastAsia"/>
          <w:sz w:val="21"/>
          <w:szCs w:val="21"/>
        </w:rPr>
        <w:t>）增加或减少合同中关键项目的工程量超过其项目工程总量的</w:t>
      </w:r>
      <w:r>
        <w:rPr>
          <w:sz w:val="21"/>
          <w:szCs w:val="21"/>
          <w:lang w:val="en-US"/>
        </w:rPr>
        <w:t>5</w:t>
      </w:r>
      <w:r>
        <w:rPr>
          <w:sz w:val="21"/>
          <w:szCs w:val="21"/>
        </w:rPr>
        <w:t>%,</w:t>
      </w:r>
      <w:r>
        <w:rPr>
          <w:rFonts w:hint="eastAsia"/>
          <w:sz w:val="21"/>
          <w:szCs w:val="21"/>
        </w:rPr>
        <w:t>关键项目：</w:t>
      </w:r>
      <w:r>
        <w:rPr>
          <w:sz w:val="21"/>
          <w:szCs w:val="21"/>
          <w:lang w:val="en-US"/>
        </w:rPr>
        <w:t>/</w:t>
      </w:r>
      <w:r>
        <w:rPr>
          <w:sz w:val="21"/>
          <w:szCs w:val="21"/>
        </w:rPr>
        <w:t>,</w:t>
      </w:r>
      <w:r>
        <w:rPr>
          <w:rFonts w:hint="eastAsia"/>
          <w:sz w:val="21"/>
          <w:szCs w:val="21"/>
        </w:rPr>
        <w:t>单价调整方式：</w:t>
      </w:r>
      <w:r>
        <w:rPr>
          <w:rFonts w:hint="eastAsia"/>
          <w:sz w:val="21"/>
          <w:szCs w:val="21"/>
          <w:lang w:val="en-US"/>
        </w:rPr>
        <w:t>不调整。</w:t>
      </w:r>
    </w:p>
    <w:p w14:paraId="478F94E1">
      <w:pPr>
        <w:pStyle w:val="318"/>
        <w:spacing w:line="360" w:lineRule="auto"/>
        <w:rPr>
          <w:rFonts w:ascii="宋体" w:cs="宋体"/>
          <w:sz w:val="21"/>
          <w:szCs w:val="21"/>
        </w:rPr>
      </w:pPr>
      <w:bookmarkStart w:id="2235" w:name="bookmark1763"/>
      <w:bookmarkStart w:id="2236" w:name="_Toc6195"/>
      <w:bookmarkStart w:id="2237" w:name="_Toc256000471"/>
      <w:bookmarkStart w:id="2238" w:name="bookmark1765"/>
      <w:bookmarkStart w:id="2239" w:name="bookmark1764"/>
      <w:bookmarkStart w:id="2240" w:name="_Toc16650"/>
      <w:bookmarkStart w:id="2241" w:name="_Toc256000221"/>
      <w:r>
        <w:rPr>
          <w:rFonts w:ascii="宋体" w:hAnsi="宋体" w:cs="宋体"/>
          <w:sz w:val="21"/>
          <w:szCs w:val="21"/>
        </w:rPr>
        <w:t>15.4</w:t>
      </w:r>
      <w:r>
        <w:rPr>
          <w:rFonts w:hint="eastAsia" w:ascii="宋体" w:hAnsi="宋体" w:cs="宋体"/>
          <w:sz w:val="21"/>
          <w:szCs w:val="21"/>
        </w:rPr>
        <w:t>变更的估价原则</w:t>
      </w:r>
      <w:bookmarkEnd w:id="2235"/>
      <w:bookmarkEnd w:id="2236"/>
      <w:bookmarkEnd w:id="2237"/>
      <w:bookmarkEnd w:id="2238"/>
      <w:bookmarkEnd w:id="2239"/>
      <w:bookmarkEnd w:id="2240"/>
      <w:bookmarkEnd w:id="2241"/>
    </w:p>
    <w:p w14:paraId="45FBAE77">
      <w:pPr>
        <w:pStyle w:val="319"/>
        <w:ind w:firstLine="440"/>
        <w:rPr>
          <w:rFonts w:cs="Times New Roman"/>
          <w:sz w:val="21"/>
          <w:szCs w:val="21"/>
        </w:rPr>
      </w:pPr>
      <w:r>
        <w:rPr>
          <w:sz w:val="21"/>
          <w:szCs w:val="21"/>
          <w:lang w:val="en-US"/>
        </w:rPr>
        <w:t>15.4.3</w:t>
      </w:r>
      <w:r>
        <w:rPr>
          <w:rFonts w:hint="eastAsia"/>
          <w:sz w:val="21"/>
          <w:szCs w:val="21"/>
        </w:rPr>
        <w:t>已标价工程量清单中无适用或类似子目的单价，按照以下原则确定：</w:t>
      </w:r>
    </w:p>
    <w:p w14:paraId="7254B6BE">
      <w:pPr>
        <w:pStyle w:val="319"/>
        <w:ind w:firstLine="440"/>
        <w:rPr>
          <w:rFonts w:cs="Times New Roman"/>
          <w:sz w:val="21"/>
          <w:szCs w:val="21"/>
        </w:rPr>
      </w:pPr>
      <w:r>
        <w:rPr>
          <w:rFonts w:hint="eastAsia"/>
          <w:sz w:val="21"/>
          <w:szCs w:val="21"/>
        </w:rPr>
        <w:t>①有定额可套的，套用编制控制价所选定额计算，并乘以中标价下浮系数</w:t>
      </w:r>
      <w:r>
        <w:rPr>
          <w:sz w:val="21"/>
          <w:szCs w:val="21"/>
        </w:rPr>
        <w:t>(</w:t>
      </w:r>
      <w:r>
        <w:rPr>
          <w:rFonts w:hint="eastAsia"/>
          <w:sz w:val="21"/>
          <w:szCs w:val="21"/>
        </w:rPr>
        <w:t>中标价下浮系数为中标价与控制价的比值</w:t>
      </w:r>
      <w:r>
        <w:rPr>
          <w:sz w:val="21"/>
          <w:szCs w:val="21"/>
        </w:rPr>
        <w:t>)</w:t>
      </w:r>
      <w:r>
        <w:rPr>
          <w:rFonts w:hint="eastAsia"/>
          <w:sz w:val="21"/>
          <w:szCs w:val="21"/>
        </w:rPr>
        <w:t>，其中材料价格有信息价的按当地同期信息价，无信息的由发包人、承包人、监理人市场询价确定。</w:t>
      </w:r>
    </w:p>
    <w:p w14:paraId="6AB6EDD7">
      <w:pPr>
        <w:pStyle w:val="319"/>
        <w:ind w:firstLine="440"/>
        <w:rPr>
          <w:rFonts w:cs="Times New Roman"/>
          <w:sz w:val="21"/>
          <w:szCs w:val="21"/>
        </w:rPr>
      </w:pPr>
      <w:r>
        <w:rPr>
          <w:rFonts w:hint="eastAsia"/>
          <w:sz w:val="21"/>
          <w:szCs w:val="21"/>
        </w:rPr>
        <w:t>②无定额可套的，由发包人、承包人、监理人市场询价确定。</w:t>
      </w:r>
    </w:p>
    <w:p w14:paraId="4034B067">
      <w:pPr>
        <w:pStyle w:val="318"/>
        <w:spacing w:line="360" w:lineRule="auto"/>
        <w:rPr>
          <w:rFonts w:ascii="宋体" w:cs="宋体"/>
          <w:sz w:val="21"/>
          <w:szCs w:val="21"/>
        </w:rPr>
      </w:pPr>
      <w:bookmarkStart w:id="2242" w:name="bookmark1767"/>
      <w:bookmarkStart w:id="2243" w:name="_Toc29248"/>
      <w:bookmarkStart w:id="2244" w:name="_Toc256000222"/>
      <w:bookmarkStart w:id="2245" w:name="_Toc256000472"/>
      <w:bookmarkStart w:id="2246" w:name="bookmark1766"/>
      <w:bookmarkStart w:id="2247" w:name="bookmark1768"/>
      <w:bookmarkStart w:id="2248" w:name="_Toc6867"/>
      <w:r>
        <w:rPr>
          <w:rFonts w:ascii="宋体" w:hAnsi="宋体" w:cs="宋体"/>
          <w:sz w:val="21"/>
          <w:szCs w:val="21"/>
        </w:rPr>
        <w:t>15.5</w:t>
      </w:r>
      <w:r>
        <w:rPr>
          <w:rFonts w:hint="eastAsia" w:ascii="宋体" w:hAnsi="宋体" w:cs="宋体"/>
          <w:sz w:val="21"/>
          <w:szCs w:val="21"/>
        </w:rPr>
        <w:t>承包人的合理化建议</w:t>
      </w:r>
      <w:bookmarkEnd w:id="2242"/>
      <w:bookmarkEnd w:id="2243"/>
      <w:bookmarkEnd w:id="2244"/>
      <w:bookmarkEnd w:id="2245"/>
      <w:bookmarkEnd w:id="2246"/>
      <w:bookmarkEnd w:id="2247"/>
      <w:bookmarkEnd w:id="2248"/>
    </w:p>
    <w:p w14:paraId="514B83CD">
      <w:pPr>
        <w:pStyle w:val="319"/>
        <w:tabs>
          <w:tab w:val="left" w:pos="841"/>
          <w:tab w:val="left" w:pos="6665"/>
        </w:tabs>
        <w:spacing w:after="180"/>
        <w:ind w:left="420" w:firstLine="0"/>
        <w:rPr>
          <w:rFonts w:cs="Times New Roman"/>
          <w:sz w:val="21"/>
          <w:szCs w:val="21"/>
        </w:rPr>
      </w:pPr>
      <w:bookmarkStart w:id="2249" w:name="bookmark1769"/>
      <w:bookmarkEnd w:id="2249"/>
      <w:r>
        <w:rPr>
          <w:sz w:val="21"/>
          <w:szCs w:val="21"/>
          <w:lang w:val="en-US"/>
        </w:rPr>
        <w:t>15.5.2</w:t>
      </w:r>
      <w:r>
        <w:rPr>
          <w:rFonts w:hint="eastAsia"/>
          <w:sz w:val="21"/>
          <w:szCs w:val="21"/>
        </w:rPr>
        <w:t>承包人实现合理化建议的奖励金额为：</w:t>
      </w:r>
      <w:r>
        <w:rPr>
          <w:rFonts w:hint="eastAsia"/>
          <w:sz w:val="21"/>
          <w:szCs w:val="21"/>
          <w:lang w:val="en-US"/>
        </w:rPr>
        <w:t>无。</w:t>
      </w:r>
    </w:p>
    <w:p w14:paraId="04713284">
      <w:pPr>
        <w:pStyle w:val="318"/>
        <w:spacing w:line="360" w:lineRule="auto"/>
        <w:rPr>
          <w:rFonts w:ascii="宋体" w:cs="宋体"/>
          <w:sz w:val="21"/>
          <w:szCs w:val="21"/>
        </w:rPr>
      </w:pPr>
      <w:bookmarkStart w:id="2250" w:name="bookmark1771"/>
      <w:bookmarkStart w:id="2251" w:name="bookmark1770"/>
      <w:bookmarkStart w:id="2252" w:name="_Toc24486"/>
      <w:bookmarkStart w:id="2253" w:name="_Toc21802"/>
      <w:bookmarkStart w:id="2254" w:name="_Toc28040"/>
      <w:bookmarkStart w:id="2255" w:name="_Toc15867"/>
      <w:bookmarkStart w:id="2256" w:name="_Toc13554"/>
      <w:bookmarkStart w:id="2257" w:name="bookmark1772"/>
      <w:bookmarkStart w:id="2258" w:name="_Toc256000473"/>
      <w:bookmarkStart w:id="2259" w:name="_Toc256000223"/>
      <w:r>
        <w:rPr>
          <w:rFonts w:ascii="宋体" w:hAnsi="宋体" w:cs="宋体"/>
          <w:sz w:val="21"/>
          <w:szCs w:val="21"/>
        </w:rPr>
        <w:t>16 .</w:t>
      </w:r>
      <w:r>
        <w:rPr>
          <w:rFonts w:hint="eastAsia" w:ascii="宋体" w:hAnsi="宋体" w:cs="宋体"/>
          <w:sz w:val="21"/>
          <w:szCs w:val="21"/>
        </w:rPr>
        <w:t>价格调整</w:t>
      </w:r>
      <w:bookmarkEnd w:id="2250"/>
      <w:bookmarkEnd w:id="2251"/>
      <w:bookmarkEnd w:id="2252"/>
      <w:bookmarkEnd w:id="2253"/>
      <w:bookmarkEnd w:id="2254"/>
      <w:bookmarkEnd w:id="2255"/>
      <w:bookmarkEnd w:id="2256"/>
      <w:bookmarkEnd w:id="2257"/>
      <w:bookmarkEnd w:id="2258"/>
      <w:bookmarkEnd w:id="2259"/>
    </w:p>
    <w:p w14:paraId="42BEED18">
      <w:pPr>
        <w:pStyle w:val="318"/>
        <w:spacing w:line="360" w:lineRule="auto"/>
        <w:rPr>
          <w:rFonts w:ascii="宋体" w:cs="宋体"/>
          <w:sz w:val="21"/>
          <w:szCs w:val="21"/>
        </w:rPr>
      </w:pPr>
      <w:bookmarkStart w:id="2260" w:name="_Toc256000224"/>
      <w:bookmarkStart w:id="2261" w:name="_Toc30598"/>
      <w:bookmarkStart w:id="2262" w:name="bookmark1773"/>
      <w:bookmarkStart w:id="2263" w:name="_Toc7762"/>
      <w:bookmarkStart w:id="2264" w:name="bookmark1775"/>
      <w:bookmarkStart w:id="2265" w:name="_Toc256000474"/>
      <w:bookmarkStart w:id="2266" w:name="bookmark1774"/>
      <w:r>
        <w:rPr>
          <w:rFonts w:ascii="宋体" w:hAnsi="宋体" w:cs="宋体"/>
          <w:sz w:val="21"/>
          <w:szCs w:val="21"/>
        </w:rPr>
        <w:t>16.1</w:t>
      </w:r>
      <w:r>
        <w:rPr>
          <w:rFonts w:hint="eastAsia" w:ascii="宋体" w:hAnsi="宋体" w:cs="宋体"/>
          <w:sz w:val="21"/>
          <w:szCs w:val="21"/>
        </w:rPr>
        <w:t>物价波动引起的价格调整</w:t>
      </w:r>
      <w:bookmarkEnd w:id="2260"/>
      <w:bookmarkEnd w:id="2261"/>
      <w:bookmarkEnd w:id="2262"/>
      <w:bookmarkEnd w:id="2263"/>
      <w:bookmarkEnd w:id="2264"/>
      <w:bookmarkEnd w:id="2265"/>
      <w:bookmarkEnd w:id="2266"/>
    </w:p>
    <w:p w14:paraId="15B1195D">
      <w:pPr>
        <w:pStyle w:val="319"/>
        <w:ind w:firstLine="420"/>
        <w:rPr>
          <w:rFonts w:cs="Times New Roman"/>
          <w:sz w:val="21"/>
          <w:szCs w:val="21"/>
        </w:rPr>
      </w:pPr>
      <w:r>
        <w:rPr>
          <w:rFonts w:hint="eastAsia"/>
          <w:sz w:val="21"/>
          <w:szCs w:val="21"/>
        </w:rPr>
        <w:t>口本项目不因为物价波动原因引起合同价格变动而调整。</w:t>
      </w:r>
    </w:p>
    <w:p w14:paraId="4DF07901">
      <w:pPr>
        <w:pStyle w:val="319"/>
        <w:ind w:firstLine="420"/>
        <w:rPr>
          <w:rFonts w:cs="Times New Roman"/>
          <w:sz w:val="21"/>
          <w:szCs w:val="21"/>
        </w:rPr>
      </w:pPr>
      <w:r>
        <w:rPr>
          <w:rFonts w:hint="eastAsia" w:ascii="MS Mincho" w:hAnsi="MS Mincho" w:eastAsia="MS Mincho" w:cs="MS Mincho"/>
          <w:sz w:val="21"/>
          <w:szCs w:val="21"/>
        </w:rPr>
        <w:t>☑</w:t>
      </w:r>
      <w:r>
        <w:rPr>
          <w:rFonts w:hint="eastAsia"/>
          <w:sz w:val="21"/>
          <w:szCs w:val="21"/>
        </w:rPr>
        <w:t>本项目由于物价波动原因引起合同价格变动时，对其价格按下列方式进行调整。</w:t>
      </w:r>
    </w:p>
    <w:p w14:paraId="38EEA5B0">
      <w:pPr>
        <w:pStyle w:val="246"/>
        <w:spacing w:line="360" w:lineRule="auto"/>
        <w:ind w:firstLine="420" w:firstLineChars="200"/>
        <w:rPr>
          <w:rFonts w:ascii="宋体" w:cs="宋体"/>
        </w:rPr>
      </w:pPr>
      <w:bookmarkStart w:id="2267" w:name="bookmark1776"/>
      <w:bookmarkEnd w:id="2267"/>
      <w:r>
        <w:rPr>
          <w:rFonts w:ascii="宋体" w:hAnsi="宋体" w:cs="宋体"/>
        </w:rPr>
        <w:t>16.1. 1</w:t>
      </w:r>
      <w:r>
        <w:rPr>
          <w:rFonts w:hint="eastAsia" w:ascii="宋体" w:hAnsi="宋体" w:cs="宋体"/>
        </w:rPr>
        <w:t>物价波动引起的价格调整方式：</w:t>
      </w:r>
      <w:r>
        <w:rPr>
          <w:rFonts w:ascii="宋体" w:hAnsi="宋体" w:cs="宋体"/>
        </w:rPr>
        <w:t>(1)</w:t>
      </w:r>
      <w:r>
        <w:rPr>
          <w:rFonts w:hint="eastAsia" w:ascii="宋体" w:hAnsi="宋体" w:cs="宋体"/>
        </w:rPr>
        <w:t>主要材料价格变化幅度超过±</w:t>
      </w:r>
      <w:r>
        <w:rPr>
          <w:rFonts w:ascii="宋体" w:hAnsi="宋体" w:cs="宋体"/>
        </w:rPr>
        <w:t>5</w:t>
      </w:r>
      <w:r>
        <w:rPr>
          <w:rFonts w:hint="eastAsia" w:ascii="宋体" w:hAnsi="宋体" w:cs="宋体"/>
        </w:rPr>
        <w:t>％时，超过±</w:t>
      </w:r>
      <w:r>
        <w:rPr>
          <w:rFonts w:ascii="宋体" w:hAnsi="宋体" w:cs="宋体"/>
        </w:rPr>
        <w:t>5</w:t>
      </w:r>
      <w:r>
        <w:rPr>
          <w:rFonts w:hint="eastAsia" w:ascii="宋体" w:hAnsi="宋体" w:cs="宋体"/>
        </w:rPr>
        <w:t>％的部分调整材料价差，并计列相应的税金；</w:t>
      </w:r>
    </w:p>
    <w:p w14:paraId="19DF3F46">
      <w:pPr>
        <w:pStyle w:val="246"/>
        <w:spacing w:line="360" w:lineRule="auto"/>
        <w:ind w:firstLine="420" w:firstLineChars="200"/>
        <w:rPr>
          <w:rFonts w:ascii="宋体" w:cs="宋体"/>
        </w:rPr>
      </w:pPr>
      <w:r>
        <w:rPr>
          <w:rFonts w:ascii="宋体" w:hAnsi="宋体" w:cs="宋体"/>
        </w:rPr>
        <w:t>(2)</w:t>
      </w:r>
      <w:r>
        <w:rPr>
          <w:rFonts w:hint="eastAsia" w:ascii="宋体" w:hAnsi="宋体" w:cs="宋体"/>
        </w:rPr>
        <w:t>主要补差材料名称：仅对在市场上购买的水泥、钢材、砂、碎石、块石、汽油、柴油进行补差，其它材料价格一律不予调整。补差的工程造价信息及价格指数来源</w:t>
      </w:r>
      <w:r>
        <w:rPr>
          <w:rFonts w:ascii="宋体" w:hAnsi="宋体" w:cs="宋体"/>
        </w:rPr>
        <w:t>:</w:t>
      </w:r>
      <w:r>
        <w:rPr>
          <w:rFonts w:hint="eastAsia" w:ascii="宋体" w:hAnsi="宋体" w:cs="宋体"/>
        </w:rPr>
        <w:t>《玉林市建设工程造价信息》（工程所在地）。</w:t>
      </w:r>
    </w:p>
    <w:p w14:paraId="5F23FDC6">
      <w:pPr>
        <w:pStyle w:val="246"/>
        <w:spacing w:line="360" w:lineRule="auto"/>
        <w:ind w:firstLine="420" w:firstLineChars="200"/>
        <w:rPr>
          <w:rFonts w:ascii="宋体" w:cs="宋体"/>
        </w:rPr>
      </w:pPr>
      <w:r>
        <w:rPr>
          <w:rFonts w:ascii="宋体" w:hAnsi="宋体" w:cs="宋体"/>
        </w:rPr>
        <w:t>(3)</w:t>
      </w:r>
      <w:r>
        <w:rPr>
          <w:rFonts w:hint="eastAsia" w:ascii="宋体" w:hAnsi="宋体" w:cs="宋体"/>
        </w:rPr>
        <w:t>基准期主要补差材料价格：以预审审核时采用的《玉林市建设工程造价信息》（工程所在地）中发布的主要材料市场价为基准；</w:t>
      </w:r>
    </w:p>
    <w:p w14:paraId="134784A5">
      <w:pPr>
        <w:pStyle w:val="246"/>
        <w:spacing w:line="360" w:lineRule="auto"/>
        <w:ind w:firstLine="420" w:firstLineChars="200"/>
        <w:rPr>
          <w:rFonts w:ascii="宋体" w:cs="宋体"/>
        </w:rPr>
      </w:pPr>
      <w:r>
        <w:rPr>
          <w:rFonts w:ascii="宋体" w:hAnsi="宋体" w:cs="宋体"/>
        </w:rPr>
        <w:t>(4)</w:t>
      </w:r>
      <w:r>
        <w:rPr>
          <w:rFonts w:hint="eastAsia" w:ascii="宋体" w:hAnsi="宋体" w:cs="宋体"/>
        </w:rPr>
        <w:t>施工期结算期主要材料价格：施工期结算月度出版的《玉林市建设工程造价信息》（工程所在地）中发布的主要补差材料信息价格；</w:t>
      </w:r>
    </w:p>
    <w:p w14:paraId="782B7B18">
      <w:pPr>
        <w:pStyle w:val="246"/>
        <w:spacing w:line="360" w:lineRule="auto"/>
        <w:ind w:firstLine="420" w:firstLineChars="200"/>
        <w:rPr>
          <w:rFonts w:ascii="宋体" w:cs="宋体"/>
        </w:rPr>
      </w:pPr>
      <w:r>
        <w:rPr>
          <w:rFonts w:ascii="宋体" w:hAnsi="宋体" w:cs="宋体"/>
        </w:rPr>
        <w:t>(5)</w:t>
      </w:r>
      <w:r>
        <w:rPr>
          <w:rFonts w:hint="eastAsia" w:ascii="宋体" w:hAnsi="宋体" w:cs="宋体"/>
        </w:rPr>
        <w:t>主要材料补差款按季度结算，在下一季度的第一个月结算上一季度的主要材料补差款。</w:t>
      </w:r>
    </w:p>
    <w:p w14:paraId="5D55539C">
      <w:pPr>
        <w:pStyle w:val="246"/>
        <w:spacing w:line="360" w:lineRule="auto"/>
        <w:ind w:firstLine="420" w:firstLineChars="200"/>
        <w:rPr>
          <w:rFonts w:ascii="宋体" w:cs="宋体"/>
        </w:rPr>
      </w:pPr>
      <w:r>
        <w:rPr>
          <w:rFonts w:hint="eastAsia" w:ascii="宋体" w:hAnsi="宋体" w:cs="宋体"/>
        </w:rPr>
        <w:t>主要材料补差按以下公式进行补差：</w:t>
      </w:r>
    </w:p>
    <w:p w14:paraId="1C87312F">
      <w:pPr>
        <w:pStyle w:val="246"/>
        <w:spacing w:line="360" w:lineRule="auto"/>
        <w:ind w:firstLine="420" w:firstLineChars="200"/>
        <w:rPr>
          <w:rFonts w:ascii="宋体" w:cs="宋体"/>
        </w:rPr>
      </w:pPr>
      <w:r>
        <w:rPr>
          <w:rFonts w:hint="eastAsia" w:ascii="宋体" w:hAnsi="宋体" w:cs="宋体"/>
        </w:rPr>
        <w:t>△</w:t>
      </w:r>
      <w:r>
        <w:rPr>
          <w:rFonts w:ascii="宋体" w:hAnsi="宋体" w:cs="宋体"/>
        </w:rPr>
        <w:t>A=Q*[A-A 0 *(1</w:t>
      </w:r>
      <w:r>
        <w:rPr>
          <w:rFonts w:hint="eastAsia" w:ascii="宋体" w:hAnsi="宋体" w:cs="宋体"/>
        </w:rPr>
        <w:t>±</w:t>
      </w:r>
      <w:r>
        <w:rPr>
          <w:rFonts w:ascii="宋体" w:hAnsi="宋体" w:cs="宋体"/>
        </w:rPr>
        <w:t>5%)]*</w:t>
      </w:r>
      <w:r>
        <w:rPr>
          <w:rFonts w:hint="eastAsia" w:ascii="宋体" w:hAnsi="宋体" w:cs="宋体"/>
        </w:rPr>
        <w:t>（</w:t>
      </w:r>
      <w:r>
        <w:rPr>
          <w:rFonts w:ascii="宋体" w:hAnsi="宋体" w:cs="宋体"/>
        </w:rPr>
        <w:t>1+P%</w:t>
      </w:r>
      <w:r>
        <w:rPr>
          <w:rFonts w:hint="eastAsia" w:ascii="宋体" w:hAnsi="宋体" w:cs="宋体"/>
        </w:rPr>
        <w:t>）</w:t>
      </w:r>
    </w:p>
    <w:p w14:paraId="7329AD86">
      <w:pPr>
        <w:pStyle w:val="246"/>
        <w:spacing w:line="360" w:lineRule="auto"/>
        <w:ind w:firstLine="420" w:firstLineChars="200"/>
        <w:rPr>
          <w:rFonts w:ascii="宋体" w:cs="宋体"/>
        </w:rPr>
      </w:pPr>
      <w:r>
        <w:rPr>
          <w:rFonts w:hint="eastAsia" w:ascii="宋体" w:hAnsi="宋体" w:cs="宋体"/>
        </w:rPr>
        <w:t>其中：</w:t>
      </w:r>
    </w:p>
    <w:p w14:paraId="3EC69859">
      <w:pPr>
        <w:pStyle w:val="246"/>
        <w:spacing w:line="360" w:lineRule="auto"/>
        <w:ind w:firstLine="420" w:firstLineChars="200"/>
        <w:rPr>
          <w:rFonts w:ascii="宋体" w:cs="宋体"/>
        </w:rPr>
      </w:pPr>
      <w:r>
        <w:rPr>
          <w:rFonts w:hint="eastAsia" w:ascii="宋体" w:hAnsi="宋体" w:cs="宋体"/>
        </w:rPr>
        <w:t>△</w:t>
      </w:r>
      <w:r>
        <w:rPr>
          <w:rFonts w:ascii="宋体" w:hAnsi="宋体" w:cs="宋体"/>
        </w:rPr>
        <w:t>A——</w:t>
      </w:r>
      <w:r>
        <w:rPr>
          <w:rFonts w:hint="eastAsia" w:ascii="宋体" w:hAnsi="宋体" w:cs="宋体"/>
        </w:rPr>
        <w:t>主要材料补差款；</w:t>
      </w:r>
    </w:p>
    <w:p w14:paraId="1F47FE4D">
      <w:pPr>
        <w:pStyle w:val="246"/>
        <w:spacing w:line="360" w:lineRule="auto"/>
        <w:ind w:firstLine="420" w:firstLineChars="200"/>
        <w:rPr>
          <w:rFonts w:ascii="宋体" w:cs="宋体"/>
        </w:rPr>
      </w:pPr>
      <w:r>
        <w:rPr>
          <w:rFonts w:ascii="宋体" w:hAnsi="宋体" w:cs="宋体"/>
        </w:rPr>
        <w:t>Q——</w:t>
      </w:r>
      <w:r>
        <w:rPr>
          <w:rFonts w:hint="eastAsia" w:ascii="宋体" w:hAnsi="宋体" w:cs="宋体"/>
        </w:rPr>
        <w:t>结算期完成工程量统计的主要材料用量；</w:t>
      </w:r>
    </w:p>
    <w:p w14:paraId="686DE80C">
      <w:pPr>
        <w:pStyle w:val="246"/>
        <w:spacing w:line="360" w:lineRule="auto"/>
        <w:ind w:firstLine="420" w:firstLineChars="200"/>
        <w:rPr>
          <w:rFonts w:ascii="宋体" w:cs="宋体"/>
        </w:rPr>
      </w:pPr>
      <w:r>
        <w:rPr>
          <w:rFonts w:ascii="宋体" w:hAnsi="宋体" w:cs="宋体"/>
        </w:rPr>
        <w:t>A——</w:t>
      </w:r>
      <w:r>
        <w:rPr>
          <w:rFonts w:hint="eastAsia" w:ascii="宋体" w:hAnsi="宋体" w:cs="宋体"/>
        </w:rPr>
        <w:t>结算期主要材料价格；</w:t>
      </w:r>
    </w:p>
    <w:p w14:paraId="7D82F43C">
      <w:pPr>
        <w:pStyle w:val="246"/>
        <w:spacing w:line="360" w:lineRule="auto"/>
        <w:ind w:firstLine="420" w:firstLineChars="200"/>
        <w:rPr>
          <w:rFonts w:ascii="宋体" w:cs="宋体"/>
        </w:rPr>
      </w:pPr>
      <w:r>
        <w:rPr>
          <w:rFonts w:ascii="宋体" w:hAnsi="宋体" w:cs="宋体"/>
        </w:rPr>
        <w:t>A 0 ——</w:t>
      </w:r>
      <w:r>
        <w:rPr>
          <w:rFonts w:hint="eastAsia" w:ascii="宋体" w:hAnsi="宋体" w:cs="宋体"/>
        </w:rPr>
        <w:t>基准期主要补差材料价格；</w:t>
      </w:r>
    </w:p>
    <w:p w14:paraId="36682BF3">
      <w:pPr>
        <w:pStyle w:val="246"/>
        <w:spacing w:line="360" w:lineRule="auto"/>
        <w:ind w:firstLine="420" w:firstLineChars="200"/>
        <w:rPr>
          <w:rFonts w:ascii="宋体" w:cs="宋体"/>
        </w:rPr>
      </w:pPr>
      <w:r>
        <w:rPr>
          <w:rFonts w:ascii="宋体" w:hAnsi="宋体" w:cs="宋体"/>
        </w:rPr>
        <w:t>P——</w:t>
      </w:r>
      <w:r>
        <w:rPr>
          <w:rFonts w:hint="eastAsia" w:ascii="宋体" w:hAnsi="宋体" w:cs="宋体"/>
        </w:rPr>
        <w:t>增值税率。。</w:t>
      </w:r>
    </w:p>
    <w:p w14:paraId="186696B3">
      <w:pPr>
        <w:pStyle w:val="246"/>
        <w:spacing w:line="360" w:lineRule="auto"/>
        <w:ind w:firstLine="420" w:firstLineChars="200"/>
        <w:rPr>
          <w:rFonts w:ascii="宋体" w:cs="宋体"/>
        </w:rPr>
      </w:pPr>
      <w:r>
        <w:rPr>
          <w:rFonts w:ascii="宋体" w:hAnsi="宋体" w:cs="宋体"/>
        </w:rPr>
        <w:t>16. 1.2</w:t>
      </w:r>
      <w:r>
        <w:rPr>
          <w:rFonts w:hint="eastAsia" w:ascii="宋体" w:hAnsi="宋体" w:cs="宋体"/>
        </w:rPr>
        <w:t>调整价格的主要材料：水泥、钢材、砂、碎石、块石、汽油、柴油。</w:t>
      </w:r>
    </w:p>
    <w:p w14:paraId="4820FF1C">
      <w:pPr>
        <w:pStyle w:val="246"/>
        <w:spacing w:line="360" w:lineRule="auto"/>
        <w:ind w:firstLine="420" w:firstLineChars="200"/>
        <w:rPr>
          <w:rFonts w:ascii="宋体" w:cs="宋体"/>
        </w:rPr>
      </w:pPr>
      <w:r>
        <w:rPr>
          <w:rFonts w:ascii="宋体" w:hAnsi="宋体" w:cs="宋体"/>
        </w:rPr>
        <w:t>16.1.3</w:t>
      </w:r>
      <w:r>
        <w:rPr>
          <w:rFonts w:hint="eastAsia" w:ascii="宋体" w:hAnsi="宋体" w:cs="宋体"/>
        </w:rPr>
        <w:t>主要材料补差的计算方法：</w:t>
      </w:r>
      <w:r>
        <w:rPr>
          <w:rFonts w:ascii="宋体" w:hAnsi="宋体" w:cs="宋体"/>
        </w:rPr>
        <w:t xml:space="preserve"> </w:t>
      </w:r>
      <w:r>
        <w:rPr>
          <w:rFonts w:hint="eastAsia" w:ascii="宋体" w:hAnsi="宋体" w:cs="宋体"/>
        </w:rPr>
        <w:t>参照</w:t>
      </w:r>
      <w:r>
        <w:rPr>
          <w:rFonts w:ascii="宋体" w:hAnsi="宋体" w:cs="宋体"/>
        </w:rPr>
        <w:t>16.1.1</w:t>
      </w:r>
      <w:r>
        <w:rPr>
          <w:rFonts w:hint="eastAsia" w:ascii="宋体" w:hAnsi="宋体" w:cs="宋体"/>
        </w:rPr>
        <w:t>。</w:t>
      </w:r>
    </w:p>
    <w:p w14:paraId="52FC05E8">
      <w:pPr>
        <w:pStyle w:val="246"/>
        <w:spacing w:line="360" w:lineRule="auto"/>
        <w:ind w:firstLine="420" w:firstLineChars="200"/>
        <w:rPr>
          <w:rFonts w:ascii="宋体" w:cs="宋体"/>
        </w:rPr>
      </w:pPr>
      <w:r>
        <w:rPr>
          <w:rFonts w:ascii="宋体" w:hAnsi="宋体" w:cs="宋体"/>
        </w:rPr>
        <w:t>16.1.4</w:t>
      </w:r>
      <w:r>
        <w:rPr>
          <w:rFonts w:hint="eastAsia" w:ascii="宋体" w:hAnsi="宋体" w:cs="宋体"/>
        </w:rPr>
        <w:t>采用造价信息调整价格差额：</w:t>
      </w:r>
    </w:p>
    <w:p w14:paraId="6EBA3924">
      <w:pPr>
        <w:pStyle w:val="246"/>
        <w:spacing w:line="360" w:lineRule="auto"/>
        <w:ind w:firstLine="420" w:firstLineChars="200"/>
        <w:rPr>
          <w:rFonts w:ascii="宋体" w:cs="宋体"/>
        </w:rPr>
      </w:pPr>
      <w:r>
        <w:rPr>
          <w:rFonts w:hint="eastAsia" w:ascii="宋体" w:hAnsi="宋体" w:cs="宋体"/>
        </w:rPr>
        <w:t>工程造价信息的来源：参照</w:t>
      </w:r>
      <w:r>
        <w:rPr>
          <w:rFonts w:ascii="宋体" w:hAnsi="宋体" w:cs="宋体"/>
        </w:rPr>
        <w:t>16.1.1</w:t>
      </w:r>
      <w:r>
        <w:rPr>
          <w:rFonts w:hint="eastAsia" w:ascii="宋体" w:hAnsi="宋体" w:cs="宋体"/>
        </w:rPr>
        <w:t>。</w:t>
      </w:r>
    </w:p>
    <w:p w14:paraId="4D687DDE">
      <w:pPr>
        <w:pStyle w:val="246"/>
        <w:spacing w:line="360" w:lineRule="auto"/>
        <w:ind w:firstLine="420" w:firstLineChars="200"/>
        <w:rPr>
          <w:rFonts w:ascii="宋体" w:cs="宋体"/>
        </w:rPr>
      </w:pPr>
      <w:r>
        <w:rPr>
          <w:rFonts w:hint="eastAsia" w:ascii="宋体" w:hAnsi="宋体" w:cs="宋体"/>
        </w:rPr>
        <w:t>价格调整的项目和系数：参照</w:t>
      </w:r>
      <w:r>
        <w:rPr>
          <w:rFonts w:ascii="宋体" w:hAnsi="宋体" w:cs="宋体"/>
        </w:rPr>
        <w:t>16.1.1</w:t>
      </w:r>
      <w:r>
        <w:rPr>
          <w:rFonts w:hint="eastAsia" w:ascii="宋体" w:hAnsi="宋体" w:cs="宋体"/>
        </w:rPr>
        <w:t>。</w:t>
      </w:r>
    </w:p>
    <w:p w14:paraId="7F02EE02">
      <w:pPr>
        <w:pStyle w:val="318"/>
        <w:spacing w:line="360" w:lineRule="auto"/>
        <w:rPr>
          <w:rFonts w:ascii="宋体" w:cs="宋体"/>
          <w:sz w:val="21"/>
          <w:szCs w:val="21"/>
        </w:rPr>
      </w:pPr>
      <w:bookmarkStart w:id="2268" w:name="bookmark1779"/>
      <w:bookmarkEnd w:id="2268"/>
      <w:bookmarkStart w:id="2269" w:name="bookmark1780"/>
      <w:bookmarkStart w:id="2270" w:name="_Toc256000225"/>
      <w:bookmarkStart w:id="2271" w:name="_Toc25339"/>
      <w:bookmarkStart w:id="2272" w:name="_Toc13939"/>
      <w:bookmarkStart w:id="2273" w:name="_Toc256000475"/>
      <w:bookmarkStart w:id="2274" w:name="_Toc20772"/>
      <w:bookmarkStart w:id="2275" w:name="bookmark1778"/>
      <w:bookmarkStart w:id="2276" w:name="_Toc32549"/>
      <w:bookmarkStart w:id="2277" w:name="bookmark1777"/>
      <w:bookmarkStart w:id="2278" w:name="_Toc12454"/>
      <w:r>
        <w:rPr>
          <w:rFonts w:ascii="宋体" w:hAnsi="宋体" w:cs="宋体"/>
          <w:sz w:val="21"/>
          <w:szCs w:val="21"/>
        </w:rPr>
        <w:t xml:space="preserve">17. </w:t>
      </w:r>
      <w:r>
        <w:rPr>
          <w:rFonts w:hint="eastAsia" w:ascii="宋体" w:hAnsi="宋体" w:cs="宋体"/>
          <w:sz w:val="21"/>
          <w:szCs w:val="21"/>
        </w:rPr>
        <w:t>计量与支付</w:t>
      </w:r>
      <w:bookmarkEnd w:id="2269"/>
      <w:bookmarkEnd w:id="2270"/>
      <w:bookmarkEnd w:id="2271"/>
      <w:bookmarkEnd w:id="2272"/>
      <w:bookmarkEnd w:id="2273"/>
      <w:bookmarkEnd w:id="2274"/>
      <w:bookmarkEnd w:id="2275"/>
      <w:bookmarkEnd w:id="2276"/>
      <w:bookmarkEnd w:id="2277"/>
      <w:bookmarkEnd w:id="2278"/>
    </w:p>
    <w:p w14:paraId="2D231E82">
      <w:pPr>
        <w:pStyle w:val="318"/>
        <w:spacing w:line="360" w:lineRule="auto"/>
        <w:rPr>
          <w:rFonts w:ascii="宋体" w:cs="宋体"/>
          <w:sz w:val="21"/>
          <w:szCs w:val="21"/>
        </w:rPr>
      </w:pPr>
      <w:bookmarkStart w:id="2279" w:name="_Toc12760"/>
      <w:bookmarkStart w:id="2280" w:name="bookmark1781"/>
      <w:bookmarkStart w:id="2281" w:name="bookmark1782"/>
      <w:bookmarkStart w:id="2282" w:name="_Toc256000226"/>
      <w:bookmarkStart w:id="2283" w:name="_Toc5356"/>
      <w:bookmarkStart w:id="2284" w:name="_Toc256000476"/>
      <w:bookmarkStart w:id="2285" w:name="bookmark1783"/>
      <w:r>
        <w:rPr>
          <w:rFonts w:ascii="宋体" w:hAnsi="宋体" w:cs="宋体"/>
          <w:sz w:val="21"/>
          <w:szCs w:val="21"/>
        </w:rPr>
        <w:t>17.2</w:t>
      </w:r>
      <w:r>
        <w:rPr>
          <w:rFonts w:hint="eastAsia" w:ascii="宋体" w:hAnsi="宋体" w:cs="宋体"/>
          <w:sz w:val="21"/>
          <w:szCs w:val="21"/>
        </w:rPr>
        <w:t>预付款</w:t>
      </w:r>
      <w:bookmarkEnd w:id="2279"/>
      <w:bookmarkEnd w:id="2280"/>
      <w:bookmarkEnd w:id="2281"/>
      <w:bookmarkEnd w:id="2282"/>
      <w:bookmarkEnd w:id="2283"/>
      <w:bookmarkEnd w:id="2284"/>
      <w:bookmarkEnd w:id="2285"/>
    </w:p>
    <w:p w14:paraId="7C234FF2">
      <w:pPr>
        <w:pStyle w:val="320"/>
        <w:spacing w:after="0" w:line="360" w:lineRule="auto"/>
        <w:rPr>
          <w:rFonts w:ascii="宋体" w:cs="宋体"/>
          <w:sz w:val="21"/>
          <w:szCs w:val="21"/>
        </w:rPr>
      </w:pPr>
      <w:r>
        <w:rPr>
          <w:rFonts w:ascii="宋体" w:hAnsi="宋体" w:cs="宋体"/>
          <w:sz w:val="21"/>
          <w:szCs w:val="21"/>
        </w:rPr>
        <w:t>17.2.1</w:t>
      </w:r>
      <w:r>
        <w:rPr>
          <w:rFonts w:hint="eastAsia" w:ascii="宋体" w:hAnsi="宋体" w:cs="宋体"/>
          <w:sz w:val="21"/>
          <w:szCs w:val="21"/>
          <w:lang w:val="zh-CN"/>
        </w:rPr>
        <w:t>预付款</w:t>
      </w:r>
    </w:p>
    <w:p w14:paraId="4F47EBFE">
      <w:pPr>
        <w:pStyle w:val="319"/>
        <w:tabs>
          <w:tab w:val="left" w:pos="6706"/>
        </w:tabs>
        <w:spacing w:after="120"/>
        <w:ind w:left="420" w:firstLine="0"/>
        <w:rPr>
          <w:rFonts w:cs="Times New Roman"/>
          <w:sz w:val="21"/>
          <w:szCs w:val="21"/>
          <w:lang w:val="en-US"/>
        </w:rPr>
      </w:pPr>
      <w:bookmarkStart w:id="2286" w:name="bookmark1788"/>
      <w:bookmarkEnd w:id="2286"/>
      <w:bookmarkStart w:id="2287" w:name="bookmark1784"/>
      <w:bookmarkEnd w:id="2287"/>
      <w:r>
        <w:rPr>
          <w:rFonts w:hint="eastAsia"/>
          <w:sz w:val="21"/>
          <w:szCs w:val="21"/>
          <w:lang w:val="en-US"/>
        </w:rPr>
        <w:t>（</w:t>
      </w:r>
      <w:r>
        <w:rPr>
          <w:sz w:val="21"/>
          <w:szCs w:val="21"/>
          <w:lang w:val="en-US"/>
        </w:rPr>
        <w:t>1</w:t>
      </w:r>
      <w:r>
        <w:rPr>
          <w:rFonts w:hint="eastAsia"/>
          <w:sz w:val="21"/>
          <w:szCs w:val="21"/>
          <w:lang w:val="en-US"/>
        </w:rPr>
        <w:t>）工程预付款的总金额为签约合同价的</w:t>
      </w:r>
      <w:r>
        <w:rPr>
          <w:sz w:val="21"/>
          <w:szCs w:val="21"/>
          <w:lang w:val="en-US"/>
        </w:rPr>
        <w:t>30%,</w:t>
      </w:r>
      <w:r>
        <w:rPr>
          <w:rFonts w:hint="eastAsia"/>
          <w:sz w:val="21"/>
          <w:szCs w:val="21"/>
          <w:lang w:val="en-US"/>
        </w:rPr>
        <w:t>分</w:t>
      </w:r>
      <w:r>
        <w:rPr>
          <w:sz w:val="21"/>
          <w:szCs w:val="21"/>
          <w:lang w:val="en-US"/>
        </w:rPr>
        <w:t>2</w:t>
      </w:r>
      <w:r>
        <w:rPr>
          <w:rFonts w:hint="eastAsia"/>
          <w:sz w:val="21"/>
          <w:szCs w:val="21"/>
          <w:lang w:val="en-US"/>
        </w:rPr>
        <w:t>次支付给承包人。各次预付款的支付额度和付款时间为：</w:t>
      </w:r>
    </w:p>
    <w:p w14:paraId="388D4E3B">
      <w:pPr>
        <w:pStyle w:val="319"/>
        <w:tabs>
          <w:tab w:val="left" w:pos="6706"/>
        </w:tabs>
        <w:spacing w:after="120"/>
        <w:ind w:left="420" w:firstLine="0"/>
        <w:rPr>
          <w:rFonts w:cs="Times New Roman"/>
          <w:sz w:val="21"/>
          <w:szCs w:val="21"/>
          <w:lang w:val="en-US"/>
        </w:rPr>
      </w:pPr>
      <w:bookmarkStart w:id="2288" w:name="bookmark1785"/>
      <w:bookmarkEnd w:id="2288"/>
      <w:r>
        <w:rPr>
          <w:rFonts w:hint="eastAsia"/>
          <w:sz w:val="21"/>
          <w:szCs w:val="21"/>
          <w:lang w:val="en-US"/>
        </w:rPr>
        <w:t>第一次预付款金额为工程预付款总金额的</w:t>
      </w:r>
      <w:r>
        <w:rPr>
          <w:sz w:val="21"/>
          <w:szCs w:val="21"/>
          <w:lang w:val="en-US"/>
        </w:rPr>
        <w:t>40%,</w:t>
      </w:r>
      <w:r>
        <w:rPr>
          <w:rFonts w:hint="eastAsia"/>
          <w:sz w:val="21"/>
          <w:szCs w:val="21"/>
          <w:lang w:val="en-US"/>
        </w:rPr>
        <w:t>付款时间应在合同协议书签订后，由承包人向发包人提交了发包人认可的工程预付款担保，并经监理人出具付款证书</w:t>
      </w:r>
      <w:r>
        <w:rPr>
          <w:sz w:val="21"/>
          <w:szCs w:val="21"/>
          <w:lang w:val="en-US"/>
        </w:rPr>
        <w:t xml:space="preserve"> </w:t>
      </w:r>
      <w:r>
        <w:rPr>
          <w:rFonts w:hint="eastAsia"/>
          <w:sz w:val="21"/>
          <w:szCs w:val="21"/>
          <w:lang w:val="en-US"/>
        </w:rPr>
        <w:t>报送发包人批准后</w:t>
      </w:r>
      <w:r>
        <w:rPr>
          <w:sz w:val="21"/>
          <w:szCs w:val="21"/>
          <w:lang w:val="en-US"/>
        </w:rPr>
        <w:t>14</w:t>
      </w:r>
      <w:r>
        <w:rPr>
          <w:rFonts w:hint="eastAsia"/>
          <w:sz w:val="21"/>
          <w:szCs w:val="21"/>
          <w:lang w:val="en-US"/>
        </w:rPr>
        <w:t>天内予以支付。</w:t>
      </w:r>
    </w:p>
    <w:p w14:paraId="699A1509">
      <w:pPr>
        <w:pStyle w:val="319"/>
        <w:tabs>
          <w:tab w:val="left" w:pos="6706"/>
        </w:tabs>
        <w:spacing w:after="120"/>
        <w:ind w:left="420" w:firstLine="0"/>
        <w:rPr>
          <w:rFonts w:cs="Times New Roman"/>
          <w:sz w:val="21"/>
          <w:szCs w:val="21"/>
          <w:lang w:val="en-US"/>
        </w:rPr>
      </w:pPr>
      <w:bookmarkStart w:id="2289" w:name="bookmark1786"/>
      <w:bookmarkEnd w:id="2289"/>
      <w:r>
        <w:rPr>
          <w:rFonts w:hint="eastAsia"/>
          <w:sz w:val="21"/>
          <w:szCs w:val="21"/>
          <w:lang w:val="en-US"/>
        </w:rPr>
        <w:t>第二次预付款金额为工程预付款总金额的</w:t>
      </w:r>
      <w:r>
        <w:rPr>
          <w:sz w:val="21"/>
          <w:szCs w:val="21"/>
          <w:lang w:val="en-US"/>
        </w:rPr>
        <w:t>60%</w:t>
      </w:r>
      <w:r>
        <w:rPr>
          <w:rFonts w:hint="eastAsia"/>
          <w:sz w:val="21"/>
          <w:szCs w:val="21"/>
          <w:lang w:val="en-US"/>
        </w:rPr>
        <w:t>。付款时间需待承包人主要设备进入工地后，其估算价值已达到本次预付款金额时，由承包人提出书面申请，经监理人核实后出具付款证书报送发包人批准后</w:t>
      </w:r>
      <w:r>
        <w:rPr>
          <w:sz w:val="21"/>
          <w:szCs w:val="21"/>
          <w:lang w:val="en-US"/>
        </w:rPr>
        <w:t>14</w:t>
      </w:r>
      <w:r>
        <w:rPr>
          <w:rFonts w:hint="eastAsia"/>
          <w:sz w:val="21"/>
          <w:szCs w:val="21"/>
          <w:lang w:val="en-US"/>
        </w:rPr>
        <w:t>天内予以支付。</w:t>
      </w:r>
    </w:p>
    <w:p w14:paraId="75AFBAC4">
      <w:pPr>
        <w:pStyle w:val="319"/>
        <w:tabs>
          <w:tab w:val="left" w:pos="6706"/>
        </w:tabs>
        <w:spacing w:after="120"/>
        <w:ind w:left="420" w:firstLine="0"/>
        <w:rPr>
          <w:rFonts w:cs="Times New Roman"/>
          <w:sz w:val="21"/>
          <w:szCs w:val="21"/>
        </w:rPr>
      </w:pPr>
      <w:bookmarkStart w:id="2290" w:name="bookmark1787"/>
      <w:bookmarkEnd w:id="2290"/>
      <w:r>
        <w:rPr>
          <w:rFonts w:hint="eastAsia"/>
          <w:sz w:val="21"/>
          <w:szCs w:val="21"/>
          <w:lang w:val="en-US"/>
        </w:rPr>
        <w:t>（</w:t>
      </w:r>
      <w:r>
        <w:rPr>
          <w:sz w:val="21"/>
          <w:szCs w:val="21"/>
          <w:lang w:val="en-US"/>
        </w:rPr>
        <w:t>2</w:t>
      </w:r>
      <w:r>
        <w:rPr>
          <w:rFonts w:hint="eastAsia"/>
          <w:sz w:val="21"/>
          <w:szCs w:val="21"/>
          <w:lang w:val="en-US"/>
        </w:rPr>
        <w:t>）工程材料预付款的额度和预付办法约定为：本工程无材料预付款。</w:t>
      </w:r>
    </w:p>
    <w:p w14:paraId="38A804CB">
      <w:pPr>
        <w:pStyle w:val="319"/>
        <w:ind w:firstLine="420"/>
        <w:rPr>
          <w:sz w:val="21"/>
          <w:szCs w:val="21"/>
        </w:rPr>
      </w:pPr>
      <w:r>
        <w:rPr>
          <w:sz w:val="21"/>
          <w:szCs w:val="21"/>
          <w:lang w:val="en-US"/>
        </w:rPr>
        <w:t>17.2.2</w:t>
      </w:r>
      <w:r>
        <w:rPr>
          <w:rFonts w:hint="eastAsia"/>
          <w:sz w:val="21"/>
          <w:szCs w:val="21"/>
        </w:rPr>
        <w:t>预付款保函</w:t>
      </w:r>
      <w:r>
        <w:rPr>
          <w:sz w:val="21"/>
          <w:szCs w:val="21"/>
        </w:rPr>
        <w:t>(</w:t>
      </w:r>
      <w:r>
        <w:rPr>
          <w:rFonts w:hint="eastAsia"/>
          <w:sz w:val="21"/>
          <w:szCs w:val="21"/>
        </w:rPr>
        <w:t>担保</w:t>
      </w:r>
      <w:r>
        <w:rPr>
          <w:sz w:val="21"/>
          <w:szCs w:val="21"/>
        </w:rPr>
        <w:t>)</w:t>
      </w:r>
    </w:p>
    <w:p w14:paraId="2859718D">
      <w:pPr>
        <w:pStyle w:val="319"/>
        <w:tabs>
          <w:tab w:val="left" w:pos="5657"/>
        </w:tabs>
        <w:spacing w:after="120"/>
        <w:ind w:firstLine="420"/>
        <w:rPr>
          <w:rFonts w:cs="Times New Roman"/>
          <w:sz w:val="21"/>
          <w:szCs w:val="21"/>
        </w:rPr>
      </w:pPr>
      <w:r>
        <w:rPr>
          <w:sz w:val="21"/>
          <w:szCs w:val="21"/>
        </w:rPr>
        <w:t>(2)</w:t>
      </w:r>
      <w:r>
        <w:rPr>
          <w:rFonts w:hint="eastAsia"/>
          <w:sz w:val="21"/>
          <w:szCs w:val="21"/>
        </w:rPr>
        <w:t>工程材料预付款的担保约定为：</w:t>
      </w:r>
      <w:r>
        <w:rPr>
          <w:rFonts w:hint="eastAsia"/>
          <w:sz w:val="21"/>
          <w:szCs w:val="21"/>
          <w:u w:val="single"/>
          <w:lang w:val="en-US"/>
        </w:rPr>
        <w:t>无</w:t>
      </w:r>
      <w:r>
        <w:rPr>
          <w:rFonts w:hint="eastAsia"/>
          <w:sz w:val="21"/>
          <w:szCs w:val="21"/>
          <w:lang w:val="en-US"/>
        </w:rPr>
        <w:t>。</w:t>
      </w:r>
    </w:p>
    <w:p w14:paraId="30983710">
      <w:pPr>
        <w:pStyle w:val="319"/>
        <w:ind w:firstLine="420"/>
        <w:rPr>
          <w:rFonts w:cs="Times New Roman"/>
          <w:sz w:val="21"/>
          <w:szCs w:val="21"/>
        </w:rPr>
      </w:pPr>
      <w:r>
        <w:rPr>
          <w:sz w:val="21"/>
          <w:szCs w:val="21"/>
          <w:lang w:val="en-US"/>
        </w:rPr>
        <w:t>17.2.3</w:t>
      </w:r>
      <w:r>
        <w:rPr>
          <w:rFonts w:hint="eastAsia"/>
          <w:sz w:val="21"/>
          <w:szCs w:val="21"/>
        </w:rPr>
        <w:t>预付款的扣回与还清</w:t>
      </w:r>
    </w:p>
    <w:p w14:paraId="61F173EA">
      <w:pPr>
        <w:pStyle w:val="319"/>
        <w:tabs>
          <w:tab w:val="left" w:pos="3967"/>
          <w:tab w:val="left" w:pos="6151"/>
        </w:tabs>
        <w:ind w:firstLine="440"/>
        <w:rPr>
          <w:rFonts w:cs="Times New Roman"/>
          <w:sz w:val="21"/>
          <w:szCs w:val="21"/>
        </w:rPr>
      </w:pPr>
      <w:r>
        <w:rPr>
          <w:rFonts w:hint="eastAsia"/>
          <w:sz w:val="21"/>
          <w:szCs w:val="21"/>
        </w:rPr>
        <w:t>工程预付款在合同累计完成金额达到签约合同价格的</w:t>
      </w:r>
      <w:r>
        <w:rPr>
          <w:sz w:val="21"/>
          <w:szCs w:val="21"/>
        </w:rPr>
        <w:t>30%</w:t>
      </w:r>
      <w:r>
        <w:rPr>
          <w:rFonts w:hint="eastAsia"/>
          <w:sz w:val="21"/>
          <w:szCs w:val="21"/>
        </w:rPr>
        <w:t>时开始扣款，直至合同累计完成金额达到签约合同价的</w:t>
      </w:r>
      <w:r>
        <w:rPr>
          <w:sz w:val="21"/>
          <w:szCs w:val="21"/>
        </w:rPr>
        <w:t>90%</w:t>
      </w:r>
      <w:r>
        <w:rPr>
          <w:rFonts w:hint="eastAsia"/>
          <w:sz w:val="21"/>
          <w:szCs w:val="21"/>
        </w:rPr>
        <w:t>时全部扣清。</w:t>
      </w:r>
    </w:p>
    <w:p w14:paraId="77500CDD">
      <w:pPr>
        <w:pStyle w:val="319"/>
        <w:ind w:firstLine="420"/>
        <w:rPr>
          <w:rFonts w:cs="Times New Roman"/>
          <w:sz w:val="21"/>
          <w:szCs w:val="21"/>
          <w:cs/>
          <w:lang w:val="mn-Mong-CN" w:bidi="mn-Mong-CN"/>
        </w:rPr>
      </w:pPr>
      <w:r>
        <w:rPr>
          <w:lang w:val="en-US"/>
        </w:rPr>
        <w:pict>
          <v:shape id="对象 5" o:spid="_x0000_s1030" o:spt="75" type="#_x0000_t75" style="position:absolute;left:0pt;margin-left:63pt;margin-top:7.95pt;height:31.5pt;width:126.4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3" o:title=""/>
            <o:lock v:ext="edit" aspectratio="f"/>
            <w10:wrap type="square"/>
          </v:shape>
          <o:OLEObject Type="Embed" ProgID="Equation.3" ShapeID="对象 5" DrawAspect="Content" ObjectID="_1468075726" r:id="rId12">
            <o:LockedField>false</o:LockedField>
          </o:OLEObject>
        </w:pict>
      </w:r>
    </w:p>
    <w:p w14:paraId="6525A25A">
      <w:pPr>
        <w:pStyle w:val="319"/>
        <w:ind w:firstLine="420"/>
        <w:rPr>
          <w:rFonts w:cs="Times New Roman"/>
          <w:sz w:val="21"/>
          <w:szCs w:val="21"/>
          <w:cs/>
          <w:lang w:val="mn-Mong-CN" w:bidi="mn-Mong-CN"/>
        </w:rPr>
      </w:pPr>
      <w:r>
        <w:rPr>
          <w:rFonts w:hint="eastAsia"/>
          <w:sz w:val="21"/>
          <w:szCs w:val="21"/>
          <w:cs/>
          <w:lang w:val="mn-Mong-CN" w:bidi="mn-Mong-CN"/>
        </w:rPr>
        <w:t>式中：</w:t>
      </w:r>
      <w:r>
        <w:rPr>
          <w:sz w:val="21"/>
          <w:szCs w:val="21"/>
          <w:cs/>
          <w:lang w:val="mn-Mong-CN" w:bidi="mn-Mong-CN"/>
        </w:rPr>
        <w:t>R——</w:t>
      </w:r>
      <w:r>
        <w:rPr>
          <w:rFonts w:hint="eastAsia"/>
          <w:sz w:val="21"/>
          <w:szCs w:val="21"/>
          <w:cs/>
          <w:lang w:val="mn-Mong-CN" w:bidi="mn-Mong-CN"/>
        </w:rPr>
        <w:t>每次进度付款中累计扣回的金额；</w:t>
      </w:r>
    </w:p>
    <w:p w14:paraId="1CC9D556">
      <w:pPr>
        <w:pStyle w:val="319"/>
        <w:ind w:firstLine="420"/>
        <w:rPr>
          <w:rFonts w:cs="Times New Roman"/>
          <w:sz w:val="21"/>
          <w:szCs w:val="21"/>
          <w:cs/>
          <w:lang w:val="mn-Mong-CN" w:bidi="mn-Mong-CN"/>
        </w:rPr>
      </w:pPr>
      <w:r>
        <w:rPr>
          <w:sz w:val="21"/>
          <w:szCs w:val="21"/>
          <w:cs/>
          <w:lang w:val="mn-Mong-CN" w:bidi="mn-Mong-CN"/>
        </w:rPr>
        <w:t xml:space="preserve">      </w:t>
      </w:r>
      <w:bookmarkStart w:id="2291" w:name="_Toc221951241"/>
      <w:r>
        <w:rPr>
          <w:sz w:val="21"/>
          <w:szCs w:val="21"/>
          <w:cs/>
          <w:lang w:val="mn-Mong-CN" w:bidi="mn-Mong-CN"/>
        </w:rPr>
        <w:t>A——</w:t>
      </w:r>
      <w:r>
        <w:rPr>
          <w:rFonts w:hint="eastAsia"/>
          <w:sz w:val="21"/>
          <w:szCs w:val="21"/>
          <w:cs/>
          <w:lang w:val="mn-Mong-CN" w:bidi="mn-Mong-CN"/>
        </w:rPr>
        <w:t>工程预付款总金额；</w:t>
      </w:r>
      <w:bookmarkEnd w:id="2291"/>
    </w:p>
    <w:p w14:paraId="2EFAFC81">
      <w:pPr>
        <w:pStyle w:val="319"/>
        <w:ind w:firstLine="420"/>
        <w:rPr>
          <w:rFonts w:cs="Times New Roman"/>
          <w:sz w:val="21"/>
          <w:szCs w:val="21"/>
          <w:cs/>
          <w:lang w:val="mn-Mong-CN" w:bidi="mn-Mong-CN"/>
        </w:rPr>
      </w:pPr>
      <w:r>
        <w:rPr>
          <w:sz w:val="21"/>
          <w:szCs w:val="21"/>
          <w:cs/>
          <w:lang w:val="mn-Mong-CN" w:bidi="mn-Mong-CN"/>
        </w:rPr>
        <w:t xml:space="preserve">      </w:t>
      </w:r>
      <w:bookmarkStart w:id="2292" w:name="_Toc221951242"/>
      <w:r>
        <w:rPr>
          <w:sz w:val="21"/>
          <w:szCs w:val="21"/>
          <w:cs/>
          <w:lang w:val="mn-Mong-CN" w:bidi="mn-Mong-CN"/>
        </w:rPr>
        <w:t>S——</w:t>
      </w:r>
      <w:r>
        <w:rPr>
          <w:rFonts w:hint="eastAsia"/>
          <w:sz w:val="21"/>
          <w:szCs w:val="21"/>
          <w:cs/>
          <w:lang w:val="mn-Mong-CN" w:bidi="mn-Mong-CN"/>
        </w:rPr>
        <w:t>签约合同价格；</w:t>
      </w:r>
      <w:bookmarkEnd w:id="2292"/>
    </w:p>
    <w:p w14:paraId="46758189">
      <w:pPr>
        <w:pStyle w:val="319"/>
        <w:ind w:firstLine="420"/>
        <w:rPr>
          <w:rFonts w:cs="Times New Roman"/>
          <w:sz w:val="21"/>
          <w:szCs w:val="21"/>
          <w:cs/>
          <w:lang w:val="mn-Mong-CN" w:bidi="mn-Mong-CN"/>
        </w:rPr>
      </w:pPr>
      <w:r>
        <w:rPr>
          <w:sz w:val="21"/>
          <w:szCs w:val="21"/>
          <w:cs/>
          <w:lang w:val="mn-Mong-CN" w:bidi="mn-Mong-CN"/>
        </w:rPr>
        <w:t xml:space="preserve">      </w:t>
      </w:r>
      <w:bookmarkStart w:id="2293" w:name="_Toc221951243"/>
      <w:r>
        <w:rPr>
          <w:sz w:val="21"/>
          <w:szCs w:val="21"/>
          <w:cs/>
          <w:lang w:val="mn-Mong-CN" w:bidi="mn-Mong-CN"/>
        </w:rPr>
        <w:t>C——</w:t>
      </w:r>
      <w:r>
        <w:rPr>
          <w:rFonts w:hint="eastAsia"/>
          <w:sz w:val="21"/>
          <w:szCs w:val="21"/>
          <w:cs/>
          <w:lang w:val="mn-Mong-CN" w:bidi="mn-Mong-CN"/>
        </w:rPr>
        <w:t>合同累计完成金额；</w:t>
      </w:r>
      <w:bookmarkEnd w:id="2293"/>
    </w:p>
    <w:p w14:paraId="5A92F974">
      <w:pPr>
        <w:pStyle w:val="319"/>
        <w:ind w:firstLine="420"/>
        <w:rPr>
          <w:rFonts w:cs="Times New Roman"/>
          <w:sz w:val="21"/>
          <w:szCs w:val="21"/>
          <w:cs/>
          <w:lang w:val="mn-Mong-CN" w:bidi="mn-Mong-CN"/>
        </w:rPr>
      </w:pPr>
      <w:r>
        <w:rPr>
          <w:sz w:val="21"/>
          <w:szCs w:val="21"/>
          <w:cs/>
          <w:lang w:val="mn-Mong-CN" w:bidi="mn-Mong-CN"/>
        </w:rPr>
        <w:t xml:space="preserve">      </w:t>
      </w:r>
      <w:bookmarkStart w:id="2294" w:name="_Toc221951244"/>
      <w:r>
        <w:rPr>
          <w:sz w:val="21"/>
          <w:szCs w:val="21"/>
          <w:cs/>
          <w:lang w:val="mn-Mong-CN" w:bidi="mn-Mong-CN"/>
        </w:rPr>
        <w:t>F</w:t>
      </w:r>
      <w:r>
        <w:rPr>
          <w:sz w:val="21"/>
          <w:szCs w:val="21"/>
          <w:vertAlign w:val="subscript"/>
          <w:cs/>
          <w:lang w:val="mn-Mong-CN" w:bidi="mn-Mong-CN"/>
        </w:rPr>
        <w:t>1</w:t>
      </w:r>
      <w:r>
        <w:rPr>
          <w:sz w:val="21"/>
          <w:szCs w:val="21"/>
          <w:cs/>
          <w:lang w:val="mn-Mong-CN" w:bidi="mn-Mong-CN"/>
        </w:rPr>
        <w:t>——</w:t>
      </w:r>
      <w:r>
        <w:rPr>
          <w:rFonts w:hint="eastAsia"/>
          <w:sz w:val="21"/>
          <w:szCs w:val="21"/>
          <w:cs/>
          <w:lang w:val="mn-Mong-CN" w:bidi="mn-Mong-CN"/>
        </w:rPr>
        <w:t>开始扣款时合同累计完成金额达到签约合同价格的比例；</w:t>
      </w:r>
      <w:bookmarkEnd w:id="2294"/>
    </w:p>
    <w:p w14:paraId="377693BF">
      <w:pPr>
        <w:pStyle w:val="319"/>
        <w:ind w:firstLine="420"/>
        <w:rPr>
          <w:rFonts w:cs="Times New Roman"/>
          <w:sz w:val="21"/>
          <w:szCs w:val="21"/>
          <w:lang w:val="en-US"/>
        </w:rPr>
      </w:pPr>
      <w:r>
        <w:rPr>
          <w:sz w:val="21"/>
          <w:szCs w:val="21"/>
          <w:lang w:val="en-US"/>
        </w:rPr>
        <w:t xml:space="preserve">      </w:t>
      </w:r>
      <w:bookmarkStart w:id="2295" w:name="_Toc221951245"/>
      <w:r>
        <w:rPr>
          <w:sz w:val="21"/>
          <w:szCs w:val="21"/>
          <w:lang w:val="en-US"/>
        </w:rPr>
        <w:t>F</w:t>
      </w:r>
      <w:r>
        <w:rPr>
          <w:sz w:val="21"/>
          <w:szCs w:val="21"/>
          <w:vertAlign w:val="subscript"/>
          <w:lang w:val="en-US"/>
        </w:rPr>
        <w:t>2</w:t>
      </w:r>
      <w:r>
        <w:rPr>
          <w:sz w:val="21"/>
          <w:szCs w:val="21"/>
          <w:lang w:val="en-US"/>
        </w:rPr>
        <w:t>——</w:t>
      </w:r>
      <w:r>
        <w:rPr>
          <w:rFonts w:hint="eastAsia"/>
          <w:sz w:val="21"/>
          <w:szCs w:val="21"/>
          <w:lang w:val="en-US"/>
        </w:rPr>
        <w:t>全部扣清时合同累计完成金额达到签约合同价格的比例。</w:t>
      </w:r>
      <w:bookmarkEnd w:id="2295"/>
    </w:p>
    <w:p w14:paraId="7A4CB6CC">
      <w:pPr>
        <w:pStyle w:val="319"/>
        <w:ind w:firstLine="420"/>
        <w:rPr>
          <w:rFonts w:cs="Times New Roman"/>
          <w:sz w:val="21"/>
          <w:szCs w:val="21"/>
        </w:rPr>
      </w:pPr>
      <w:r>
        <w:rPr>
          <w:rFonts w:hint="eastAsia"/>
          <w:sz w:val="21"/>
          <w:szCs w:val="21"/>
        </w:rPr>
        <w:t>上述合同累计完成金额均指价格调整前未扣质量保证金的金额。</w:t>
      </w:r>
    </w:p>
    <w:p w14:paraId="300D0143">
      <w:pPr>
        <w:pStyle w:val="319"/>
        <w:tabs>
          <w:tab w:val="left" w:pos="6286"/>
        </w:tabs>
        <w:spacing w:after="120"/>
        <w:ind w:firstLine="420"/>
        <w:rPr>
          <w:rFonts w:cs="Times New Roman"/>
          <w:sz w:val="21"/>
          <w:szCs w:val="21"/>
        </w:rPr>
      </w:pPr>
      <w:r>
        <w:rPr>
          <w:sz w:val="21"/>
          <w:szCs w:val="21"/>
        </w:rPr>
        <w:t>(2)</w:t>
      </w:r>
      <w:r>
        <w:rPr>
          <w:rFonts w:hint="eastAsia"/>
          <w:sz w:val="21"/>
          <w:szCs w:val="21"/>
        </w:rPr>
        <w:t>工程材料预付款的扣回与还清约定为：</w:t>
      </w:r>
      <w:r>
        <w:rPr>
          <w:rFonts w:hint="eastAsia"/>
          <w:sz w:val="21"/>
          <w:szCs w:val="21"/>
          <w:u w:val="single"/>
          <w:lang w:val="en-US"/>
        </w:rPr>
        <w:t>无</w:t>
      </w:r>
      <w:r>
        <w:rPr>
          <w:rFonts w:hint="eastAsia"/>
          <w:sz w:val="21"/>
          <w:szCs w:val="21"/>
          <w:lang w:val="en-US"/>
        </w:rPr>
        <w:t>。</w:t>
      </w:r>
    </w:p>
    <w:p w14:paraId="0BF53726">
      <w:pPr>
        <w:pStyle w:val="318"/>
        <w:spacing w:line="360" w:lineRule="auto"/>
        <w:rPr>
          <w:rFonts w:ascii="宋体" w:cs="宋体"/>
          <w:sz w:val="21"/>
          <w:szCs w:val="21"/>
        </w:rPr>
      </w:pPr>
      <w:bookmarkStart w:id="2296" w:name="bookmark1791"/>
      <w:bookmarkStart w:id="2297" w:name="_Toc256000227"/>
      <w:bookmarkStart w:id="2298" w:name="_Toc7765"/>
      <w:bookmarkStart w:id="2299" w:name="_Toc256000477"/>
      <w:bookmarkStart w:id="2300" w:name="bookmark1790"/>
      <w:bookmarkStart w:id="2301" w:name="_Toc18987"/>
      <w:bookmarkStart w:id="2302" w:name="bookmark1789"/>
      <w:r>
        <w:rPr>
          <w:rFonts w:ascii="宋体" w:hAnsi="宋体" w:cs="宋体"/>
          <w:sz w:val="21"/>
          <w:szCs w:val="21"/>
        </w:rPr>
        <w:t>17.3</w:t>
      </w:r>
      <w:r>
        <w:rPr>
          <w:rFonts w:hint="eastAsia" w:ascii="宋体" w:hAnsi="宋体" w:cs="宋体"/>
          <w:sz w:val="21"/>
          <w:szCs w:val="21"/>
        </w:rPr>
        <w:t>工程进度付款</w:t>
      </w:r>
      <w:bookmarkEnd w:id="2296"/>
      <w:bookmarkEnd w:id="2297"/>
      <w:bookmarkEnd w:id="2298"/>
      <w:bookmarkEnd w:id="2299"/>
      <w:bookmarkEnd w:id="2300"/>
      <w:bookmarkEnd w:id="2301"/>
      <w:bookmarkEnd w:id="2302"/>
    </w:p>
    <w:p w14:paraId="57CFE4E6">
      <w:pPr>
        <w:pStyle w:val="319"/>
        <w:ind w:firstLine="420"/>
        <w:rPr>
          <w:rFonts w:cs="Times New Roman"/>
          <w:sz w:val="21"/>
          <w:szCs w:val="21"/>
        </w:rPr>
      </w:pPr>
      <w:r>
        <w:rPr>
          <w:sz w:val="21"/>
          <w:szCs w:val="21"/>
          <w:lang w:val="en-US"/>
        </w:rPr>
        <w:t>17.3.2</w:t>
      </w:r>
      <w:r>
        <w:rPr>
          <w:rFonts w:hint="eastAsia"/>
          <w:sz w:val="21"/>
          <w:szCs w:val="21"/>
        </w:rPr>
        <w:t>进度付款申请单</w:t>
      </w:r>
    </w:p>
    <w:p w14:paraId="428B885D">
      <w:pPr>
        <w:pStyle w:val="319"/>
        <w:tabs>
          <w:tab w:val="left" w:pos="4428"/>
        </w:tabs>
        <w:ind w:firstLine="440"/>
        <w:rPr>
          <w:rFonts w:cs="Times New Roman"/>
          <w:sz w:val="21"/>
          <w:szCs w:val="21"/>
          <w:lang w:val="en-US"/>
        </w:rPr>
      </w:pPr>
      <w:r>
        <w:rPr>
          <w:rFonts w:hint="eastAsia"/>
          <w:sz w:val="21"/>
          <w:szCs w:val="21"/>
        </w:rPr>
        <w:t>承包人提交进度付款申请单的份数：</w:t>
      </w:r>
      <w:r>
        <w:rPr>
          <w:rFonts w:hint="eastAsia"/>
          <w:sz w:val="21"/>
          <w:szCs w:val="21"/>
          <w:lang w:val="en-US"/>
        </w:rPr>
        <w:t>一式六份。</w:t>
      </w:r>
    </w:p>
    <w:p w14:paraId="49F7F8BF">
      <w:pPr>
        <w:pStyle w:val="319"/>
        <w:tabs>
          <w:tab w:val="left" w:pos="4613"/>
          <w:tab w:val="left" w:pos="7978"/>
        </w:tabs>
        <w:ind w:left="420" w:firstLine="20"/>
        <w:rPr>
          <w:rFonts w:cs="Times New Roman"/>
          <w:sz w:val="21"/>
          <w:szCs w:val="21"/>
        </w:rPr>
      </w:pPr>
      <w:r>
        <w:rPr>
          <w:sz w:val="21"/>
          <w:szCs w:val="21"/>
          <w:lang w:val="en-US"/>
        </w:rPr>
        <w:t>17.3.3</w:t>
      </w:r>
      <w:r>
        <w:rPr>
          <w:rFonts w:hint="eastAsia"/>
          <w:sz w:val="21"/>
          <w:szCs w:val="21"/>
        </w:rPr>
        <w:t>进度付款证书和支付时间</w:t>
      </w:r>
    </w:p>
    <w:p w14:paraId="506BF0A6">
      <w:pPr>
        <w:pStyle w:val="319"/>
        <w:tabs>
          <w:tab w:val="left" w:pos="4428"/>
        </w:tabs>
        <w:ind w:firstLine="440"/>
        <w:rPr>
          <w:rFonts w:cs="Times New Roman"/>
          <w:sz w:val="21"/>
          <w:szCs w:val="21"/>
        </w:rPr>
      </w:pPr>
      <w:r>
        <w:rPr>
          <w:sz w:val="21"/>
          <w:szCs w:val="21"/>
        </w:rPr>
        <w:t>(2)</w:t>
      </w:r>
      <w:r>
        <w:rPr>
          <w:rFonts w:hint="eastAsia"/>
          <w:sz w:val="21"/>
          <w:szCs w:val="21"/>
        </w:rPr>
        <w:t>本款“专用合同条款的约定支付逾期付款违约金”为按中国人民银行规定的同期贷款利率计算的逾期付款金额的利息。</w:t>
      </w:r>
    </w:p>
    <w:p w14:paraId="5D5EA690">
      <w:pPr>
        <w:pStyle w:val="319"/>
        <w:ind w:firstLine="420"/>
        <w:rPr>
          <w:rFonts w:cs="Times New Roman"/>
          <w:sz w:val="21"/>
          <w:szCs w:val="21"/>
        </w:rPr>
      </w:pPr>
      <w:r>
        <w:rPr>
          <w:sz w:val="21"/>
          <w:szCs w:val="21"/>
          <w:lang w:val="en-US"/>
        </w:rPr>
        <w:t>17.3.5</w:t>
      </w:r>
      <w:r>
        <w:rPr>
          <w:rFonts w:hint="eastAsia"/>
          <w:sz w:val="21"/>
          <w:szCs w:val="21"/>
        </w:rPr>
        <w:t>工程进度付款的支付比例</w:t>
      </w:r>
    </w:p>
    <w:p w14:paraId="399CC8B7">
      <w:pPr>
        <w:pStyle w:val="322"/>
        <w:tabs>
          <w:tab w:val="left" w:pos="4428"/>
        </w:tabs>
        <w:ind w:firstLine="440"/>
        <w:rPr>
          <w:rFonts w:hint="eastAsia"/>
        </w:rPr>
      </w:pPr>
      <w:bookmarkStart w:id="2303" w:name="bookmark1794"/>
      <w:bookmarkStart w:id="2304" w:name="bookmark1793"/>
      <w:bookmarkStart w:id="2305" w:name="bookmark1792"/>
      <w:bookmarkStart w:id="2306" w:name="_Toc256000228"/>
      <w:r>
        <w:rPr>
          <w:rFonts w:hint="eastAsia"/>
        </w:rPr>
        <w:t>每个付款周期按实际完成工程量的90%支付工程进度款</w:t>
      </w:r>
      <w:bookmarkStart w:id="2307" w:name="_Toc256000478"/>
      <w:bookmarkStart w:id="2308" w:name="_Toc8216"/>
      <w:bookmarkStart w:id="2309" w:name="_Toc4049"/>
      <w:r>
        <w:rPr>
          <w:rFonts w:hint="eastAsia"/>
        </w:rPr>
        <w:t>（含因设计变更引起增加工程量造价同期支付）,但余款不能少于关键工程未完工程量造价的2倍（此处应明确列出，一般是指施工难度大造价相对低的项目，如隧洞工程等）</w:t>
      </w:r>
      <w:r>
        <w:rPr>
          <w:rFonts w:hint="eastAsia"/>
          <w:lang w:eastAsia="zh-CN"/>
        </w:rPr>
        <w:t>，</w:t>
      </w:r>
      <w:r>
        <w:rPr>
          <w:rFonts w:hint="eastAsia"/>
        </w:rPr>
        <w:t>余款在工程完工结算经财政评审（或审计机构审计）确认，支付至审定工程结算价的97％，余额留3％作为保修金于保修期满后30天内支付给乙方。</w:t>
      </w:r>
    </w:p>
    <w:p w14:paraId="19DE55B9">
      <w:pPr>
        <w:pStyle w:val="322"/>
        <w:tabs>
          <w:tab w:val="left" w:pos="4428"/>
        </w:tabs>
        <w:ind w:firstLine="440"/>
        <w:rPr>
          <w:rFonts w:cs="Times New Roman"/>
        </w:rPr>
      </w:pPr>
      <w:r>
        <w:t>17.4</w:t>
      </w:r>
      <w:r>
        <w:rPr>
          <w:rFonts w:hint="eastAsia"/>
        </w:rPr>
        <w:t>质量保证金</w:t>
      </w:r>
      <w:bookmarkEnd w:id="2303"/>
      <w:bookmarkEnd w:id="2304"/>
      <w:bookmarkEnd w:id="2305"/>
      <w:bookmarkEnd w:id="2306"/>
      <w:bookmarkEnd w:id="2307"/>
      <w:bookmarkEnd w:id="2308"/>
      <w:bookmarkEnd w:id="2309"/>
    </w:p>
    <w:p w14:paraId="32F5A096">
      <w:pPr>
        <w:pStyle w:val="306"/>
        <w:spacing w:line="360" w:lineRule="auto"/>
        <w:ind w:firstLine="440"/>
        <w:rPr>
          <w:rFonts w:ascii="宋体" w:cs="宋体"/>
          <w:lang w:val="zh-CN"/>
        </w:rPr>
      </w:pPr>
      <w:bookmarkStart w:id="2310" w:name="bookmark1797"/>
      <w:bookmarkStart w:id="2311" w:name="_Toc256000229"/>
      <w:bookmarkStart w:id="2312" w:name="bookmark1795"/>
      <w:bookmarkStart w:id="2313" w:name="bookmark1796"/>
      <w:r>
        <w:rPr>
          <w:rFonts w:hint="eastAsia" w:ascii="宋体" w:hAnsi="宋体" w:cs="宋体"/>
          <w:lang w:val="zh-CN"/>
        </w:rPr>
        <w:t>□</w:t>
      </w:r>
      <w:r>
        <w:rPr>
          <w:rFonts w:ascii="宋体" w:hAnsi="宋体" w:cs="宋体"/>
        </w:rPr>
        <w:t>17.4.1.1</w:t>
      </w:r>
      <w:r>
        <w:rPr>
          <w:rFonts w:hint="eastAsia" w:ascii="宋体" w:hAnsi="宋体" w:cs="宋体"/>
          <w:lang w:val="zh-CN"/>
        </w:rPr>
        <w:t>每个付款周期扣留的质量保证金为工程进度付款的</w:t>
      </w:r>
      <w:r>
        <w:rPr>
          <w:rFonts w:ascii="宋体" w:hAnsi="宋体" w:cs="宋体"/>
          <w:lang w:val="zh-CN"/>
        </w:rPr>
        <w:t>3%</w:t>
      </w:r>
      <w:r>
        <w:rPr>
          <w:rFonts w:hint="eastAsia" w:ascii="宋体" w:hAnsi="宋体" w:cs="宋体"/>
          <w:lang w:val="zh-CN"/>
        </w:rPr>
        <w:t>，扣留的质量保证金总额为工程价款结算总额的</w:t>
      </w:r>
      <w:r>
        <w:rPr>
          <w:rFonts w:ascii="宋体" w:hAnsi="宋体" w:cs="宋体"/>
          <w:lang w:val="zh-CN"/>
        </w:rPr>
        <w:t xml:space="preserve">3% </w:t>
      </w:r>
      <w:r>
        <w:rPr>
          <w:rFonts w:hint="eastAsia" w:ascii="宋体" w:hAnsi="宋体" w:cs="宋体"/>
        </w:rPr>
        <w:t>。</w:t>
      </w:r>
    </w:p>
    <w:p w14:paraId="0FBEFA39">
      <w:pPr>
        <w:pStyle w:val="306"/>
        <w:spacing w:line="360" w:lineRule="auto"/>
        <w:ind w:firstLine="440"/>
        <w:rPr>
          <w:rFonts w:ascii="宋体" w:cs="宋体"/>
          <w:lang w:val="zh-CN"/>
        </w:rPr>
      </w:pPr>
      <w:r>
        <w:rPr>
          <w:rFonts w:hint="eastAsia" w:ascii="MS Mincho" w:hAnsi="MS Mincho" w:eastAsia="MS Mincho" w:cs="MS Mincho"/>
          <w:lang w:val="zh-CN"/>
        </w:rPr>
        <w:t>☑</w:t>
      </w:r>
      <w:r>
        <w:rPr>
          <w:rFonts w:ascii="宋体" w:hAnsi="宋体" w:cs="宋体"/>
        </w:rPr>
        <w:t>17.4.1.2</w:t>
      </w:r>
      <w:r>
        <w:rPr>
          <w:rFonts w:hint="eastAsia" w:ascii="宋体" w:hAnsi="宋体" w:cs="宋体"/>
          <w:lang w:val="zh-CN"/>
        </w:rPr>
        <w:t>工程完工验收后，一次性扣留的质量保证金总额为工程价款结算总额的</w:t>
      </w:r>
      <w:r>
        <w:rPr>
          <w:rFonts w:ascii="宋体" w:hAnsi="宋体" w:cs="宋体"/>
          <w:lang w:val="zh-CN"/>
        </w:rPr>
        <w:t>3%</w:t>
      </w:r>
      <w:r>
        <w:rPr>
          <w:rFonts w:hint="eastAsia" w:ascii="宋体" w:hAnsi="宋体" w:cs="宋体"/>
          <w:lang w:val="zh-CN"/>
        </w:rPr>
        <w:t>。</w:t>
      </w:r>
    </w:p>
    <w:p w14:paraId="2F56063D">
      <w:pPr>
        <w:pStyle w:val="306"/>
        <w:spacing w:after="240" w:line="360" w:lineRule="auto"/>
        <w:ind w:firstLine="440"/>
        <w:rPr>
          <w:rFonts w:ascii="宋体" w:cs="宋体"/>
          <w:lang w:val="zh-CN"/>
        </w:rPr>
      </w:pPr>
      <w:r>
        <w:rPr>
          <w:rFonts w:ascii="宋体" w:hAnsi="宋体" w:cs="宋体"/>
        </w:rPr>
        <w:t>17.4.1.3</w:t>
      </w:r>
      <w:r>
        <w:rPr>
          <w:rFonts w:hint="eastAsia" w:ascii="宋体" w:hAnsi="宋体" w:cs="宋体"/>
          <w:lang w:val="zh-CN"/>
        </w:rPr>
        <w:t>在工程项目完工前，已经缴纳履约保证金的，发包人不得同时扣留工程质量保证金。</w:t>
      </w:r>
    </w:p>
    <w:p w14:paraId="0D87D6AD">
      <w:pPr>
        <w:pStyle w:val="318"/>
        <w:spacing w:line="360" w:lineRule="auto"/>
        <w:rPr>
          <w:rFonts w:ascii="宋体" w:cs="宋体"/>
          <w:sz w:val="21"/>
          <w:szCs w:val="21"/>
        </w:rPr>
      </w:pPr>
      <w:bookmarkStart w:id="2314" w:name="_Toc28947"/>
      <w:bookmarkStart w:id="2315" w:name="_Toc6489"/>
      <w:bookmarkStart w:id="2316" w:name="_Toc256000479"/>
      <w:r>
        <w:rPr>
          <w:rFonts w:ascii="宋体" w:hAnsi="宋体" w:cs="宋体"/>
          <w:sz w:val="21"/>
          <w:szCs w:val="21"/>
        </w:rPr>
        <w:t>17.5</w:t>
      </w:r>
      <w:r>
        <w:rPr>
          <w:rFonts w:hint="eastAsia" w:ascii="宋体" w:hAnsi="宋体" w:cs="宋体"/>
          <w:sz w:val="21"/>
          <w:szCs w:val="21"/>
        </w:rPr>
        <w:t>竣工（完工）结算</w:t>
      </w:r>
      <w:bookmarkEnd w:id="2310"/>
      <w:bookmarkEnd w:id="2311"/>
      <w:bookmarkEnd w:id="2312"/>
      <w:bookmarkEnd w:id="2313"/>
      <w:bookmarkEnd w:id="2314"/>
      <w:bookmarkEnd w:id="2315"/>
      <w:bookmarkEnd w:id="2316"/>
    </w:p>
    <w:p w14:paraId="280E69C8">
      <w:pPr>
        <w:pStyle w:val="306"/>
        <w:spacing w:line="360" w:lineRule="auto"/>
        <w:ind w:firstLine="420"/>
        <w:rPr>
          <w:rFonts w:ascii="宋体" w:cs="宋体"/>
          <w:lang w:val="zh-CN"/>
        </w:rPr>
      </w:pPr>
      <w:bookmarkStart w:id="2317" w:name="bookmark1801"/>
      <w:bookmarkEnd w:id="2317"/>
      <w:bookmarkStart w:id="2318" w:name="bookmark1800"/>
      <w:bookmarkStart w:id="2319" w:name="_Toc256000230"/>
      <w:bookmarkStart w:id="2320" w:name="bookmark1799"/>
      <w:bookmarkStart w:id="2321" w:name="bookmark1802"/>
      <w:r>
        <w:rPr>
          <w:rFonts w:ascii="宋体" w:hAnsi="宋体" w:cs="宋体"/>
        </w:rPr>
        <w:t>17.5.1</w:t>
      </w:r>
      <w:r>
        <w:rPr>
          <w:rFonts w:hint="eastAsia" w:ascii="宋体" w:hAnsi="宋体" w:cs="宋体"/>
          <w:lang w:val="zh-CN"/>
        </w:rPr>
        <w:t>竣工（完工）付款申请单</w:t>
      </w:r>
    </w:p>
    <w:p w14:paraId="621993B9">
      <w:pPr>
        <w:pStyle w:val="306"/>
        <w:numPr>
          <w:ilvl w:val="0"/>
          <w:numId w:val="40"/>
        </w:numPr>
        <w:spacing w:line="360" w:lineRule="auto"/>
        <w:ind w:firstLine="420"/>
        <w:rPr>
          <w:rFonts w:ascii="宋体" w:cs="宋体"/>
          <w:lang w:val="zh-CN"/>
        </w:rPr>
      </w:pPr>
      <w:r>
        <w:rPr>
          <w:rFonts w:hint="eastAsia" w:ascii="宋体" w:hAnsi="宋体" w:cs="宋体"/>
          <w:lang w:val="zh-CN"/>
        </w:rPr>
        <w:t>承包人应提交竣工付款申请单份数：</w:t>
      </w:r>
      <w:r>
        <w:rPr>
          <w:rFonts w:hint="eastAsia" w:cs="宋体"/>
        </w:rPr>
        <w:t>一式六份</w:t>
      </w:r>
      <w:r>
        <w:rPr>
          <w:rFonts w:hint="eastAsia" w:ascii="宋体" w:hAnsi="宋体" w:cs="宋体"/>
          <w:lang w:val="zh-CN"/>
        </w:rPr>
        <w:t>。</w:t>
      </w:r>
    </w:p>
    <w:p w14:paraId="161D3D35">
      <w:pPr>
        <w:pStyle w:val="306"/>
        <w:spacing w:line="360" w:lineRule="auto"/>
        <w:rPr>
          <w:rFonts w:ascii="宋体" w:cs="宋体"/>
        </w:rPr>
      </w:pPr>
      <w:r>
        <w:rPr>
          <w:rFonts w:ascii="宋体" w:hAnsi="宋体" w:cs="宋体"/>
        </w:rPr>
        <w:t>17.5.3</w:t>
      </w:r>
      <w:r>
        <w:rPr>
          <w:rFonts w:hint="eastAsia" w:ascii="宋体" w:hAnsi="宋体" w:cs="宋体"/>
        </w:rPr>
        <w:t>除按通用合同条款所说的内容外，增加以下内容：最终结算以审计单位或委托第三方审核单位评审结果为准。</w:t>
      </w:r>
    </w:p>
    <w:p w14:paraId="5B3E2FE9">
      <w:pPr>
        <w:pStyle w:val="318"/>
        <w:spacing w:line="360" w:lineRule="auto"/>
        <w:rPr>
          <w:rFonts w:ascii="宋体" w:cs="宋体"/>
          <w:sz w:val="21"/>
          <w:szCs w:val="21"/>
        </w:rPr>
      </w:pPr>
      <w:bookmarkStart w:id="2322" w:name="_Toc256000480"/>
      <w:bookmarkStart w:id="2323" w:name="_Toc14223"/>
      <w:bookmarkStart w:id="2324" w:name="_Toc2950"/>
      <w:r>
        <w:rPr>
          <w:rFonts w:ascii="宋体" w:hAnsi="宋体" w:cs="宋体"/>
          <w:sz w:val="21"/>
          <w:szCs w:val="21"/>
        </w:rPr>
        <w:t>17.6</w:t>
      </w:r>
      <w:r>
        <w:rPr>
          <w:rFonts w:hint="eastAsia" w:ascii="宋体" w:hAnsi="宋体" w:cs="宋体"/>
          <w:sz w:val="21"/>
          <w:szCs w:val="21"/>
        </w:rPr>
        <w:t>最终结清</w:t>
      </w:r>
      <w:bookmarkEnd w:id="2318"/>
      <w:bookmarkEnd w:id="2319"/>
      <w:bookmarkEnd w:id="2320"/>
      <w:bookmarkEnd w:id="2321"/>
      <w:bookmarkEnd w:id="2322"/>
      <w:bookmarkEnd w:id="2323"/>
      <w:bookmarkEnd w:id="2324"/>
    </w:p>
    <w:p w14:paraId="40815CAD">
      <w:pPr>
        <w:pStyle w:val="319"/>
        <w:ind w:firstLine="420"/>
        <w:rPr>
          <w:rFonts w:cs="Times New Roman"/>
          <w:sz w:val="21"/>
          <w:szCs w:val="21"/>
        </w:rPr>
      </w:pPr>
      <w:r>
        <w:rPr>
          <w:sz w:val="21"/>
          <w:szCs w:val="21"/>
          <w:lang w:val="en-US"/>
        </w:rPr>
        <w:t>17.6.1</w:t>
      </w:r>
      <w:r>
        <w:rPr>
          <w:rFonts w:hint="eastAsia"/>
          <w:sz w:val="21"/>
          <w:szCs w:val="21"/>
        </w:rPr>
        <w:t>最终结清申请单</w:t>
      </w:r>
    </w:p>
    <w:p w14:paraId="55E2FD0B">
      <w:pPr>
        <w:pStyle w:val="319"/>
        <w:tabs>
          <w:tab w:val="left" w:pos="6077"/>
        </w:tabs>
        <w:ind w:firstLine="420"/>
        <w:rPr>
          <w:rFonts w:cs="Times New Roman"/>
          <w:sz w:val="21"/>
          <w:szCs w:val="21"/>
        </w:rPr>
      </w:pPr>
      <w:r>
        <w:rPr>
          <w:rFonts w:hint="eastAsia"/>
          <w:sz w:val="21"/>
          <w:szCs w:val="21"/>
        </w:rPr>
        <w:t>（</w:t>
      </w:r>
      <w:r>
        <w:rPr>
          <w:sz w:val="21"/>
          <w:szCs w:val="21"/>
        </w:rPr>
        <w:t>1</w:t>
      </w:r>
      <w:r>
        <w:rPr>
          <w:rFonts w:hint="eastAsia"/>
          <w:sz w:val="21"/>
          <w:szCs w:val="21"/>
        </w:rPr>
        <w:t>）承包人应提交最终结清申请单份数：</w:t>
      </w:r>
      <w:r>
        <w:rPr>
          <w:rFonts w:hint="eastAsia"/>
          <w:lang w:val="en-US"/>
        </w:rPr>
        <w:t>一式六份</w:t>
      </w:r>
      <w:r>
        <w:rPr>
          <w:rFonts w:hint="eastAsia"/>
          <w:sz w:val="21"/>
          <w:szCs w:val="21"/>
          <w:lang w:val="en-US"/>
        </w:rPr>
        <w:t>。</w:t>
      </w:r>
    </w:p>
    <w:p w14:paraId="3CF3583B">
      <w:pPr>
        <w:pStyle w:val="318"/>
        <w:spacing w:line="360" w:lineRule="auto"/>
        <w:rPr>
          <w:rFonts w:ascii="宋体" w:cs="宋体"/>
          <w:sz w:val="21"/>
          <w:szCs w:val="21"/>
        </w:rPr>
      </w:pPr>
      <w:bookmarkStart w:id="2325" w:name="bookmark1805"/>
      <w:bookmarkStart w:id="2326" w:name="_Toc256000231"/>
      <w:bookmarkStart w:id="2327" w:name="bookmark1804"/>
      <w:bookmarkStart w:id="2328" w:name="_Toc25280"/>
      <w:bookmarkStart w:id="2329" w:name="_Toc256000481"/>
      <w:bookmarkStart w:id="2330" w:name="bookmark1803"/>
      <w:bookmarkStart w:id="2331" w:name="_Toc26400"/>
      <w:r>
        <w:rPr>
          <w:rFonts w:ascii="宋体" w:hAnsi="宋体" w:cs="宋体"/>
          <w:sz w:val="21"/>
          <w:szCs w:val="21"/>
        </w:rPr>
        <w:t>17.7</w:t>
      </w:r>
      <w:r>
        <w:rPr>
          <w:rFonts w:hint="eastAsia" w:ascii="宋体" w:hAnsi="宋体" w:cs="宋体"/>
          <w:sz w:val="21"/>
          <w:szCs w:val="21"/>
        </w:rPr>
        <w:t>竣工财务决算</w:t>
      </w:r>
      <w:bookmarkEnd w:id="2325"/>
      <w:bookmarkEnd w:id="2326"/>
      <w:bookmarkEnd w:id="2327"/>
      <w:bookmarkEnd w:id="2328"/>
      <w:bookmarkEnd w:id="2329"/>
      <w:bookmarkEnd w:id="2330"/>
      <w:bookmarkEnd w:id="2331"/>
    </w:p>
    <w:p w14:paraId="411E3F99">
      <w:pPr>
        <w:pStyle w:val="319"/>
        <w:tabs>
          <w:tab w:val="left" w:pos="6264"/>
        </w:tabs>
        <w:spacing w:after="180"/>
        <w:ind w:firstLine="420"/>
        <w:rPr>
          <w:rFonts w:cs="Times New Roman"/>
          <w:sz w:val="21"/>
          <w:szCs w:val="21"/>
        </w:rPr>
      </w:pPr>
      <w:r>
        <w:rPr>
          <w:rFonts w:hint="eastAsia"/>
          <w:sz w:val="21"/>
          <w:szCs w:val="21"/>
        </w:rPr>
        <w:t>承包人应为竣工财务决算编制提供的资料：按发包人要求提供财务决算所需一切资料</w:t>
      </w:r>
      <w:r>
        <w:rPr>
          <w:rFonts w:hint="eastAsia"/>
          <w:sz w:val="21"/>
          <w:szCs w:val="21"/>
          <w:lang w:val="en-US"/>
        </w:rPr>
        <w:t>。</w:t>
      </w:r>
    </w:p>
    <w:p w14:paraId="0ADEBB33">
      <w:pPr>
        <w:pStyle w:val="318"/>
        <w:spacing w:line="360" w:lineRule="auto"/>
        <w:rPr>
          <w:rFonts w:ascii="宋体" w:cs="宋体"/>
          <w:sz w:val="21"/>
          <w:szCs w:val="21"/>
        </w:rPr>
      </w:pPr>
      <w:bookmarkStart w:id="2332" w:name="bookmark1808"/>
      <w:bookmarkEnd w:id="2332"/>
      <w:bookmarkStart w:id="2333" w:name="_Toc30479"/>
      <w:bookmarkStart w:id="2334" w:name="_Toc9324"/>
      <w:bookmarkStart w:id="2335" w:name="_Toc20660"/>
      <w:bookmarkStart w:id="2336" w:name="_Toc256000232"/>
      <w:bookmarkStart w:id="2337" w:name="bookmark1806"/>
      <w:bookmarkStart w:id="2338" w:name="_Toc256000482"/>
      <w:bookmarkStart w:id="2339" w:name="bookmark1809"/>
      <w:bookmarkStart w:id="2340" w:name="bookmark1807"/>
      <w:bookmarkStart w:id="2341" w:name="_Toc25248"/>
      <w:bookmarkStart w:id="2342" w:name="_Toc797"/>
      <w:r>
        <w:rPr>
          <w:rFonts w:ascii="宋体" w:hAnsi="宋体" w:cs="宋体"/>
          <w:sz w:val="21"/>
          <w:szCs w:val="21"/>
        </w:rPr>
        <w:t xml:space="preserve">18. </w:t>
      </w:r>
      <w:r>
        <w:rPr>
          <w:rFonts w:hint="eastAsia" w:ascii="宋体" w:hAnsi="宋体" w:cs="宋体"/>
          <w:sz w:val="21"/>
          <w:szCs w:val="21"/>
        </w:rPr>
        <w:t>竣工验收（验收）</w:t>
      </w:r>
      <w:bookmarkEnd w:id="2333"/>
      <w:bookmarkEnd w:id="2334"/>
      <w:bookmarkEnd w:id="2335"/>
      <w:bookmarkEnd w:id="2336"/>
      <w:bookmarkEnd w:id="2337"/>
      <w:bookmarkEnd w:id="2338"/>
      <w:bookmarkEnd w:id="2339"/>
      <w:bookmarkEnd w:id="2340"/>
      <w:bookmarkEnd w:id="2341"/>
      <w:bookmarkEnd w:id="2342"/>
    </w:p>
    <w:p w14:paraId="048224E3">
      <w:pPr>
        <w:pStyle w:val="318"/>
        <w:spacing w:line="360" w:lineRule="auto"/>
        <w:rPr>
          <w:rFonts w:ascii="宋体" w:cs="宋体"/>
          <w:sz w:val="21"/>
          <w:szCs w:val="21"/>
        </w:rPr>
      </w:pPr>
      <w:bookmarkStart w:id="2343" w:name="bookmark1811"/>
      <w:bookmarkStart w:id="2344" w:name="_Toc256000233"/>
      <w:bookmarkStart w:id="2345" w:name="bookmark1812"/>
      <w:bookmarkStart w:id="2346" w:name="_Toc5933"/>
      <w:bookmarkStart w:id="2347" w:name="_Toc256000483"/>
      <w:bookmarkStart w:id="2348" w:name="bookmark1810"/>
      <w:bookmarkStart w:id="2349" w:name="_Toc6174"/>
      <w:r>
        <w:rPr>
          <w:rFonts w:ascii="宋体" w:hAnsi="宋体" w:cs="宋体"/>
          <w:sz w:val="21"/>
          <w:szCs w:val="21"/>
        </w:rPr>
        <w:t>18.1</w:t>
      </w:r>
      <w:r>
        <w:rPr>
          <w:rFonts w:hint="eastAsia" w:ascii="宋体" w:hAnsi="宋体" w:cs="宋体"/>
          <w:sz w:val="21"/>
          <w:szCs w:val="21"/>
        </w:rPr>
        <w:t>验收工作分类</w:t>
      </w:r>
      <w:bookmarkEnd w:id="2343"/>
      <w:bookmarkEnd w:id="2344"/>
      <w:bookmarkEnd w:id="2345"/>
      <w:bookmarkEnd w:id="2346"/>
      <w:bookmarkEnd w:id="2347"/>
      <w:bookmarkEnd w:id="2348"/>
      <w:bookmarkEnd w:id="2349"/>
    </w:p>
    <w:p w14:paraId="27225ACF">
      <w:pPr>
        <w:pStyle w:val="319"/>
        <w:ind w:firstLine="440"/>
        <w:rPr>
          <w:rFonts w:cs="Times New Roman"/>
          <w:sz w:val="21"/>
          <w:szCs w:val="21"/>
        </w:rPr>
      </w:pPr>
      <w:r>
        <w:rPr>
          <w:rFonts w:hint="eastAsia"/>
          <w:sz w:val="21"/>
          <w:szCs w:val="21"/>
        </w:rPr>
        <w:t>根据《水利工程建设项目验收管理规定》（水利部令第</w:t>
      </w:r>
      <w:r>
        <w:rPr>
          <w:sz w:val="21"/>
          <w:szCs w:val="21"/>
        </w:rPr>
        <w:t>30</w:t>
      </w:r>
      <w:r>
        <w:rPr>
          <w:rFonts w:hint="eastAsia"/>
          <w:sz w:val="21"/>
          <w:szCs w:val="21"/>
        </w:rPr>
        <w:t>号）和《水利水电建设工程验收规程》</w:t>
      </w:r>
      <w:r>
        <w:rPr>
          <w:rFonts w:hint="eastAsia"/>
          <w:sz w:val="21"/>
          <w:szCs w:val="21"/>
          <w:lang w:val="en-US"/>
        </w:rPr>
        <w:t>（</w:t>
      </w:r>
      <w:r>
        <w:rPr>
          <w:sz w:val="21"/>
          <w:szCs w:val="21"/>
          <w:lang w:val="en-US"/>
        </w:rPr>
        <w:t>SL223</w:t>
      </w:r>
      <w:r>
        <w:rPr>
          <w:rFonts w:hint="eastAsia"/>
          <w:sz w:val="21"/>
          <w:szCs w:val="21"/>
          <w:lang w:val="en-US"/>
        </w:rPr>
        <w:t>）</w:t>
      </w:r>
      <w:r>
        <w:rPr>
          <w:sz w:val="21"/>
          <w:szCs w:val="21"/>
          <w:lang w:val="en-US"/>
        </w:rPr>
        <w:t>2008</w:t>
      </w:r>
      <w:r>
        <w:rPr>
          <w:rFonts w:hint="eastAsia"/>
          <w:sz w:val="21"/>
          <w:szCs w:val="21"/>
          <w:lang w:val="en-US"/>
        </w:rPr>
        <w:t>）</w:t>
      </w:r>
      <w:r>
        <w:rPr>
          <w:rFonts w:hint="eastAsia"/>
          <w:sz w:val="21"/>
          <w:szCs w:val="21"/>
        </w:rPr>
        <w:t>的相关规定执行。</w:t>
      </w:r>
    </w:p>
    <w:p w14:paraId="17941542">
      <w:pPr>
        <w:pStyle w:val="318"/>
        <w:spacing w:line="360" w:lineRule="auto"/>
        <w:rPr>
          <w:rFonts w:ascii="宋体" w:cs="宋体"/>
          <w:sz w:val="21"/>
          <w:szCs w:val="21"/>
        </w:rPr>
      </w:pPr>
      <w:bookmarkStart w:id="2350" w:name="bookmark1813"/>
      <w:bookmarkStart w:id="2351" w:name="_Toc19348"/>
      <w:bookmarkStart w:id="2352" w:name="bookmark1815"/>
      <w:bookmarkStart w:id="2353" w:name="_Toc20111"/>
      <w:bookmarkStart w:id="2354" w:name="_Toc256000484"/>
      <w:bookmarkStart w:id="2355" w:name="bookmark1814"/>
      <w:bookmarkStart w:id="2356" w:name="_Toc256000234"/>
      <w:r>
        <w:rPr>
          <w:rFonts w:ascii="宋体" w:hAnsi="宋体" w:cs="宋体"/>
          <w:sz w:val="21"/>
          <w:szCs w:val="21"/>
        </w:rPr>
        <w:t>18.2</w:t>
      </w:r>
      <w:r>
        <w:rPr>
          <w:rFonts w:hint="eastAsia" w:ascii="宋体" w:hAnsi="宋体" w:cs="宋体"/>
          <w:sz w:val="21"/>
          <w:szCs w:val="21"/>
        </w:rPr>
        <w:t>分部工程验收</w:t>
      </w:r>
      <w:bookmarkEnd w:id="2350"/>
      <w:bookmarkEnd w:id="2351"/>
      <w:bookmarkEnd w:id="2352"/>
      <w:bookmarkEnd w:id="2353"/>
      <w:bookmarkEnd w:id="2354"/>
      <w:bookmarkEnd w:id="2355"/>
      <w:bookmarkEnd w:id="2356"/>
    </w:p>
    <w:p w14:paraId="454CE0C6">
      <w:pPr>
        <w:pStyle w:val="319"/>
        <w:tabs>
          <w:tab w:val="left" w:pos="7018"/>
        </w:tabs>
        <w:ind w:firstLine="440"/>
        <w:rPr>
          <w:rFonts w:cs="Times New Roman"/>
          <w:sz w:val="21"/>
          <w:szCs w:val="21"/>
        </w:rPr>
      </w:pPr>
      <w:r>
        <w:rPr>
          <w:sz w:val="21"/>
          <w:szCs w:val="21"/>
          <w:lang w:val="en-US"/>
        </w:rPr>
        <w:t>18.2.</w:t>
      </w:r>
      <w:r>
        <w:rPr>
          <w:sz w:val="21"/>
          <w:szCs w:val="21"/>
        </w:rPr>
        <w:t>2</w:t>
      </w:r>
      <w:r>
        <w:rPr>
          <w:rFonts w:hint="eastAsia"/>
          <w:sz w:val="21"/>
          <w:szCs w:val="21"/>
        </w:rPr>
        <w:t>本工程由发包人主持的分部工程验收为：</w:t>
      </w:r>
      <w:r>
        <w:rPr>
          <w:rFonts w:hint="eastAsia"/>
          <w:sz w:val="21"/>
          <w:szCs w:val="21"/>
          <w:u w:val="single"/>
          <w:lang w:val="en-US"/>
        </w:rPr>
        <w:t>按相关规范规定</w:t>
      </w:r>
      <w:r>
        <w:rPr>
          <w:sz w:val="21"/>
          <w:szCs w:val="21"/>
        </w:rPr>
        <w:t>,</w:t>
      </w:r>
      <w:r>
        <w:rPr>
          <w:rFonts w:hint="eastAsia"/>
          <w:sz w:val="21"/>
          <w:szCs w:val="21"/>
        </w:rPr>
        <w:t>其余由监理主持。</w:t>
      </w:r>
      <w:bookmarkStart w:id="2357" w:name="bookmark1818"/>
      <w:bookmarkStart w:id="2358" w:name="bookmark1817"/>
      <w:bookmarkStart w:id="2359" w:name="bookmark1816"/>
      <w:bookmarkStart w:id="2360" w:name="_Toc256000235"/>
    </w:p>
    <w:p w14:paraId="16E363DB">
      <w:pPr>
        <w:pStyle w:val="318"/>
        <w:spacing w:line="360" w:lineRule="auto"/>
        <w:rPr>
          <w:rFonts w:ascii="宋体" w:cs="宋体"/>
          <w:sz w:val="21"/>
          <w:szCs w:val="21"/>
        </w:rPr>
      </w:pPr>
      <w:bookmarkStart w:id="2361" w:name="_Toc7037"/>
      <w:bookmarkStart w:id="2362" w:name="_Toc2747"/>
      <w:bookmarkStart w:id="2363" w:name="_Toc256000485"/>
      <w:r>
        <w:rPr>
          <w:rFonts w:ascii="宋体" w:hAnsi="宋体" w:cs="宋体"/>
          <w:sz w:val="21"/>
          <w:szCs w:val="21"/>
        </w:rPr>
        <w:t>18.3</w:t>
      </w:r>
      <w:r>
        <w:rPr>
          <w:rFonts w:hint="eastAsia" w:ascii="宋体" w:hAnsi="宋体" w:cs="宋体"/>
          <w:sz w:val="21"/>
          <w:szCs w:val="21"/>
        </w:rPr>
        <w:t>单位工程验收</w:t>
      </w:r>
      <w:bookmarkEnd w:id="2357"/>
      <w:bookmarkEnd w:id="2358"/>
      <w:bookmarkEnd w:id="2359"/>
      <w:bookmarkEnd w:id="2360"/>
      <w:bookmarkEnd w:id="2361"/>
      <w:bookmarkEnd w:id="2362"/>
      <w:bookmarkEnd w:id="2363"/>
    </w:p>
    <w:p w14:paraId="5DF4BF31">
      <w:pPr>
        <w:pStyle w:val="319"/>
        <w:tabs>
          <w:tab w:val="left" w:pos="6036"/>
        </w:tabs>
        <w:ind w:firstLine="420"/>
        <w:rPr>
          <w:rFonts w:cs="Times New Roman"/>
          <w:sz w:val="21"/>
          <w:szCs w:val="21"/>
        </w:rPr>
      </w:pPr>
      <w:r>
        <w:rPr>
          <w:sz w:val="21"/>
          <w:szCs w:val="21"/>
          <w:lang w:val="en-US"/>
        </w:rPr>
        <w:t>18.3.4</w:t>
      </w:r>
      <w:r>
        <w:rPr>
          <w:rFonts w:hint="eastAsia"/>
          <w:sz w:val="21"/>
          <w:szCs w:val="21"/>
        </w:rPr>
        <w:t>提前投入使用的单位工程包括：</w:t>
      </w:r>
      <w:r>
        <w:rPr>
          <w:rFonts w:hint="eastAsia"/>
          <w:sz w:val="21"/>
          <w:szCs w:val="21"/>
          <w:u w:val="single"/>
          <w:lang w:val="en-US"/>
        </w:rPr>
        <w:t>按相关规范规定</w:t>
      </w:r>
      <w:r>
        <w:rPr>
          <w:rFonts w:hint="eastAsia"/>
          <w:sz w:val="21"/>
          <w:szCs w:val="21"/>
          <w:lang w:val="en-US"/>
        </w:rPr>
        <w:t>。</w:t>
      </w:r>
    </w:p>
    <w:p w14:paraId="665672DD">
      <w:pPr>
        <w:pStyle w:val="318"/>
        <w:spacing w:line="360" w:lineRule="auto"/>
        <w:rPr>
          <w:rFonts w:ascii="宋体" w:cs="宋体"/>
          <w:sz w:val="21"/>
          <w:szCs w:val="21"/>
        </w:rPr>
      </w:pPr>
      <w:bookmarkStart w:id="2364" w:name="bookmark1821"/>
      <w:bookmarkStart w:id="2365" w:name="_Toc27412"/>
      <w:bookmarkStart w:id="2366" w:name="_Toc256000486"/>
      <w:bookmarkStart w:id="2367" w:name="_Toc19181"/>
      <w:bookmarkStart w:id="2368" w:name="_Toc256000236"/>
      <w:bookmarkStart w:id="2369" w:name="bookmark1820"/>
      <w:bookmarkStart w:id="2370" w:name="bookmark1819"/>
      <w:r>
        <w:rPr>
          <w:rFonts w:ascii="宋体" w:hAnsi="宋体" w:cs="宋体"/>
          <w:sz w:val="21"/>
          <w:szCs w:val="21"/>
        </w:rPr>
        <w:t>18.5</w:t>
      </w:r>
      <w:r>
        <w:rPr>
          <w:rFonts w:hint="eastAsia" w:ascii="宋体" w:hAnsi="宋体" w:cs="宋体"/>
          <w:sz w:val="21"/>
          <w:szCs w:val="21"/>
        </w:rPr>
        <w:t>阶段验收</w:t>
      </w:r>
      <w:bookmarkEnd w:id="2364"/>
      <w:bookmarkEnd w:id="2365"/>
      <w:bookmarkEnd w:id="2366"/>
      <w:bookmarkEnd w:id="2367"/>
      <w:bookmarkEnd w:id="2368"/>
      <w:bookmarkEnd w:id="2369"/>
      <w:bookmarkEnd w:id="2370"/>
    </w:p>
    <w:p w14:paraId="4E540DC9">
      <w:pPr>
        <w:pStyle w:val="319"/>
        <w:tabs>
          <w:tab w:val="left" w:pos="6036"/>
        </w:tabs>
        <w:ind w:firstLine="420"/>
        <w:rPr>
          <w:rFonts w:cs="Times New Roman"/>
          <w:sz w:val="21"/>
          <w:szCs w:val="21"/>
        </w:rPr>
      </w:pPr>
      <w:r>
        <w:rPr>
          <w:sz w:val="21"/>
          <w:szCs w:val="21"/>
          <w:lang w:val="en-US"/>
        </w:rPr>
        <w:t>18.5.1</w:t>
      </w:r>
      <w:r>
        <w:rPr>
          <w:rFonts w:hint="eastAsia"/>
          <w:sz w:val="21"/>
          <w:szCs w:val="21"/>
        </w:rPr>
        <w:t>本合同工程阶段验收类别包括：</w:t>
      </w:r>
      <w:r>
        <w:rPr>
          <w:rFonts w:hint="eastAsia"/>
          <w:sz w:val="21"/>
          <w:szCs w:val="21"/>
          <w:u w:val="single"/>
          <w:lang w:val="en-US"/>
        </w:rPr>
        <w:t>按相关规范规定</w:t>
      </w:r>
      <w:r>
        <w:rPr>
          <w:rFonts w:hint="eastAsia"/>
          <w:sz w:val="21"/>
          <w:szCs w:val="21"/>
          <w:lang w:val="en-US"/>
        </w:rPr>
        <w:t>。</w:t>
      </w:r>
    </w:p>
    <w:p w14:paraId="711B81A7">
      <w:pPr>
        <w:pStyle w:val="318"/>
        <w:spacing w:line="360" w:lineRule="auto"/>
        <w:rPr>
          <w:rFonts w:ascii="宋体" w:cs="宋体"/>
          <w:sz w:val="21"/>
          <w:szCs w:val="21"/>
        </w:rPr>
      </w:pPr>
      <w:bookmarkStart w:id="2371" w:name="_Toc967"/>
      <w:bookmarkStart w:id="2372" w:name="bookmark1822"/>
      <w:bookmarkStart w:id="2373" w:name="_Toc6437"/>
      <w:bookmarkStart w:id="2374" w:name="_Toc256000487"/>
      <w:bookmarkStart w:id="2375" w:name="_Toc256000237"/>
      <w:bookmarkStart w:id="2376" w:name="bookmark1823"/>
      <w:bookmarkStart w:id="2377" w:name="bookmark1824"/>
      <w:r>
        <w:rPr>
          <w:rFonts w:ascii="宋体" w:hAnsi="宋体" w:cs="宋体"/>
          <w:sz w:val="21"/>
          <w:szCs w:val="21"/>
        </w:rPr>
        <w:t>18.6</w:t>
      </w:r>
      <w:r>
        <w:rPr>
          <w:rFonts w:hint="eastAsia" w:ascii="宋体" w:hAnsi="宋体" w:cs="宋体"/>
          <w:sz w:val="21"/>
          <w:szCs w:val="21"/>
        </w:rPr>
        <w:t>专项验收</w:t>
      </w:r>
      <w:bookmarkEnd w:id="2371"/>
      <w:bookmarkEnd w:id="2372"/>
      <w:bookmarkEnd w:id="2373"/>
      <w:bookmarkEnd w:id="2374"/>
      <w:bookmarkEnd w:id="2375"/>
      <w:bookmarkEnd w:id="2376"/>
      <w:bookmarkEnd w:id="2377"/>
    </w:p>
    <w:p w14:paraId="6AF72B0D">
      <w:pPr>
        <w:pStyle w:val="319"/>
        <w:tabs>
          <w:tab w:val="left" w:pos="6036"/>
        </w:tabs>
        <w:ind w:firstLine="420"/>
        <w:rPr>
          <w:rFonts w:cs="Times New Roman"/>
          <w:sz w:val="21"/>
          <w:szCs w:val="21"/>
        </w:rPr>
      </w:pPr>
      <w:r>
        <w:rPr>
          <w:sz w:val="21"/>
          <w:szCs w:val="21"/>
          <w:lang w:val="en-US"/>
        </w:rPr>
        <w:t>18.6.2</w:t>
      </w:r>
      <w:r>
        <w:rPr>
          <w:rFonts w:hint="eastAsia"/>
          <w:sz w:val="21"/>
          <w:szCs w:val="21"/>
        </w:rPr>
        <w:t>本合同工程专项验收类别包括：</w:t>
      </w:r>
      <w:r>
        <w:rPr>
          <w:rFonts w:hint="eastAsia"/>
          <w:sz w:val="21"/>
          <w:szCs w:val="21"/>
          <w:u w:val="single"/>
          <w:lang w:val="en-US"/>
        </w:rPr>
        <w:t>按相关规范规定</w:t>
      </w:r>
      <w:r>
        <w:rPr>
          <w:rFonts w:hint="eastAsia"/>
          <w:sz w:val="21"/>
          <w:szCs w:val="21"/>
          <w:lang w:val="en-US"/>
        </w:rPr>
        <w:t>。</w:t>
      </w:r>
    </w:p>
    <w:p w14:paraId="6893A50E">
      <w:pPr>
        <w:pStyle w:val="318"/>
        <w:spacing w:line="360" w:lineRule="auto"/>
        <w:rPr>
          <w:rFonts w:ascii="宋体" w:cs="宋体"/>
          <w:sz w:val="21"/>
          <w:szCs w:val="21"/>
        </w:rPr>
      </w:pPr>
      <w:bookmarkStart w:id="2378" w:name="_Toc256000238"/>
      <w:bookmarkStart w:id="2379" w:name="bookmark1827"/>
      <w:bookmarkStart w:id="2380" w:name="_Toc31558"/>
      <w:bookmarkStart w:id="2381" w:name="_Toc4855"/>
      <w:bookmarkStart w:id="2382" w:name="bookmark1825"/>
      <w:bookmarkStart w:id="2383" w:name="bookmark1826"/>
      <w:bookmarkStart w:id="2384" w:name="_Toc256000488"/>
      <w:r>
        <w:rPr>
          <w:rFonts w:ascii="宋体" w:hAnsi="宋体" w:cs="宋体"/>
          <w:sz w:val="21"/>
          <w:szCs w:val="21"/>
        </w:rPr>
        <w:t>18.8</w:t>
      </w:r>
      <w:r>
        <w:rPr>
          <w:rFonts w:hint="eastAsia" w:ascii="宋体" w:hAnsi="宋体" w:cs="宋体"/>
          <w:sz w:val="21"/>
          <w:szCs w:val="21"/>
        </w:rPr>
        <w:t>施工期运行</w:t>
      </w:r>
      <w:bookmarkEnd w:id="2378"/>
      <w:bookmarkEnd w:id="2379"/>
      <w:bookmarkEnd w:id="2380"/>
      <w:bookmarkEnd w:id="2381"/>
      <w:bookmarkEnd w:id="2382"/>
      <w:bookmarkEnd w:id="2383"/>
      <w:bookmarkEnd w:id="2384"/>
    </w:p>
    <w:p w14:paraId="0173F02D">
      <w:pPr>
        <w:pStyle w:val="319"/>
        <w:tabs>
          <w:tab w:val="left" w:pos="7296"/>
        </w:tabs>
        <w:ind w:firstLine="420"/>
        <w:rPr>
          <w:rFonts w:cs="Times New Roman"/>
          <w:sz w:val="21"/>
          <w:szCs w:val="21"/>
          <w:lang w:val="en-US"/>
        </w:rPr>
      </w:pPr>
      <w:r>
        <w:rPr>
          <w:sz w:val="21"/>
          <w:szCs w:val="21"/>
          <w:lang w:val="en-US"/>
        </w:rPr>
        <w:t>18.8.1</w:t>
      </w:r>
      <w:r>
        <w:rPr>
          <w:rFonts w:hint="eastAsia"/>
          <w:sz w:val="21"/>
          <w:szCs w:val="21"/>
        </w:rPr>
        <w:t>需要在施工期运行的单位工程或工程设备为：</w:t>
      </w:r>
      <w:r>
        <w:rPr>
          <w:rFonts w:hint="eastAsia"/>
          <w:sz w:val="21"/>
          <w:szCs w:val="21"/>
          <w:u w:val="single"/>
          <w:lang w:val="en-US"/>
        </w:rPr>
        <w:t>按相关规范规定</w:t>
      </w:r>
      <w:r>
        <w:rPr>
          <w:rFonts w:hint="eastAsia"/>
          <w:sz w:val="21"/>
          <w:szCs w:val="21"/>
          <w:lang w:val="en-US"/>
        </w:rPr>
        <w:t>。</w:t>
      </w:r>
    </w:p>
    <w:p w14:paraId="15E19A6F">
      <w:pPr>
        <w:pStyle w:val="318"/>
        <w:spacing w:line="360" w:lineRule="auto"/>
        <w:rPr>
          <w:rFonts w:ascii="宋体" w:cs="宋体"/>
          <w:sz w:val="21"/>
          <w:szCs w:val="21"/>
        </w:rPr>
      </w:pPr>
      <w:bookmarkStart w:id="2385" w:name="bookmark1830"/>
      <w:bookmarkStart w:id="2386" w:name="_Toc19071"/>
      <w:bookmarkStart w:id="2387" w:name="bookmark1828"/>
      <w:bookmarkStart w:id="2388" w:name="_Toc256000239"/>
      <w:bookmarkStart w:id="2389" w:name="_Toc256000489"/>
      <w:bookmarkStart w:id="2390" w:name="bookmark1829"/>
      <w:bookmarkStart w:id="2391" w:name="_Toc17141"/>
      <w:r>
        <w:rPr>
          <w:rFonts w:ascii="宋体" w:hAnsi="宋体" w:cs="宋体"/>
          <w:sz w:val="21"/>
          <w:szCs w:val="21"/>
        </w:rPr>
        <w:t>18.9</w:t>
      </w:r>
      <w:r>
        <w:rPr>
          <w:rFonts w:hint="eastAsia" w:ascii="宋体" w:hAnsi="宋体" w:cs="宋体"/>
          <w:sz w:val="21"/>
          <w:szCs w:val="21"/>
        </w:rPr>
        <w:t>试运行</w:t>
      </w:r>
      <w:bookmarkEnd w:id="2385"/>
      <w:bookmarkEnd w:id="2386"/>
      <w:bookmarkEnd w:id="2387"/>
      <w:bookmarkEnd w:id="2388"/>
      <w:bookmarkEnd w:id="2389"/>
      <w:bookmarkEnd w:id="2390"/>
      <w:bookmarkEnd w:id="2391"/>
    </w:p>
    <w:p w14:paraId="7A5133D3">
      <w:pPr>
        <w:pStyle w:val="319"/>
        <w:tabs>
          <w:tab w:val="left" w:pos="4570"/>
          <w:tab w:val="left" w:pos="7697"/>
        </w:tabs>
        <w:spacing w:after="260"/>
        <w:ind w:firstLine="420"/>
        <w:rPr>
          <w:rFonts w:cs="Times New Roman"/>
          <w:sz w:val="21"/>
          <w:szCs w:val="21"/>
        </w:rPr>
      </w:pPr>
      <w:r>
        <w:rPr>
          <w:sz w:val="21"/>
          <w:szCs w:val="21"/>
          <w:lang w:val="en-US"/>
        </w:rPr>
        <w:t>18. 9.1</w:t>
      </w:r>
      <w:r>
        <w:rPr>
          <w:rFonts w:hint="eastAsia"/>
          <w:sz w:val="21"/>
          <w:szCs w:val="21"/>
        </w:rPr>
        <w:t>试运行的组织：</w:t>
      </w:r>
      <w:r>
        <w:rPr>
          <w:rFonts w:hint="eastAsia"/>
          <w:sz w:val="21"/>
          <w:szCs w:val="21"/>
          <w:u w:val="single"/>
        </w:rPr>
        <w:t>承包人组织</w:t>
      </w:r>
      <w:r>
        <w:rPr>
          <w:rFonts w:hint="eastAsia"/>
          <w:sz w:val="21"/>
          <w:szCs w:val="21"/>
        </w:rPr>
        <w:t>；费用承担：</w:t>
      </w:r>
      <w:bookmarkStart w:id="2392" w:name="bookmark1833"/>
      <w:bookmarkEnd w:id="2392"/>
      <w:bookmarkStart w:id="2393" w:name="bookmark1832"/>
      <w:bookmarkStart w:id="2394" w:name="_Toc21054"/>
      <w:bookmarkStart w:id="2395" w:name="_Toc24047"/>
      <w:bookmarkStart w:id="2396" w:name="bookmark1834"/>
      <w:bookmarkStart w:id="2397" w:name="bookmark1831"/>
      <w:r>
        <w:rPr>
          <w:rFonts w:hint="eastAsia"/>
          <w:sz w:val="21"/>
          <w:szCs w:val="21"/>
          <w:u w:val="single"/>
          <w:lang w:val="en-US"/>
        </w:rPr>
        <w:t>承包人</w:t>
      </w:r>
      <w:r>
        <w:rPr>
          <w:rFonts w:hint="eastAsia"/>
          <w:sz w:val="21"/>
          <w:szCs w:val="21"/>
        </w:rPr>
        <w:t>。</w:t>
      </w:r>
    </w:p>
    <w:p w14:paraId="433EE16A">
      <w:pPr>
        <w:pStyle w:val="318"/>
        <w:spacing w:line="360" w:lineRule="auto"/>
        <w:rPr>
          <w:rFonts w:ascii="宋体" w:cs="宋体"/>
          <w:sz w:val="21"/>
          <w:szCs w:val="21"/>
        </w:rPr>
      </w:pPr>
      <w:bookmarkStart w:id="2398" w:name="_Toc25035"/>
      <w:bookmarkStart w:id="2399" w:name="_Toc13258"/>
      <w:bookmarkStart w:id="2400" w:name="_Toc256000240"/>
      <w:bookmarkStart w:id="2401" w:name="_Toc256000490"/>
      <w:bookmarkStart w:id="2402" w:name="_Toc25701"/>
      <w:r>
        <w:rPr>
          <w:rFonts w:ascii="宋体" w:hAnsi="宋体" w:cs="宋体"/>
          <w:sz w:val="21"/>
          <w:szCs w:val="21"/>
        </w:rPr>
        <w:t xml:space="preserve">19. </w:t>
      </w:r>
      <w:r>
        <w:rPr>
          <w:rFonts w:hint="eastAsia" w:ascii="宋体" w:hAnsi="宋体" w:cs="宋体"/>
          <w:sz w:val="21"/>
          <w:szCs w:val="21"/>
        </w:rPr>
        <w:t>缺陷责任与保修责任</w:t>
      </w:r>
      <w:bookmarkEnd w:id="2393"/>
      <w:bookmarkEnd w:id="2394"/>
      <w:bookmarkEnd w:id="2395"/>
      <w:bookmarkEnd w:id="2396"/>
      <w:bookmarkEnd w:id="2397"/>
      <w:bookmarkEnd w:id="2398"/>
      <w:bookmarkEnd w:id="2399"/>
      <w:bookmarkEnd w:id="2400"/>
      <w:bookmarkEnd w:id="2401"/>
      <w:bookmarkEnd w:id="2402"/>
    </w:p>
    <w:p w14:paraId="3F155537">
      <w:pPr>
        <w:pStyle w:val="318"/>
        <w:spacing w:line="360" w:lineRule="auto"/>
        <w:rPr>
          <w:rFonts w:ascii="宋体" w:cs="宋体"/>
          <w:sz w:val="21"/>
          <w:szCs w:val="21"/>
        </w:rPr>
      </w:pPr>
      <w:bookmarkStart w:id="2403" w:name="_Toc23215"/>
      <w:bookmarkStart w:id="2404" w:name="bookmark1835"/>
      <w:bookmarkStart w:id="2405" w:name="_Toc256000241"/>
      <w:bookmarkStart w:id="2406" w:name="bookmark1836"/>
      <w:bookmarkStart w:id="2407" w:name="_Toc256000491"/>
      <w:bookmarkStart w:id="2408" w:name="_Toc3726"/>
      <w:bookmarkStart w:id="2409" w:name="bookmark1837"/>
      <w:r>
        <w:rPr>
          <w:rFonts w:ascii="宋体" w:hAnsi="宋体" w:cs="宋体"/>
          <w:sz w:val="21"/>
          <w:szCs w:val="21"/>
        </w:rPr>
        <w:t>19.1</w:t>
      </w:r>
      <w:r>
        <w:rPr>
          <w:rFonts w:hint="eastAsia" w:ascii="宋体" w:hAnsi="宋体" w:cs="宋体"/>
          <w:sz w:val="21"/>
          <w:szCs w:val="21"/>
        </w:rPr>
        <w:t>缺陷责任期（工程质量保修期）的起算时间</w:t>
      </w:r>
      <w:bookmarkEnd w:id="2403"/>
      <w:bookmarkEnd w:id="2404"/>
      <w:bookmarkEnd w:id="2405"/>
      <w:bookmarkEnd w:id="2406"/>
      <w:bookmarkEnd w:id="2407"/>
      <w:bookmarkEnd w:id="2408"/>
      <w:bookmarkEnd w:id="2409"/>
    </w:p>
    <w:p w14:paraId="29160764">
      <w:pPr>
        <w:pStyle w:val="319"/>
        <w:spacing w:after="260"/>
        <w:ind w:firstLine="440"/>
        <w:rPr>
          <w:rFonts w:cs="Times New Roman"/>
          <w:sz w:val="21"/>
          <w:szCs w:val="21"/>
        </w:rPr>
      </w:pPr>
      <w:r>
        <w:rPr>
          <w:rFonts w:hint="eastAsia"/>
          <w:sz w:val="21"/>
          <w:szCs w:val="21"/>
        </w:rPr>
        <w:t>本工程缺陷责任期（工程质量保修）计算如下：起算日按通用条款</w:t>
      </w:r>
      <w:r>
        <w:rPr>
          <w:sz w:val="21"/>
          <w:szCs w:val="21"/>
          <w:lang w:val="en-US"/>
        </w:rPr>
        <w:t>19.1</w:t>
      </w:r>
      <w:r>
        <w:rPr>
          <w:rFonts w:hint="eastAsia"/>
          <w:sz w:val="21"/>
          <w:szCs w:val="21"/>
        </w:rPr>
        <w:t>和</w:t>
      </w:r>
      <w:r>
        <w:rPr>
          <w:sz w:val="21"/>
          <w:szCs w:val="21"/>
          <w:lang w:val="en-US"/>
        </w:rPr>
        <w:t>19.</w:t>
      </w:r>
      <w:r>
        <w:rPr>
          <w:sz w:val="21"/>
          <w:szCs w:val="21"/>
        </w:rPr>
        <w:t>7</w:t>
      </w:r>
      <w:r>
        <w:rPr>
          <w:rFonts w:hint="eastAsia"/>
          <w:sz w:val="21"/>
          <w:szCs w:val="21"/>
        </w:rPr>
        <w:t>的约定，终止日按专用条款</w:t>
      </w:r>
      <w:r>
        <w:rPr>
          <w:sz w:val="21"/>
          <w:szCs w:val="21"/>
          <w:lang w:val="en-US"/>
        </w:rPr>
        <w:t>1.1.4.5</w:t>
      </w:r>
      <w:r>
        <w:rPr>
          <w:rFonts w:hint="eastAsia"/>
          <w:sz w:val="21"/>
          <w:szCs w:val="21"/>
        </w:rPr>
        <w:t>约定。</w:t>
      </w:r>
    </w:p>
    <w:p w14:paraId="2F19EC95">
      <w:pPr>
        <w:pStyle w:val="318"/>
        <w:spacing w:line="360" w:lineRule="auto"/>
        <w:rPr>
          <w:rFonts w:ascii="宋体" w:cs="宋体"/>
          <w:sz w:val="21"/>
          <w:szCs w:val="21"/>
        </w:rPr>
      </w:pPr>
      <w:bookmarkStart w:id="2410" w:name="bookmark1840"/>
      <w:bookmarkEnd w:id="2410"/>
      <w:bookmarkStart w:id="2411" w:name="_Toc15578"/>
      <w:bookmarkStart w:id="2412" w:name="_Toc26657"/>
      <w:bookmarkStart w:id="2413" w:name="_Toc3197"/>
      <w:bookmarkStart w:id="2414" w:name="_Toc5968"/>
      <w:bookmarkStart w:id="2415" w:name="_Toc256000493"/>
      <w:bookmarkStart w:id="2416" w:name="_Toc256000243"/>
      <w:bookmarkStart w:id="2417" w:name="bookmark1841"/>
      <w:bookmarkStart w:id="2418" w:name="_Toc615"/>
      <w:bookmarkStart w:id="2419" w:name="bookmark1839"/>
      <w:bookmarkStart w:id="2420" w:name="bookmark1838"/>
      <w:r>
        <w:rPr>
          <w:rFonts w:ascii="宋体" w:hAnsi="宋体" w:cs="宋体"/>
          <w:sz w:val="21"/>
          <w:szCs w:val="21"/>
        </w:rPr>
        <w:t xml:space="preserve">20. </w:t>
      </w:r>
      <w:r>
        <w:rPr>
          <w:rFonts w:hint="eastAsia" w:ascii="宋体" w:hAnsi="宋体" w:cs="宋体"/>
          <w:sz w:val="21"/>
          <w:szCs w:val="21"/>
        </w:rPr>
        <w:t>保险</w:t>
      </w:r>
      <w:bookmarkEnd w:id="2411"/>
      <w:bookmarkEnd w:id="2412"/>
      <w:bookmarkEnd w:id="2413"/>
      <w:bookmarkEnd w:id="2414"/>
      <w:bookmarkEnd w:id="2415"/>
      <w:bookmarkEnd w:id="2416"/>
      <w:bookmarkEnd w:id="2417"/>
      <w:bookmarkEnd w:id="2418"/>
    </w:p>
    <w:p w14:paraId="492657C4">
      <w:pPr>
        <w:pStyle w:val="318"/>
        <w:spacing w:line="360" w:lineRule="auto"/>
        <w:rPr>
          <w:rFonts w:ascii="宋体" w:cs="宋体"/>
          <w:sz w:val="21"/>
          <w:szCs w:val="21"/>
        </w:rPr>
      </w:pPr>
      <w:bookmarkStart w:id="2421" w:name="_Toc5264"/>
      <w:bookmarkStart w:id="2422" w:name="_Toc25360"/>
      <w:bookmarkStart w:id="2423" w:name="_Toc256000244"/>
      <w:bookmarkStart w:id="2424" w:name="bookmark1842"/>
      <w:bookmarkStart w:id="2425" w:name="_Toc256000494"/>
      <w:r>
        <w:rPr>
          <w:rFonts w:ascii="宋体" w:hAnsi="宋体" w:cs="宋体"/>
          <w:sz w:val="21"/>
          <w:szCs w:val="21"/>
        </w:rPr>
        <w:t>20.1</w:t>
      </w:r>
      <w:r>
        <w:rPr>
          <w:rFonts w:hint="eastAsia" w:ascii="宋体" w:hAnsi="宋体" w:cs="宋体"/>
          <w:sz w:val="21"/>
          <w:szCs w:val="21"/>
        </w:rPr>
        <w:t>工程保险</w:t>
      </w:r>
      <w:bookmarkEnd w:id="2419"/>
      <w:bookmarkEnd w:id="2420"/>
      <w:bookmarkEnd w:id="2421"/>
      <w:bookmarkEnd w:id="2422"/>
      <w:bookmarkEnd w:id="2423"/>
      <w:bookmarkEnd w:id="2424"/>
      <w:bookmarkEnd w:id="2425"/>
    </w:p>
    <w:p w14:paraId="5E576710">
      <w:pPr>
        <w:pStyle w:val="322"/>
        <w:tabs>
          <w:tab w:val="left" w:pos="7832"/>
        </w:tabs>
        <w:spacing w:after="120"/>
        <w:rPr>
          <w:rFonts w:cs="Times New Roman"/>
          <w:sz w:val="21"/>
          <w:szCs w:val="21"/>
        </w:rPr>
      </w:pPr>
      <w:bookmarkStart w:id="2426" w:name="bookmark1844"/>
      <w:bookmarkStart w:id="2427" w:name="_Toc256000245"/>
      <w:bookmarkStart w:id="2428" w:name="bookmark1845"/>
      <w:bookmarkStart w:id="2429" w:name="bookmark1843"/>
      <w:r>
        <w:rPr>
          <w:rFonts w:hint="eastAsia"/>
          <w:sz w:val="21"/>
          <w:szCs w:val="21"/>
        </w:rPr>
        <w:t>建筑工程一切险和（或）安装工程一切险投保人：</w:t>
      </w:r>
      <w:r>
        <w:rPr>
          <w:rFonts w:hint="eastAsia"/>
          <w:sz w:val="21"/>
          <w:szCs w:val="21"/>
          <w:u w:val="single"/>
        </w:rPr>
        <w:t>以承包人名义投保</w:t>
      </w:r>
      <w:r>
        <w:rPr>
          <w:rFonts w:hint="eastAsia"/>
          <w:sz w:val="21"/>
          <w:szCs w:val="21"/>
        </w:rPr>
        <w:t>；</w:t>
      </w:r>
      <w:r>
        <w:rPr>
          <w:sz w:val="21"/>
          <w:szCs w:val="21"/>
        </w:rPr>
        <w:t xml:space="preserve"> </w:t>
      </w:r>
      <w:r>
        <w:rPr>
          <w:rFonts w:hint="eastAsia"/>
          <w:sz w:val="21"/>
          <w:szCs w:val="21"/>
        </w:rPr>
        <w:t>投保内容：</w:t>
      </w:r>
      <w:r>
        <w:rPr>
          <w:rFonts w:hint="eastAsia"/>
          <w:sz w:val="21"/>
          <w:szCs w:val="21"/>
          <w:u w:val="single"/>
        </w:rPr>
        <w:t>为本合同工程派遣或雇用的任何人员进行意外伤亡和人身事故保险，保险费用包含在工程报价中</w:t>
      </w:r>
      <w:r>
        <w:rPr>
          <w:rFonts w:hint="eastAsia"/>
          <w:sz w:val="21"/>
          <w:szCs w:val="21"/>
        </w:rPr>
        <w:t>；保险金额、保险费率和保险期限：</w:t>
      </w:r>
      <w:r>
        <w:rPr>
          <w:sz w:val="21"/>
          <w:szCs w:val="21"/>
          <w:u w:val="single"/>
        </w:rPr>
        <w:t xml:space="preserve"> </w:t>
      </w:r>
      <w:r>
        <w:rPr>
          <w:rFonts w:hint="eastAsia"/>
          <w:sz w:val="21"/>
          <w:szCs w:val="21"/>
          <w:u w:val="single"/>
        </w:rPr>
        <w:t>在签订施工承包合同时明确</w:t>
      </w:r>
      <w:r>
        <w:rPr>
          <w:rFonts w:cs="Times New Roman"/>
          <w:sz w:val="21"/>
          <w:szCs w:val="21"/>
          <w:u w:val="single"/>
        </w:rPr>
        <w:tab/>
      </w:r>
      <w:r>
        <w:rPr>
          <w:rFonts w:hint="eastAsia"/>
          <w:sz w:val="21"/>
          <w:szCs w:val="21"/>
          <w:lang w:val="en-US"/>
        </w:rPr>
        <w:t>。</w:t>
      </w:r>
    </w:p>
    <w:p w14:paraId="3ACE067A">
      <w:pPr>
        <w:pStyle w:val="318"/>
        <w:spacing w:line="360" w:lineRule="auto"/>
        <w:rPr>
          <w:rFonts w:ascii="宋体" w:cs="宋体"/>
          <w:sz w:val="21"/>
          <w:szCs w:val="21"/>
        </w:rPr>
      </w:pPr>
      <w:bookmarkStart w:id="2430" w:name="_Toc30415"/>
      <w:bookmarkStart w:id="2431" w:name="_Toc256000495"/>
      <w:bookmarkStart w:id="2432" w:name="_Toc22944"/>
      <w:r>
        <w:rPr>
          <w:rFonts w:ascii="宋体" w:hAnsi="宋体" w:cs="宋体"/>
          <w:sz w:val="21"/>
          <w:szCs w:val="21"/>
        </w:rPr>
        <w:t>20.4</w:t>
      </w:r>
      <w:r>
        <w:rPr>
          <w:rFonts w:hint="eastAsia" w:ascii="宋体" w:hAnsi="宋体" w:cs="宋体"/>
          <w:sz w:val="21"/>
          <w:szCs w:val="21"/>
        </w:rPr>
        <w:t>第三者责任险</w:t>
      </w:r>
      <w:bookmarkEnd w:id="2426"/>
      <w:bookmarkEnd w:id="2427"/>
      <w:bookmarkEnd w:id="2428"/>
      <w:bookmarkEnd w:id="2429"/>
      <w:bookmarkEnd w:id="2430"/>
      <w:bookmarkEnd w:id="2431"/>
      <w:bookmarkEnd w:id="2432"/>
    </w:p>
    <w:p w14:paraId="5447EA0A">
      <w:pPr>
        <w:pStyle w:val="319"/>
        <w:tabs>
          <w:tab w:val="left" w:pos="8225"/>
        </w:tabs>
        <w:spacing w:after="120"/>
        <w:ind w:left="420" w:firstLine="20"/>
        <w:rPr>
          <w:rFonts w:cs="Times New Roman"/>
          <w:sz w:val="21"/>
          <w:szCs w:val="21"/>
        </w:rPr>
      </w:pPr>
      <w:r>
        <w:rPr>
          <w:sz w:val="21"/>
          <w:szCs w:val="21"/>
          <w:lang w:val="en-US"/>
        </w:rPr>
        <w:t xml:space="preserve">20.4.2 </w:t>
      </w:r>
      <w:r>
        <w:rPr>
          <w:rFonts w:hint="eastAsia"/>
          <w:sz w:val="21"/>
          <w:szCs w:val="21"/>
        </w:rPr>
        <w:t>第三者责任险保险费率：</w:t>
      </w:r>
      <w:r>
        <w:rPr>
          <w:sz w:val="21"/>
          <w:szCs w:val="21"/>
          <w:u w:val="single"/>
          <w:lang w:val="en-US"/>
        </w:rPr>
        <w:t>/</w:t>
      </w:r>
      <w:r>
        <w:rPr>
          <w:rFonts w:hint="eastAsia"/>
          <w:sz w:val="21"/>
          <w:szCs w:val="21"/>
        </w:rPr>
        <w:t>；</w:t>
      </w:r>
      <w:r>
        <w:rPr>
          <w:sz w:val="21"/>
          <w:szCs w:val="21"/>
        </w:rPr>
        <w:t xml:space="preserve"> </w:t>
      </w:r>
      <w:r>
        <w:rPr>
          <w:rFonts w:hint="eastAsia"/>
          <w:sz w:val="21"/>
          <w:szCs w:val="21"/>
        </w:rPr>
        <w:t>第三者责任险保险金额：</w:t>
      </w:r>
      <w:r>
        <w:rPr>
          <w:sz w:val="21"/>
          <w:szCs w:val="21"/>
          <w:u w:val="single"/>
          <w:lang w:val="en-US"/>
        </w:rPr>
        <w:t>/</w:t>
      </w:r>
      <w:r>
        <w:rPr>
          <w:rFonts w:hint="eastAsia"/>
          <w:sz w:val="21"/>
          <w:szCs w:val="21"/>
          <w:lang w:val="en-US"/>
        </w:rPr>
        <w:t>。</w:t>
      </w:r>
    </w:p>
    <w:p w14:paraId="54F43A09">
      <w:pPr>
        <w:pStyle w:val="318"/>
        <w:spacing w:line="360" w:lineRule="auto"/>
        <w:rPr>
          <w:rFonts w:ascii="宋体" w:cs="宋体"/>
          <w:sz w:val="21"/>
          <w:szCs w:val="21"/>
        </w:rPr>
      </w:pPr>
      <w:bookmarkStart w:id="2433" w:name="bookmark1848"/>
      <w:bookmarkStart w:id="2434" w:name="_Toc7010"/>
      <w:bookmarkStart w:id="2435" w:name="_Toc6401"/>
      <w:bookmarkStart w:id="2436" w:name="_Toc256000246"/>
      <w:bookmarkStart w:id="2437" w:name="bookmark1847"/>
      <w:bookmarkStart w:id="2438" w:name="_Toc256000496"/>
      <w:bookmarkStart w:id="2439" w:name="bookmark1846"/>
      <w:r>
        <w:rPr>
          <w:rFonts w:ascii="宋体" w:hAnsi="宋体" w:cs="宋体"/>
          <w:sz w:val="21"/>
          <w:szCs w:val="21"/>
        </w:rPr>
        <w:t>20.5</w:t>
      </w:r>
      <w:r>
        <w:rPr>
          <w:rFonts w:hint="eastAsia" w:ascii="宋体" w:hAnsi="宋体" w:cs="宋体"/>
          <w:sz w:val="21"/>
          <w:szCs w:val="21"/>
        </w:rPr>
        <w:t>其他保险</w:t>
      </w:r>
      <w:bookmarkEnd w:id="2433"/>
      <w:bookmarkEnd w:id="2434"/>
      <w:bookmarkEnd w:id="2435"/>
      <w:bookmarkEnd w:id="2436"/>
      <w:bookmarkEnd w:id="2437"/>
      <w:bookmarkEnd w:id="2438"/>
      <w:bookmarkEnd w:id="2439"/>
    </w:p>
    <w:p w14:paraId="6792B6FD">
      <w:pPr>
        <w:pStyle w:val="319"/>
        <w:tabs>
          <w:tab w:val="left" w:pos="8220"/>
        </w:tabs>
        <w:spacing w:after="120"/>
        <w:ind w:left="420" w:firstLine="20"/>
        <w:rPr>
          <w:rFonts w:cs="Times New Roman"/>
          <w:sz w:val="21"/>
          <w:szCs w:val="21"/>
        </w:rPr>
      </w:pPr>
      <w:r>
        <w:rPr>
          <w:rFonts w:hint="eastAsia"/>
          <w:sz w:val="21"/>
          <w:szCs w:val="21"/>
        </w:rPr>
        <w:t>需要投保的其他内容：</w:t>
      </w:r>
      <w:r>
        <w:rPr>
          <w:rFonts w:hint="eastAsia"/>
          <w:sz w:val="21"/>
          <w:szCs w:val="21"/>
          <w:u w:val="single"/>
        </w:rPr>
        <w:t>建筑意外伤害保险</w:t>
      </w:r>
      <w:r>
        <w:rPr>
          <w:sz w:val="21"/>
          <w:szCs w:val="21"/>
          <w:u w:val="single"/>
        </w:rPr>
        <w:t xml:space="preserve"> </w:t>
      </w:r>
      <w:r>
        <w:rPr>
          <w:rFonts w:hint="eastAsia"/>
          <w:sz w:val="21"/>
          <w:szCs w:val="21"/>
        </w:rPr>
        <w:t>；保险金额、保险费率和保险期限：</w:t>
      </w:r>
      <w:r>
        <w:rPr>
          <w:sz w:val="21"/>
          <w:szCs w:val="21"/>
          <w:u w:val="single"/>
          <w:lang w:val="en-US"/>
        </w:rPr>
        <w:t>/</w:t>
      </w:r>
      <w:r>
        <w:rPr>
          <w:rFonts w:hint="eastAsia"/>
          <w:sz w:val="21"/>
          <w:szCs w:val="21"/>
        </w:rPr>
        <w:t>；</w:t>
      </w:r>
    </w:p>
    <w:p w14:paraId="186C11CE">
      <w:pPr>
        <w:pStyle w:val="318"/>
        <w:spacing w:line="360" w:lineRule="auto"/>
        <w:rPr>
          <w:rFonts w:ascii="宋体" w:cs="宋体"/>
          <w:sz w:val="21"/>
          <w:szCs w:val="21"/>
        </w:rPr>
      </w:pPr>
      <w:bookmarkStart w:id="2440" w:name="_Toc9756"/>
      <w:bookmarkStart w:id="2441" w:name="bookmark1850"/>
      <w:bookmarkStart w:id="2442" w:name="bookmark1849"/>
      <w:bookmarkStart w:id="2443" w:name="_Toc256000247"/>
      <w:bookmarkStart w:id="2444" w:name="bookmark1851"/>
      <w:bookmarkStart w:id="2445" w:name="_Toc30055"/>
      <w:bookmarkStart w:id="2446" w:name="_Toc256000497"/>
      <w:r>
        <w:rPr>
          <w:rFonts w:ascii="宋体" w:hAnsi="宋体" w:cs="宋体"/>
          <w:sz w:val="21"/>
          <w:szCs w:val="21"/>
        </w:rPr>
        <w:t>20.6</w:t>
      </w:r>
      <w:r>
        <w:rPr>
          <w:rFonts w:hint="eastAsia" w:ascii="宋体" w:hAnsi="宋体" w:cs="宋体"/>
          <w:sz w:val="21"/>
          <w:szCs w:val="21"/>
        </w:rPr>
        <w:t>对各项保险的一般要求</w:t>
      </w:r>
      <w:bookmarkEnd w:id="2440"/>
      <w:bookmarkEnd w:id="2441"/>
      <w:bookmarkEnd w:id="2442"/>
      <w:bookmarkEnd w:id="2443"/>
      <w:bookmarkEnd w:id="2444"/>
      <w:bookmarkEnd w:id="2445"/>
      <w:bookmarkEnd w:id="2446"/>
    </w:p>
    <w:p w14:paraId="720013F0">
      <w:pPr>
        <w:pStyle w:val="319"/>
        <w:ind w:firstLine="420"/>
        <w:rPr>
          <w:rFonts w:cs="Times New Roman"/>
          <w:sz w:val="21"/>
          <w:szCs w:val="21"/>
        </w:rPr>
      </w:pPr>
      <w:r>
        <w:rPr>
          <w:sz w:val="21"/>
          <w:szCs w:val="21"/>
        </w:rPr>
        <w:t>20.6.1</w:t>
      </w:r>
      <w:r>
        <w:rPr>
          <w:rFonts w:hint="eastAsia"/>
          <w:sz w:val="21"/>
          <w:szCs w:val="21"/>
        </w:rPr>
        <w:t>保险凭证</w:t>
      </w:r>
    </w:p>
    <w:p w14:paraId="459CDDFD">
      <w:pPr>
        <w:pStyle w:val="319"/>
        <w:tabs>
          <w:tab w:val="left" w:pos="8220"/>
        </w:tabs>
        <w:ind w:left="420" w:firstLine="20"/>
        <w:rPr>
          <w:rFonts w:cs="Times New Roman"/>
          <w:sz w:val="21"/>
          <w:szCs w:val="21"/>
        </w:rPr>
      </w:pPr>
      <w:r>
        <w:rPr>
          <w:rFonts w:hint="eastAsia"/>
          <w:sz w:val="21"/>
          <w:szCs w:val="21"/>
        </w:rPr>
        <w:t>承包人提交保险凭证的期限：</w:t>
      </w:r>
      <w:r>
        <w:rPr>
          <w:rFonts w:hint="eastAsia"/>
          <w:sz w:val="21"/>
          <w:szCs w:val="21"/>
          <w:u w:val="single"/>
        </w:rPr>
        <w:t>保险手续办理完毕后</w:t>
      </w:r>
      <w:r>
        <w:rPr>
          <w:sz w:val="21"/>
          <w:szCs w:val="21"/>
          <w:u w:val="single"/>
        </w:rPr>
        <w:t>7</w:t>
      </w:r>
      <w:r>
        <w:rPr>
          <w:rFonts w:hint="eastAsia"/>
          <w:sz w:val="21"/>
          <w:szCs w:val="21"/>
          <w:u w:val="single"/>
        </w:rPr>
        <w:t>天内提交</w:t>
      </w:r>
      <w:r>
        <w:rPr>
          <w:rFonts w:hint="eastAsia"/>
          <w:sz w:val="21"/>
          <w:szCs w:val="21"/>
        </w:rPr>
        <w:t>；</w:t>
      </w:r>
      <w:r>
        <w:rPr>
          <w:sz w:val="21"/>
          <w:szCs w:val="21"/>
        </w:rPr>
        <w:t xml:space="preserve"> </w:t>
      </w:r>
      <w:r>
        <w:rPr>
          <w:rFonts w:hint="eastAsia"/>
          <w:sz w:val="21"/>
          <w:szCs w:val="21"/>
        </w:rPr>
        <w:t>保险条件：</w:t>
      </w:r>
      <w:r>
        <w:rPr>
          <w:sz w:val="21"/>
          <w:szCs w:val="21"/>
          <w:u w:val="single"/>
          <w:lang w:val="en-US"/>
        </w:rPr>
        <w:t>/</w:t>
      </w:r>
      <w:r>
        <w:rPr>
          <w:rFonts w:hint="eastAsia"/>
          <w:sz w:val="21"/>
          <w:szCs w:val="21"/>
        </w:rPr>
        <w:t>。</w:t>
      </w:r>
    </w:p>
    <w:p w14:paraId="25561DAA">
      <w:pPr>
        <w:pStyle w:val="319"/>
        <w:ind w:firstLine="420"/>
        <w:rPr>
          <w:rFonts w:cs="Times New Roman"/>
          <w:sz w:val="21"/>
          <w:szCs w:val="21"/>
        </w:rPr>
      </w:pPr>
      <w:r>
        <w:rPr>
          <w:sz w:val="21"/>
          <w:szCs w:val="21"/>
          <w:lang w:val="en-US"/>
        </w:rPr>
        <w:t>20. 6.</w:t>
      </w:r>
      <w:r>
        <w:rPr>
          <w:sz w:val="21"/>
          <w:szCs w:val="21"/>
        </w:rPr>
        <w:t>4</w:t>
      </w:r>
      <w:r>
        <w:rPr>
          <w:rFonts w:hint="eastAsia"/>
          <w:sz w:val="21"/>
          <w:szCs w:val="21"/>
        </w:rPr>
        <w:t>保险金不足的补偿</w:t>
      </w:r>
    </w:p>
    <w:p w14:paraId="12D9143D">
      <w:pPr>
        <w:pStyle w:val="319"/>
        <w:tabs>
          <w:tab w:val="left" w:pos="8218"/>
        </w:tabs>
        <w:spacing w:after="260"/>
        <w:ind w:left="420" w:firstLine="20"/>
        <w:rPr>
          <w:rFonts w:cs="Times New Roman"/>
          <w:sz w:val="21"/>
          <w:szCs w:val="21"/>
        </w:rPr>
      </w:pPr>
      <w:r>
        <w:rPr>
          <w:rFonts w:hint="eastAsia"/>
          <w:sz w:val="21"/>
          <w:szCs w:val="21"/>
        </w:rPr>
        <w:t>承包人负责补偿的范围与金额：</w:t>
      </w:r>
      <w:r>
        <w:rPr>
          <w:sz w:val="21"/>
          <w:szCs w:val="21"/>
          <w:u w:val="single"/>
          <w:lang w:val="en-US"/>
        </w:rPr>
        <w:t>/</w:t>
      </w:r>
      <w:r>
        <w:rPr>
          <w:rFonts w:hint="eastAsia"/>
          <w:sz w:val="21"/>
          <w:szCs w:val="21"/>
        </w:rPr>
        <w:t>；</w:t>
      </w:r>
      <w:r>
        <w:rPr>
          <w:sz w:val="21"/>
          <w:szCs w:val="21"/>
        </w:rPr>
        <w:t xml:space="preserve"> </w:t>
      </w:r>
      <w:r>
        <w:rPr>
          <w:rFonts w:hint="eastAsia"/>
          <w:sz w:val="21"/>
          <w:szCs w:val="21"/>
        </w:rPr>
        <w:t>发包人负责补偿的范围与金额：</w:t>
      </w:r>
      <w:r>
        <w:rPr>
          <w:sz w:val="21"/>
          <w:szCs w:val="21"/>
          <w:u w:val="single"/>
          <w:lang w:val="en-US"/>
        </w:rPr>
        <w:t>/</w:t>
      </w:r>
      <w:r>
        <w:rPr>
          <w:rFonts w:hint="eastAsia"/>
          <w:sz w:val="21"/>
          <w:szCs w:val="21"/>
          <w:lang w:val="en-US"/>
        </w:rPr>
        <w:t>。</w:t>
      </w:r>
    </w:p>
    <w:p w14:paraId="5B7FD1FB">
      <w:pPr>
        <w:pStyle w:val="318"/>
        <w:spacing w:line="360" w:lineRule="auto"/>
        <w:rPr>
          <w:rFonts w:ascii="宋体" w:cs="宋体"/>
          <w:sz w:val="21"/>
          <w:szCs w:val="21"/>
        </w:rPr>
      </w:pPr>
      <w:bookmarkStart w:id="2447" w:name="bookmark1854"/>
      <w:bookmarkEnd w:id="2447"/>
      <w:bookmarkStart w:id="2448" w:name="_Toc5988"/>
      <w:bookmarkStart w:id="2449" w:name="_Toc256000248"/>
      <w:bookmarkStart w:id="2450" w:name="_Toc13643"/>
      <w:bookmarkStart w:id="2451" w:name="_Toc30788"/>
      <w:bookmarkStart w:id="2452" w:name="_Toc31045"/>
      <w:bookmarkStart w:id="2453" w:name="_Toc6794"/>
      <w:bookmarkStart w:id="2454" w:name="_Toc256000498"/>
      <w:bookmarkStart w:id="2455" w:name="bookmark1855"/>
      <w:bookmarkStart w:id="2456" w:name="bookmark1853"/>
      <w:bookmarkStart w:id="2457" w:name="bookmark1852"/>
      <w:r>
        <w:rPr>
          <w:rFonts w:ascii="宋体" w:hAnsi="宋体" w:cs="宋体"/>
          <w:sz w:val="21"/>
          <w:szCs w:val="21"/>
        </w:rPr>
        <w:t xml:space="preserve">21. </w:t>
      </w:r>
      <w:r>
        <w:rPr>
          <w:rFonts w:hint="eastAsia" w:ascii="宋体" w:hAnsi="宋体" w:cs="宋体"/>
          <w:sz w:val="21"/>
          <w:szCs w:val="21"/>
        </w:rPr>
        <w:t>不可抗力</w:t>
      </w:r>
      <w:bookmarkEnd w:id="2448"/>
      <w:bookmarkEnd w:id="2449"/>
      <w:bookmarkEnd w:id="2450"/>
      <w:bookmarkEnd w:id="2451"/>
      <w:bookmarkEnd w:id="2452"/>
      <w:bookmarkEnd w:id="2453"/>
      <w:bookmarkEnd w:id="2454"/>
      <w:bookmarkEnd w:id="2455"/>
    </w:p>
    <w:p w14:paraId="08AE6A6F">
      <w:pPr>
        <w:pStyle w:val="318"/>
        <w:spacing w:line="360" w:lineRule="auto"/>
        <w:rPr>
          <w:rFonts w:ascii="宋体" w:cs="宋体"/>
          <w:sz w:val="21"/>
          <w:szCs w:val="21"/>
        </w:rPr>
      </w:pPr>
      <w:bookmarkStart w:id="2458" w:name="_Toc17361"/>
      <w:bookmarkStart w:id="2459" w:name="_Toc12863"/>
      <w:bookmarkStart w:id="2460" w:name="_Toc256000249"/>
      <w:bookmarkStart w:id="2461" w:name="bookmark1856"/>
      <w:bookmarkStart w:id="2462" w:name="_Toc256000499"/>
      <w:r>
        <w:rPr>
          <w:rFonts w:ascii="宋体" w:hAnsi="宋体" w:cs="宋体"/>
          <w:sz w:val="21"/>
          <w:szCs w:val="21"/>
        </w:rPr>
        <w:t>21.1</w:t>
      </w:r>
      <w:r>
        <w:rPr>
          <w:rFonts w:hint="eastAsia" w:ascii="宋体" w:hAnsi="宋体" w:cs="宋体"/>
          <w:sz w:val="21"/>
          <w:szCs w:val="21"/>
        </w:rPr>
        <w:t>不可抗力的确认</w:t>
      </w:r>
      <w:bookmarkEnd w:id="2456"/>
      <w:bookmarkEnd w:id="2457"/>
      <w:bookmarkEnd w:id="2458"/>
      <w:bookmarkEnd w:id="2459"/>
      <w:bookmarkEnd w:id="2460"/>
      <w:bookmarkEnd w:id="2461"/>
      <w:bookmarkEnd w:id="2462"/>
    </w:p>
    <w:p w14:paraId="3A19F4C0">
      <w:pPr>
        <w:pStyle w:val="319"/>
        <w:spacing w:after="260"/>
        <w:ind w:firstLine="440"/>
        <w:rPr>
          <w:rFonts w:cs="Times New Roman"/>
          <w:sz w:val="21"/>
          <w:szCs w:val="21"/>
        </w:rPr>
      </w:pPr>
      <w:r>
        <w:rPr>
          <w:sz w:val="21"/>
          <w:szCs w:val="21"/>
          <w:lang w:val="en-US"/>
        </w:rPr>
        <w:t>21.1.1</w:t>
      </w:r>
      <w:r>
        <w:rPr>
          <w:rFonts w:hint="eastAsia"/>
          <w:sz w:val="21"/>
          <w:szCs w:val="21"/>
        </w:rPr>
        <w:t>不可抗力是指承包人和发包人在订立合同时不可预见，在工程施工过程中不可避免发生并不能克服的自然灾害和社会性突发事件，如地震、海啸、瘟疫、水灾、骚乱、</w:t>
      </w:r>
      <w:r>
        <w:rPr>
          <w:sz w:val="21"/>
          <w:szCs w:val="21"/>
        </w:rPr>
        <w:t xml:space="preserve"> </w:t>
      </w:r>
      <w:r>
        <w:rPr>
          <w:rFonts w:hint="eastAsia"/>
          <w:sz w:val="21"/>
          <w:szCs w:val="21"/>
        </w:rPr>
        <w:t>暴动、战争和本合同专用合同条款第</w:t>
      </w:r>
      <w:r>
        <w:rPr>
          <w:sz w:val="21"/>
          <w:szCs w:val="21"/>
          <w:lang w:val="en-US"/>
        </w:rPr>
        <w:t xml:space="preserve">11. </w:t>
      </w:r>
      <w:r>
        <w:rPr>
          <w:sz w:val="21"/>
          <w:szCs w:val="21"/>
        </w:rPr>
        <w:t>4</w:t>
      </w:r>
      <w:r>
        <w:rPr>
          <w:rFonts w:hint="eastAsia"/>
          <w:sz w:val="21"/>
          <w:szCs w:val="21"/>
        </w:rPr>
        <w:t>款的约定。</w:t>
      </w:r>
    </w:p>
    <w:p w14:paraId="7F86BD60">
      <w:pPr>
        <w:pStyle w:val="318"/>
        <w:spacing w:line="360" w:lineRule="auto"/>
        <w:rPr>
          <w:rFonts w:ascii="宋体" w:cs="宋体"/>
          <w:sz w:val="21"/>
          <w:szCs w:val="21"/>
        </w:rPr>
      </w:pPr>
      <w:bookmarkStart w:id="2463" w:name="bookmark1859"/>
      <w:bookmarkStart w:id="2464" w:name="_Toc499"/>
      <w:bookmarkStart w:id="2465" w:name="_Toc23719"/>
      <w:bookmarkStart w:id="2466" w:name="_Toc256000250"/>
      <w:bookmarkStart w:id="2467" w:name="_Toc17737"/>
      <w:bookmarkStart w:id="2468" w:name="_Toc2281"/>
      <w:bookmarkStart w:id="2469" w:name="bookmark1857"/>
      <w:bookmarkStart w:id="2470" w:name="bookmark1858"/>
      <w:bookmarkStart w:id="2471" w:name="_Toc256000500"/>
      <w:bookmarkStart w:id="2472" w:name="_Toc31687"/>
      <w:r>
        <w:rPr>
          <w:rFonts w:ascii="宋体" w:hAnsi="宋体" w:cs="宋体"/>
          <w:sz w:val="21"/>
          <w:szCs w:val="21"/>
        </w:rPr>
        <w:t xml:space="preserve">24. </w:t>
      </w:r>
      <w:r>
        <w:rPr>
          <w:rFonts w:hint="eastAsia" w:ascii="宋体" w:hAnsi="宋体" w:cs="宋体"/>
          <w:sz w:val="21"/>
          <w:szCs w:val="21"/>
        </w:rPr>
        <w:t>争议的解决</w:t>
      </w:r>
      <w:bookmarkEnd w:id="2463"/>
      <w:bookmarkEnd w:id="2464"/>
      <w:bookmarkEnd w:id="2465"/>
      <w:bookmarkEnd w:id="2466"/>
      <w:bookmarkEnd w:id="2467"/>
      <w:bookmarkEnd w:id="2468"/>
      <w:bookmarkEnd w:id="2469"/>
      <w:bookmarkEnd w:id="2470"/>
      <w:bookmarkEnd w:id="2471"/>
      <w:bookmarkEnd w:id="2472"/>
    </w:p>
    <w:p w14:paraId="080A8B53">
      <w:pPr>
        <w:pStyle w:val="318"/>
        <w:spacing w:line="360" w:lineRule="auto"/>
        <w:rPr>
          <w:rFonts w:ascii="宋体" w:cs="宋体"/>
          <w:sz w:val="21"/>
          <w:szCs w:val="21"/>
        </w:rPr>
      </w:pPr>
      <w:bookmarkStart w:id="2473" w:name="_Toc17268"/>
      <w:bookmarkStart w:id="2474" w:name="_Toc256000501"/>
      <w:bookmarkStart w:id="2475" w:name="_Toc256000251"/>
      <w:bookmarkStart w:id="2476" w:name="_Toc2978"/>
      <w:bookmarkStart w:id="2477" w:name="bookmark1861"/>
      <w:bookmarkStart w:id="2478" w:name="bookmark1860"/>
      <w:bookmarkStart w:id="2479" w:name="bookmark1862"/>
      <w:r>
        <w:rPr>
          <w:rFonts w:ascii="宋体" w:hAnsi="宋体" w:cs="宋体"/>
          <w:sz w:val="21"/>
          <w:szCs w:val="21"/>
        </w:rPr>
        <w:t>24.1</w:t>
      </w:r>
      <w:r>
        <w:rPr>
          <w:rFonts w:hint="eastAsia" w:ascii="宋体" w:hAnsi="宋体" w:cs="宋体"/>
          <w:sz w:val="21"/>
          <w:szCs w:val="21"/>
        </w:rPr>
        <w:t>争议的解决方式</w:t>
      </w:r>
      <w:bookmarkEnd w:id="2473"/>
      <w:bookmarkEnd w:id="2474"/>
      <w:bookmarkEnd w:id="2475"/>
      <w:bookmarkEnd w:id="2476"/>
      <w:bookmarkEnd w:id="2477"/>
      <w:bookmarkEnd w:id="2478"/>
      <w:bookmarkEnd w:id="2479"/>
    </w:p>
    <w:p w14:paraId="65927CFE">
      <w:pPr>
        <w:pStyle w:val="319"/>
        <w:tabs>
          <w:tab w:val="left" w:pos="8198"/>
        </w:tabs>
        <w:spacing w:after="120"/>
        <w:ind w:firstLine="440"/>
        <w:rPr>
          <w:rFonts w:cs="Times New Roman"/>
          <w:sz w:val="21"/>
          <w:szCs w:val="21"/>
        </w:rPr>
      </w:pPr>
      <w:r>
        <w:rPr>
          <w:rFonts w:hint="eastAsia"/>
          <w:sz w:val="21"/>
          <w:szCs w:val="21"/>
        </w:rPr>
        <w:t>合同当事人友好协商解决不成、不愿提请争议评审或不接受争议评审组意见的，约定的合同争议解决方式：</w:t>
      </w:r>
      <w:r>
        <w:rPr>
          <w:rFonts w:hint="eastAsia"/>
          <w:sz w:val="21"/>
          <w:szCs w:val="21"/>
          <w:u w:val="single"/>
        </w:rPr>
        <w:t>向工程所在地人民法院提起诉讼</w:t>
      </w:r>
      <w:r>
        <w:rPr>
          <w:sz w:val="21"/>
          <w:szCs w:val="21"/>
          <w:u w:val="single"/>
        </w:rPr>
        <w:t xml:space="preserve"> </w:t>
      </w:r>
      <w:r>
        <w:rPr>
          <w:sz w:val="21"/>
          <w:szCs w:val="21"/>
        </w:rPr>
        <w:t xml:space="preserve"> </w:t>
      </w:r>
      <w:r>
        <w:rPr>
          <w:rFonts w:hint="eastAsia"/>
          <w:sz w:val="21"/>
          <w:szCs w:val="21"/>
          <w:lang w:val="en-US"/>
        </w:rPr>
        <w:t>。</w:t>
      </w:r>
    </w:p>
    <w:p w14:paraId="4F5359E4">
      <w:pPr>
        <w:pStyle w:val="318"/>
        <w:spacing w:line="360" w:lineRule="auto"/>
        <w:rPr>
          <w:rFonts w:ascii="宋体" w:cs="宋体"/>
          <w:sz w:val="21"/>
          <w:szCs w:val="21"/>
        </w:rPr>
      </w:pPr>
      <w:bookmarkStart w:id="2480" w:name="_Toc256000502"/>
      <w:bookmarkStart w:id="2481" w:name="bookmark1863"/>
      <w:bookmarkStart w:id="2482" w:name="bookmark1864"/>
      <w:bookmarkStart w:id="2483" w:name="bookmark1865"/>
      <w:bookmarkStart w:id="2484" w:name="_Toc256000252"/>
      <w:bookmarkStart w:id="2485" w:name="_Toc11294"/>
      <w:bookmarkStart w:id="2486" w:name="_Toc30466"/>
      <w:bookmarkStart w:id="2487" w:name="_Toc31628"/>
      <w:bookmarkStart w:id="2488" w:name="_Toc26089"/>
      <w:bookmarkStart w:id="2489" w:name="_Toc10342"/>
      <w:r>
        <w:rPr>
          <w:rFonts w:ascii="宋体" w:hAnsi="宋体" w:cs="宋体"/>
          <w:sz w:val="21"/>
          <w:szCs w:val="21"/>
        </w:rPr>
        <w:t xml:space="preserve">25. </w:t>
      </w:r>
      <w:r>
        <w:rPr>
          <w:rFonts w:hint="eastAsia" w:ascii="宋体" w:hAnsi="宋体" w:cs="宋体"/>
          <w:sz w:val="21"/>
          <w:szCs w:val="21"/>
        </w:rPr>
        <w:t>附加条款</w:t>
      </w:r>
      <w:bookmarkEnd w:id="2480"/>
      <w:bookmarkEnd w:id="2481"/>
      <w:bookmarkEnd w:id="2482"/>
      <w:bookmarkEnd w:id="2483"/>
      <w:bookmarkEnd w:id="2484"/>
      <w:bookmarkEnd w:id="2485"/>
      <w:bookmarkEnd w:id="2486"/>
      <w:bookmarkEnd w:id="2487"/>
      <w:bookmarkEnd w:id="2488"/>
      <w:bookmarkEnd w:id="2489"/>
    </w:p>
    <w:p w14:paraId="34702800">
      <w:pPr>
        <w:pStyle w:val="318"/>
        <w:spacing w:line="360" w:lineRule="auto"/>
        <w:rPr>
          <w:rFonts w:ascii="宋体" w:cs="宋体"/>
          <w:sz w:val="21"/>
          <w:szCs w:val="21"/>
        </w:rPr>
      </w:pPr>
      <w:bookmarkStart w:id="2490" w:name="bookmark1868"/>
      <w:bookmarkStart w:id="2491" w:name="_Toc10459"/>
      <w:bookmarkStart w:id="2492" w:name="_Toc256000253"/>
      <w:bookmarkStart w:id="2493" w:name="bookmark1866"/>
      <w:bookmarkStart w:id="2494" w:name="_Toc1615"/>
      <w:bookmarkStart w:id="2495" w:name="_Toc256000503"/>
      <w:bookmarkStart w:id="2496" w:name="bookmark1867"/>
      <w:r>
        <w:rPr>
          <w:rFonts w:ascii="宋体" w:hAnsi="宋体" w:cs="宋体"/>
          <w:sz w:val="21"/>
          <w:szCs w:val="21"/>
        </w:rPr>
        <w:t>25.1</w:t>
      </w:r>
      <w:r>
        <w:rPr>
          <w:rFonts w:hint="eastAsia" w:ascii="宋体" w:hAnsi="宋体" w:cs="宋体"/>
          <w:sz w:val="21"/>
          <w:szCs w:val="21"/>
        </w:rPr>
        <w:t>对承包人的要求</w:t>
      </w:r>
      <w:bookmarkEnd w:id="2490"/>
      <w:bookmarkEnd w:id="2491"/>
      <w:bookmarkEnd w:id="2492"/>
      <w:bookmarkEnd w:id="2493"/>
      <w:bookmarkEnd w:id="2494"/>
      <w:bookmarkEnd w:id="2495"/>
      <w:bookmarkEnd w:id="2496"/>
    </w:p>
    <w:p w14:paraId="1D5CD542">
      <w:pPr>
        <w:pStyle w:val="319"/>
        <w:numPr>
          <w:ilvl w:val="0"/>
          <w:numId w:val="41"/>
        </w:numPr>
        <w:tabs>
          <w:tab w:val="left" w:pos="707"/>
        </w:tabs>
        <w:ind w:firstLine="440"/>
        <w:rPr>
          <w:rFonts w:cs="Times New Roman"/>
          <w:sz w:val="21"/>
          <w:szCs w:val="21"/>
        </w:rPr>
      </w:pPr>
      <w:bookmarkStart w:id="2497" w:name="bookmark1869"/>
      <w:bookmarkEnd w:id="2497"/>
      <w:r>
        <w:rPr>
          <w:rFonts w:hint="eastAsia"/>
          <w:sz w:val="21"/>
          <w:szCs w:val="21"/>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w:t>
      </w:r>
      <w:r>
        <w:rPr>
          <w:sz w:val="21"/>
          <w:szCs w:val="21"/>
        </w:rPr>
        <w:t>5</w:t>
      </w:r>
      <w:r>
        <w:rPr>
          <w:rFonts w:hint="eastAsia"/>
          <w:sz w:val="21"/>
          <w:szCs w:val="21"/>
        </w:rPr>
        <w:t>天后派员进驻工地直接监管工程</w:t>
      </w:r>
      <w:r>
        <w:rPr>
          <w:sz w:val="21"/>
          <w:szCs w:val="21"/>
        </w:rPr>
        <w:t xml:space="preserve">, </w:t>
      </w:r>
      <w:r>
        <w:rPr>
          <w:rFonts w:hint="eastAsia"/>
          <w:sz w:val="21"/>
          <w:szCs w:val="21"/>
        </w:rPr>
        <w:t>使用承包人设备、临时工程和材料，另行组织人员或委托其他承包人施工，但发包人的这一行为不免除承包人按合同规定应负的责任。</w:t>
      </w:r>
    </w:p>
    <w:p w14:paraId="461E8776">
      <w:pPr>
        <w:pStyle w:val="319"/>
        <w:numPr>
          <w:ilvl w:val="0"/>
          <w:numId w:val="41"/>
        </w:numPr>
        <w:tabs>
          <w:tab w:val="left" w:pos="707"/>
        </w:tabs>
        <w:ind w:firstLine="440"/>
        <w:rPr>
          <w:rFonts w:cs="Times New Roman"/>
          <w:sz w:val="21"/>
          <w:szCs w:val="21"/>
        </w:rPr>
      </w:pPr>
      <w:bookmarkStart w:id="2498" w:name="bookmark1870"/>
      <w:bookmarkEnd w:id="2498"/>
      <w:r>
        <w:rPr>
          <w:rFonts w:hint="eastAsia"/>
          <w:sz w:val="21"/>
          <w:szCs w:val="21"/>
        </w:rPr>
        <w:t>遵守国务院《建设工程质量管理条例》，根据水利部、自治区和水利厅的有关质量管理规定，建立健全质量管理机构，结合工程实际制定完善的可操作性强的质量管理制度，施工质量等级达到合同约定等级。</w:t>
      </w:r>
    </w:p>
    <w:p w14:paraId="612F458F">
      <w:pPr>
        <w:pStyle w:val="319"/>
        <w:numPr>
          <w:ilvl w:val="0"/>
          <w:numId w:val="41"/>
        </w:numPr>
        <w:tabs>
          <w:tab w:val="left" w:pos="707"/>
        </w:tabs>
        <w:ind w:firstLine="440"/>
        <w:rPr>
          <w:rFonts w:cs="Times New Roman"/>
          <w:sz w:val="21"/>
          <w:szCs w:val="21"/>
        </w:rPr>
      </w:pPr>
      <w:bookmarkStart w:id="2499" w:name="bookmark1871"/>
      <w:bookmarkEnd w:id="2499"/>
      <w:r>
        <w:rPr>
          <w:rFonts w:hint="eastAsia"/>
          <w:sz w:val="21"/>
          <w:szCs w:val="21"/>
        </w:rPr>
        <w:t>按国家《中华人民共和国生产安全法》、《建设工程安全生产管理条例》、自治区安全生产法规和水利水电工程施工安全操作规程的规定建立健全安全管理机构和安全管理制度，采取安全施工保障措施保障工程施工安全。</w:t>
      </w:r>
    </w:p>
    <w:p w14:paraId="597F282B">
      <w:pPr>
        <w:pStyle w:val="319"/>
        <w:numPr>
          <w:ilvl w:val="0"/>
          <w:numId w:val="41"/>
        </w:numPr>
        <w:tabs>
          <w:tab w:val="left" w:pos="705"/>
        </w:tabs>
        <w:ind w:firstLine="440"/>
        <w:rPr>
          <w:rFonts w:cs="Times New Roman"/>
          <w:sz w:val="21"/>
          <w:szCs w:val="21"/>
        </w:rPr>
      </w:pPr>
      <w:bookmarkStart w:id="2500" w:name="bookmark1872"/>
      <w:bookmarkEnd w:id="2500"/>
      <w:r>
        <w:rPr>
          <w:rFonts w:hint="eastAsia"/>
          <w:sz w:val="21"/>
          <w:szCs w:val="21"/>
        </w:rPr>
        <w:t>按有关施工规程规范及本竞争性磋商文件技术条款进行组织施工并实施施工过程和移交前工程保护措施。</w:t>
      </w:r>
    </w:p>
    <w:p w14:paraId="13E4C114">
      <w:pPr>
        <w:pStyle w:val="319"/>
        <w:numPr>
          <w:ilvl w:val="0"/>
          <w:numId w:val="41"/>
        </w:numPr>
        <w:tabs>
          <w:tab w:val="left" w:pos="710"/>
        </w:tabs>
        <w:ind w:firstLine="440"/>
        <w:rPr>
          <w:rFonts w:cs="Times New Roman"/>
          <w:sz w:val="21"/>
          <w:szCs w:val="21"/>
        </w:rPr>
      </w:pPr>
      <w:bookmarkStart w:id="2501" w:name="bookmark1873"/>
      <w:bookmarkEnd w:id="2501"/>
      <w:r>
        <w:rPr>
          <w:rFonts w:hint="eastAsia"/>
          <w:sz w:val="21"/>
          <w:szCs w:val="21"/>
        </w:rPr>
        <w:t>承包人违约有以下情况之一者，发包人有权采取合同规定的以下措施处理，并视情节轻重处予违约金。</w:t>
      </w:r>
    </w:p>
    <w:p w14:paraId="3FA4BA5D">
      <w:pPr>
        <w:pStyle w:val="319"/>
        <w:numPr>
          <w:ilvl w:val="0"/>
          <w:numId w:val="42"/>
        </w:numPr>
        <w:tabs>
          <w:tab w:val="left" w:pos="883"/>
        </w:tabs>
        <w:ind w:firstLine="440"/>
        <w:rPr>
          <w:rFonts w:cs="Times New Roman"/>
          <w:sz w:val="21"/>
          <w:szCs w:val="21"/>
        </w:rPr>
      </w:pPr>
      <w:bookmarkStart w:id="2502" w:name="bookmark1874"/>
      <w:bookmarkEnd w:id="2502"/>
      <w:r>
        <w:rPr>
          <w:rFonts w:hint="eastAsia"/>
          <w:sz w:val="21"/>
          <w:szCs w:val="21"/>
        </w:rPr>
        <w:t>未经发包人批准，施工期内承包人调走主要施工技术人员</w:t>
      </w:r>
      <w:r>
        <w:rPr>
          <w:sz w:val="21"/>
          <w:szCs w:val="21"/>
        </w:rPr>
        <w:t>(</w:t>
      </w:r>
      <w:r>
        <w:rPr>
          <w:rFonts w:hint="eastAsia"/>
          <w:sz w:val="21"/>
          <w:szCs w:val="21"/>
        </w:rPr>
        <w:t>包括建造师、专业工程师</w:t>
      </w:r>
      <w:r>
        <w:rPr>
          <w:sz w:val="21"/>
          <w:szCs w:val="21"/>
        </w:rPr>
        <w:t>)</w:t>
      </w:r>
      <w:r>
        <w:rPr>
          <w:rFonts w:hint="eastAsia"/>
          <w:sz w:val="21"/>
          <w:szCs w:val="21"/>
        </w:rPr>
        <w:t>，经发现不及时调回的，违约金额为履约保证金金额的</w:t>
      </w:r>
      <w:r>
        <w:rPr>
          <w:sz w:val="21"/>
          <w:szCs w:val="21"/>
        </w:rPr>
        <w:t>5% ~20% (</w:t>
      </w:r>
      <w:r>
        <w:rPr>
          <w:rFonts w:hint="eastAsia"/>
          <w:sz w:val="21"/>
          <w:szCs w:val="21"/>
        </w:rPr>
        <w:t>视情节严重而</w:t>
      </w:r>
      <w:r>
        <w:rPr>
          <w:sz w:val="21"/>
          <w:szCs w:val="21"/>
        </w:rPr>
        <w:t xml:space="preserve"> </w:t>
      </w:r>
      <w:r>
        <w:rPr>
          <w:rFonts w:hint="eastAsia"/>
          <w:sz w:val="21"/>
          <w:szCs w:val="21"/>
        </w:rPr>
        <w:t>定</w:t>
      </w:r>
      <w:r>
        <w:rPr>
          <w:sz w:val="21"/>
          <w:szCs w:val="21"/>
        </w:rPr>
        <w:t>)</w:t>
      </w:r>
      <w:r>
        <w:rPr>
          <w:rFonts w:hint="eastAsia"/>
          <w:sz w:val="21"/>
          <w:szCs w:val="21"/>
          <w:lang w:val="en-US"/>
        </w:rPr>
        <w:t>。</w:t>
      </w:r>
    </w:p>
    <w:p w14:paraId="2967B241">
      <w:pPr>
        <w:pStyle w:val="319"/>
        <w:numPr>
          <w:ilvl w:val="0"/>
          <w:numId w:val="42"/>
        </w:numPr>
        <w:tabs>
          <w:tab w:val="left" w:pos="880"/>
        </w:tabs>
        <w:ind w:firstLine="440"/>
        <w:rPr>
          <w:rFonts w:cs="Times New Roman"/>
          <w:sz w:val="21"/>
          <w:szCs w:val="21"/>
        </w:rPr>
      </w:pPr>
      <w:bookmarkStart w:id="2503" w:name="bookmark1875"/>
      <w:bookmarkEnd w:id="2503"/>
      <w:r>
        <w:rPr>
          <w:rFonts w:hint="eastAsia"/>
          <w:sz w:val="21"/>
          <w:szCs w:val="21"/>
        </w:rPr>
        <w:t>未经发包人批准，施工期内自行调走主要施工机械，经发现不及时调回的，违约金额</w:t>
      </w:r>
    </w:p>
    <w:p w14:paraId="6F200660">
      <w:pPr>
        <w:pStyle w:val="319"/>
        <w:tabs>
          <w:tab w:val="left" w:pos="880"/>
        </w:tabs>
        <w:ind w:firstLine="0"/>
        <w:rPr>
          <w:rFonts w:cs="Times New Roman"/>
          <w:sz w:val="21"/>
          <w:szCs w:val="21"/>
        </w:rPr>
      </w:pPr>
      <w:r>
        <w:rPr>
          <w:rFonts w:hint="eastAsia"/>
          <w:sz w:val="21"/>
          <w:szCs w:val="21"/>
        </w:rPr>
        <w:t>为履约保证金金额的</w:t>
      </w:r>
      <w:r>
        <w:rPr>
          <w:sz w:val="21"/>
          <w:szCs w:val="21"/>
        </w:rPr>
        <w:t>5% ~20% (</w:t>
      </w:r>
      <w:r>
        <w:rPr>
          <w:rFonts w:hint="eastAsia"/>
          <w:sz w:val="21"/>
          <w:szCs w:val="21"/>
        </w:rPr>
        <w:t>视情节严重而定</w:t>
      </w:r>
      <w:r>
        <w:rPr>
          <w:sz w:val="21"/>
          <w:szCs w:val="21"/>
        </w:rPr>
        <w:t>)</w:t>
      </w:r>
      <w:r>
        <w:rPr>
          <w:rFonts w:hint="eastAsia"/>
          <w:sz w:val="21"/>
          <w:szCs w:val="21"/>
          <w:lang w:val="en-US"/>
        </w:rPr>
        <w:t>。</w:t>
      </w:r>
    </w:p>
    <w:p w14:paraId="707F727D">
      <w:pPr>
        <w:pStyle w:val="319"/>
        <w:numPr>
          <w:ilvl w:val="0"/>
          <w:numId w:val="42"/>
        </w:numPr>
        <w:tabs>
          <w:tab w:val="left" w:pos="883"/>
        </w:tabs>
        <w:ind w:firstLine="440"/>
        <w:rPr>
          <w:rFonts w:cs="Times New Roman"/>
          <w:sz w:val="21"/>
          <w:szCs w:val="21"/>
        </w:rPr>
      </w:pPr>
      <w:bookmarkStart w:id="2504" w:name="bookmark1876"/>
      <w:bookmarkEnd w:id="2504"/>
      <w:r>
        <w:rPr>
          <w:rFonts w:hint="eastAsia"/>
          <w:sz w:val="21"/>
          <w:szCs w:val="21"/>
        </w:rPr>
        <w:t>所有以上违约金额均在承包人的履约保证金</w:t>
      </w:r>
      <w:r>
        <w:rPr>
          <w:sz w:val="21"/>
          <w:szCs w:val="21"/>
        </w:rPr>
        <w:t>(</w:t>
      </w:r>
      <w:r>
        <w:rPr>
          <w:rFonts w:hint="eastAsia"/>
          <w:sz w:val="21"/>
          <w:szCs w:val="21"/>
        </w:rPr>
        <w:t>包括银行利息</w:t>
      </w:r>
      <w:r>
        <w:rPr>
          <w:sz w:val="21"/>
          <w:szCs w:val="21"/>
        </w:rPr>
        <w:t>)</w:t>
      </w:r>
      <w:r>
        <w:rPr>
          <w:rFonts w:hint="eastAsia"/>
          <w:sz w:val="21"/>
          <w:szCs w:val="21"/>
        </w:rPr>
        <w:t>及计量支付款内扣</w:t>
      </w:r>
      <w:r>
        <w:rPr>
          <w:sz w:val="21"/>
          <w:szCs w:val="21"/>
        </w:rPr>
        <w:t xml:space="preserve"> </w:t>
      </w:r>
      <w:r>
        <w:rPr>
          <w:rFonts w:hint="eastAsia"/>
          <w:sz w:val="21"/>
          <w:szCs w:val="21"/>
        </w:rPr>
        <w:t>除，承包人履约保证金被扣除后，由发包人从最后一次计量支付时扣相应金额补足履约保证金。</w:t>
      </w:r>
    </w:p>
    <w:p w14:paraId="2053384B">
      <w:pPr>
        <w:pStyle w:val="319"/>
        <w:numPr>
          <w:ilvl w:val="0"/>
          <w:numId w:val="42"/>
        </w:numPr>
        <w:tabs>
          <w:tab w:val="left" w:pos="885"/>
        </w:tabs>
        <w:ind w:firstLine="440"/>
        <w:rPr>
          <w:rFonts w:cs="Times New Roman"/>
          <w:sz w:val="21"/>
          <w:szCs w:val="21"/>
        </w:rPr>
      </w:pPr>
      <w:bookmarkStart w:id="2505" w:name="bookmark1877"/>
      <w:bookmarkEnd w:id="2505"/>
      <w:r>
        <w:rPr>
          <w:rFonts w:hint="eastAsia"/>
          <w:sz w:val="21"/>
          <w:szCs w:val="21"/>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w:t>
      </w:r>
      <w:r>
        <w:rPr>
          <w:sz w:val="21"/>
          <w:szCs w:val="21"/>
        </w:rPr>
        <w:t xml:space="preserve"> </w:t>
      </w:r>
      <w:r>
        <w:rPr>
          <w:rFonts w:hint="eastAsia"/>
          <w:sz w:val="21"/>
          <w:szCs w:val="21"/>
        </w:rPr>
        <w:t>械、材料和劳动力不能满足施工进度要求，有权指令承包人增加机械、材料和劳动力投入</w:t>
      </w:r>
      <w:r>
        <w:rPr>
          <w:sz w:val="21"/>
          <w:szCs w:val="21"/>
        </w:rPr>
        <w:t xml:space="preserve">, </w:t>
      </w:r>
      <w:r>
        <w:rPr>
          <w:rFonts w:hint="eastAsia"/>
          <w:sz w:val="21"/>
          <w:szCs w:val="21"/>
        </w:rPr>
        <w:t>承包人不得拒绝。</w:t>
      </w:r>
    </w:p>
    <w:p w14:paraId="545BB982">
      <w:pPr>
        <w:pStyle w:val="319"/>
        <w:numPr>
          <w:ilvl w:val="0"/>
          <w:numId w:val="42"/>
        </w:numPr>
        <w:tabs>
          <w:tab w:val="left" w:pos="883"/>
        </w:tabs>
        <w:ind w:firstLine="440"/>
        <w:rPr>
          <w:rFonts w:cs="Times New Roman"/>
          <w:sz w:val="21"/>
          <w:szCs w:val="21"/>
        </w:rPr>
      </w:pPr>
      <w:bookmarkStart w:id="2506" w:name="bookmark1878"/>
      <w:bookmarkEnd w:id="2506"/>
      <w:r>
        <w:rPr>
          <w:rFonts w:hint="eastAsia"/>
          <w:sz w:val="21"/>
          <w:szCs w:val="21"/>
        </w:rPr>
        <w:t>合同签订之日起</w:t>
      </w:r>
      <w:r>
        <w:rPr>
          <w:sz w:val="21"/>
          <w:szCs w:val="21"/>
        </w:rPr>
        <w:t>15</w:t>
      </w:r>
      <w:r>
        <w:rPr>
          <w:rFonts w:hint="eastAsia"/>
          <w:sz w:val="21"/>
          <w:szCs w:val="21"/>
        </w:rPr>
        <w:t>日内，承包人无法按合同规定进场全部人员和机械时，作为承包人违约，发包人可解除合同，没收其全部履约保证金，另行发包工程。</w:t>
      </w:r>
    </w:p>
    <w:p w14:paraId="164FFB28">
      <w:pPr>
        <w:pStyle w:val="319"/>
        <w:numPr>
          <w:ilvl w:val="0"/>
          <w:numId w:val="42"/>
        </w:numPr>
        <w:tabs>
          <w:tab w:val="left" w:pos="880"/>
        </w:tabs>
        <w:ind w:firstLine="440"/>
        <w:rPr>
          <w:rFonts w:cs="Times New Roman"/>
          <w:sz w:val="21"/>
          <w:szCs w:val="21"/>
        </w:rPr>
      </w:pPr>
      <w:bookmarkStart w:id="2507" w:name="bookmark1879"/>
      <w:bookmarkEnd w:id="2507"/>
      <w:r>
        <w:rPr>
          <w:rFonts w:hint="eastAsia"/>
          <w:sz w:val="21"/>
          <w:szCs w:val="21"/>
        </w:rPr>
        <w:t>合同履行过程中，承包人未按规定要求落实安全生产措施费用专款专用，挪用、</w:t>
      </w:r>
      <w:r>
        <w:rPr>
          <w:sz w:val="21"/>
          <w:szCs w:val="21"/>
        </w:rPr>
        <w:t xml:space="preserve"> </w:t>
      </w:r>
      <w:r>
        <w:rPr>
          <w:rFonts w:hint="eastAsia"/>
          <w:sz w:val="21"/>
          <w:szCs w:val="21"/>
        </w:rPr>
        <w:t>扣减安全生产措施费用，且不服从发包人或监理人的安全生产管理，发包人有权对违反安</w:t>
      </w:r>
      <w:r>
        <w:rPr>
          <w:sz w:val="21"/>
          <w:szCs w:val="21"/>
        </w:rPr>
        <w:t xml:space="preserve"> </w:t>
      </w:r>
      <w:r>
        <w:rPr>
          <w:rFonts w:hint="eastAsia"/>
          <w:sz w:val="21"/>
          <w:szCs w:val="21"/>
        </w:rPr>
        <w:t>全生产相关规定的行为处以罚款直至终止合同。</w:t>
      </w:r>
    </w:p>
    <w:p w14:paraId="0A49D6EE">
      <w:pPr>
        <w:pStyle w:val="319"/>
        <w:numPr>
          <w:ilvl w:val="0"/>
          <w:numId w:val="41"/>
        </w:numPr>
        <w:tabs>
          <w:tab w:val="left" w:pos="739"/>
        </w:tabs>
        <w:ind w:firstLine="440"/>
        <w:rPr>
          <w:rFonts w:cs="Times New Roman"/>
          <w:sz w:val="21"/>
          <w:szCs w:val="21"/>
        </w:rPr>
      </w:pPr>
      <w:bookmarkStart w:id="2508" w:name="bookmark1880"/>
      <w:bookmarkEnd w:id="2508"/>
      <w:r>
        <w:rPr>
          <w:rFonts w:hint="eastAsia"/>
          <w:sz w:val="21"/>
          <w:szCs w:val="21"/>
        </w:rPr>
        <w:t>承包人生活设施及施工场地，应自费配备消防设备，防止火灾发生。</w:t>
      </w:r>
    </w:p>
    <w:p w14:paraId="6E67F269">
      <w:pPr>
        <w:pStyle w:val="319"/>
        <w:numPr>
          <w:ilvl w:val="0"/>
          <w:numId w:val="41"/>
        </w:numPr>
        <w:tabs>
          <w:tab w:val="left" w:pos="719"/>
        </w:tabs>
        <w:ind w:firstLine="420"/>
        <w:rPr>
          <w:rFonts w:cs="Times New Roman"/>
          <w:sz w:val="21"/>
          <w:szCs w:val="21"/>
        </w:rPr>
      </w:pPr>
      <w:bookmarkStart w:id="2509" w:name="bookmark1881"/>
      <w:bookmarkEnd w:id="2509"/>
      <w:r>
        <w:rPr>
          <w:rFonts w:hint="eastAsia"/>
          <w:sz w:val="21"/>
          <w:szCs w:val="21"/>
        </w:rPr>
        <w:t>承包人使用的劳动力均应进行保险，否则不准安排工作，禁止使用童工。</w:t>
      </w:r>
    </w:p>
    <w:p w14:paraId="707F34E8">
      <w:pPr>
        <w:pStyle w:val="319"/>
        <w:tabs>
          <w:tab w:val="left" w:pos="880"/>
        </w:tabs>
        <w:ind w:firstLine="447" w:firstLineChars="213"/>
        <w:rPr>
          <w:rFonts w:cs="Times New Roman"/>
          <w:sz w:val="21"/>
          <w:szCs w:val="21"/>
        </w:rPr>
      </w:pPr>
      <w:r>
        <w:rPr>
          <w:sz w:val="21"/>
          <w:szCs w:val="21"/>
        </w:rPr>
        <w:t xml:space="preserve">8. </w:t>
      </w:r>
      <w:r>
        <w:rPr>
          <w:rFonts w:hint="eastAsia"/>
          <w:sz w:val="21"/>
          <w:szCs w:val="21"/>
        </w:rPr>
        <w:t>凡竞争性磋商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61B9D56B">
      <w:pPr>
        <w:pStyle w:val="319"/>
        <w:tabs>
          <w:tab w:val="left" w:pos="734"/>
        </w:tabs>
        <w:ind w:firstLine="420" w:firstLineChars="200"/>
        <w:rPr>
          <w:rFonts w:cs="Times New Roman"/>
          <w:sz w:val="21"/>
          <w:szCs w:val="21"/>
        </w:rPr>
      </w:pPr>
      <w:bookmarkStart w:id="2510" w:name="bookmark1883"/>
      <w:bookmarkEnd w:id="2510"/>
      <w:r>
        <w:rPr>
          <w:sz w:val="21"/>
          <w:szCs w:val="21"/>
        </w:rPr>
        <w:t xml:space="preserve">9. </w:t>
      </w:r>
      <w:r>
        <w:rPr>
          <w:rFonts w:hint="eastAsia"/>
          <w:sz w:val="21"/>
          <w:szCs w:val="21"/>
        </w:rPr>
        <w:t>承包人未能按时完成当月合同进度计划</w:t>
      </w:r>
      <w:r>
        <w:rPr>
          <w:sz w:val="21"/>
          <w:szCs w:val="21"/>
        </w:rPr>
        <w:t xml:space="preserve">70% </w:t>
      </w:r>
      <w:r>
        <w:rPr>
          <w:rFonts w:hint="eastAsia"/>
          <w:sz w:val="21"/>
          <w:szCs w:val="21"/>
        </w:rPr>
        <w:t>工程量的，发包人有权自行组织施工，</w:t>
      </w:r>
      <w:r>
        <w:rPr>
          <w:sz w:val="21"/>
          <w:szCs w:val="21"/>
        </w:rPr>
        <w:t xml:space="preserve"> </w:t>
      </w:r>
      <w:r>
        <w:rPr>
          <w:rFonts w:hint="eastAsia"/>
          <w:sz w:val="21"/>
          <w:szCs w:val="21"/>
        </w:rPr>
        <w:t>以不超过投标报价的</w:t>
      </w:r>
      <w:r>
        <w:rPr>
          <w:sz w:val="21"/>
          <w:szCs w:val="21"/>
        </w:rPr>
        <w:t>2</w:t>
      </w:r>
      <w:r>
        <w:rPr>
          <w:rFonts w:hint="eastAsia"/>
          <w:sz w:val="21"/>
          <w:szCs w:val="21"/>
        </w:rPr>
        <w:t>倍单价扣减承包人的进度款，支付自行组织施工完成的工程款。也</w:t>
      </w:r>
      <w:r>
        <w:rPr>
          <w:sz w:val="21"/>
          <w:szCs w:val="21"/>
        </w:rPr>
        <w:t xml:space="preserve"> </w:t>
      </w:r>
      <w:r>
        <w:rPr>
          <w:rFonts w:hint="eastAsia"/>
          <w:sz w:val="21"/>
          <w:szCs w:val="21"/>
        </w:rPr>
        <w:t>有权终止本合同并清退承包人，承包人须在</w:t>
      </w:r>
      <w:r>
        <w:rPr>
          <w:sz w:val="21"/>
          <w:szCs w:val="21"/>
        </w:rPr>
        <w:t>10</w:t>
      </w:r>
      <w:r>
        <w:rPr>
          <w:rFonts w:hint="eastAsia"/>
          <w:sz w:val="21"/>
          <w:szCs w:val="21"/>
        </w:rPr>
        <w:t>天内离场，否则发包人将强行撤出所有施工</w:t>
      </w:r>
      <w:r>
        <w:rPr>
          <w:sz w:val="21"/>
          <w:szCs w:val="21"/>
        </w:rPr>
        <w:t xml:space="preserve"> </w:t>
      </w:r>
      <w:r>
        <w:rPr>
          <w:rFonts w:hint="eastAsia"/>
          <w:sz w:val="21"/>
          <w:szCs w:val="21"/>
        </w:rPr>
        <w:t>设备，所造成的全部损失由承包人承担。</w:t>
      </w:r>
    </w:p>
    <w:p w14:paraId="2F8F8319">
      <w:pPr>
        <w:pStyle w:val="319"/>
        <w:tabs>
          <w:tab w:val="left" w:pos="801"/>
        </w:tabs>
        <w:rPr>
          <w:rFonts w:cs="Times New Roman"/>
          <w:sz w:val="21"/>
          <w:szCs w:val="21"/>
        </w:rPr>
      </w:pPr>
      <w:bookmarkStart w:id="2511" w:name="bookmark1884"/>
      <w:bookmarkEnd w:id="2511"/>
      <w:r>
        <w:rPr>
          <w:sz w:val="21"/>
          <w:szCs w:val="21"/>
        </w:rPr>
        <w:t xml:space="preserve">10. </w:t>
      </w:r>
      <w:r>
        <w:rPr>
          <w:rFonts w:hint="eastAsia"/>
          <w:sz w:val="21"/>
          <w:szCs w:val="21"/>
        </w:rPr>
        <w:t>有关主管部门及发包人检查发现问题时，承包人应按要求整改。在规定时间内不进</w:t>
      </w:r>
      <w:r>
        <w:rPr>
          <w:sz w:val="21"/>
          <w:szCs w:val="21"/>
        </w:rPr>
        <w:t xml:space="preserve"> </w:t>
      </w:r>
      <w:r>
        <w:rPr>
          <w:rFonts w:hint="eastAsia"/>
          <w:sz w:val="21"/>
          <w:szCs w:val="21"/>
        </w:rPr>
        <w:t>行整改或整改无效的，发包人有权终止本施工合同并清退承包人。承包人须在</w:t>
      </w:r>
      <w:r>
        <w:rPr>
          <w:sz w:val="21"/>
          <w:szCs w:val="21"/>
        </w:rPr>
        <w:t>10</w:t>
      </w:r>
      <w:r>
        <w:rPr>
          <w:rFonts w:hint="eastAsia"/>
          <w:sz w:val="21"/>
          <w:szCs w:val="21"/>
        </w:rPr>
        <w:t>天内离</w:t>
      </w:r>
      <w:r>
        <w:rPr>
          <w:sz w:val="21"/>
          <w:szCs w:val="21"/>
        </w:rPr>
        <w:t xml:space="preserve"> </w:t>
      </w:r>
      <w:r>
        <w:rPr>
          <w:rFonts w:hint="eastAsia"/>
          <w:sz w:val="21"/>
          <w:szCs w:val="21"/>
        </w:rPr>
        <w:t>场，否则发包人将强行撤出所有施工设备，所造成的全部损失由承包人承担。</w:t>
      </w:r>
    </w:p>
    <w:p w14:paraId="70A982DE">
      <w:pPr>
        <w:pStyle w:val="306"/>
        <w:spacing w:line="360" w:lineRule="auto"/>
        <w:ind w:firstLine="420" w:firstLineChars="200"/>
        <w:rPr>
          <w:rFonts w:ascii="宋体" w:cs="宋体"/>
          <w:lang w:val="zh-CN"/>
        </w:rPr>
      </w:pPr>
      <w:bookmarkStart w:id="2512" w:name="bookmark1886"/>
      <w:bookmarkStart w:id="2513" w:name="bookmark1887"/>
      <w:bookmarkStart w:id="2514" w:name="bookmark1885"/>
      <w:r>
        <w:rPr>
          <w:rFonts w:ascii="宋体" w:hAnsi="宋体" w:cs="宋体"/>
          <w:lang w:val="zh-CN"/>
        </w:rPr>
        <w:t>25.2</w:t>
      </w:r>
      <w:r>
        <w:rPr>
          <w:rFonts w:hint="eastAsia" w:ascii="宋体" w:hAnsi="宋体" w:cs="宋体"/>
          <w:lang w:val="zh-CN"/>
        </w:rPr>
        <w:t>发包人所有付款（含预付款）均转入如下承包人单位基本账户</w:t>
      </w:r>
      <w:r>
        <w:rPr>
          <w:rFonts w:ascii="宋体" w:cs="宋体"/>
          <w:lang w:val="zh-CN"/>
        </w:rPr>
        <w:tab/>
      </w:r>
      <w:r>
        <w:rPr>
          <w:rFonts w:hint="eastAsia" w:ascii="宋体" w:hAnsi="宋体" w:cs="宋体"/>
          <w:lang w:val="zh-CN"/>
        </w:rPr>
        <w:t>（签订施工合同时标明），承包人单位基本账户发生改变时，承包人应书面通知</w:t>
      </w:r>
      <w:r>
        <w:rPr>
          <w:rFonts w:ascii="宋体" w:hAnsi="宋体" w:cs="宋体"/>
          <w:lang w:val="zh-CN"/>
        </w:rPr>
        <w:t xml:space="preserve"> </w:t>
      </w:r>
      <w:r>
        <w:rPr>
          <w:rFonts w:hint="eastAsia" w:ascii="宋体" w:hAnsi="宋体" w:cs="宋体"/>
          <w:lang w:val="zh-CN"/>
        </w:rPr>
        <w:t>（法定代表人签字并加盖单位电子公章）发包人。</w:t>
      </w:r>
      <w:bookmarkEnd w:id="2512"/>
      <w:bookmarkEnd w:id="2513"/>
      <w:bookmarkEnd w:id="2514"/>
    </w:p>
    <w:p w14:paraId="24B3056C">
      <w:pPr>
        <w:pStyle w:val="17"/>
        <w:rPr>
          <w:rFonts w:ascii="宋体" w:cs="宋体"/>
          <w:sz w:val="21"/>
          <w:szCs w:val="21"/>
        </w:rPr>
      </w:pPr>
      <w:bookmarkStart w:id="2515" w:name="bookmark1889"/>
      <w:bookmarkStart w:id="2516" w:name="bookmark1888"/>
      <w:bookmarkStart w:id="2517" w:name="bookmark1890"/>
      <w:r>
        <w:rPr>
          <w:rFonts w:ascii="宋体" w:hAnsi="宋体" w:cs="宋体"/>
          <w:sz w:val="21"/>
          <w:szCs w:val="21"/>
        </w:rPr>
        <w:t>25.3</w:t>
      </w:r>
      <w:r>
        <w:rPr>
          <w:rFonts w:hint="eastAsia" w:ascii="宋体" w:hAnsi="宋体" w:cs="宋体"/>
          <w:sz w:val="21"/>
          <w:szCs w:val="21"/>
        </w:rPr>
        <w:t>专用合同条款中未尽事宜，在签订施工合同时双方再商定。</w:t>
      </w:r>
      <w:bookmarkEnd w:id="2515"/>
      <w:bookmarkEnd w:id="2516"/>
      <w:bookmarkEnd w:id="2517"/>
    </w:p>
    <w:p w14:paraId="65A77E4A">
      <w:pPr>
        <w:rPr>
          <w:rFonts w:ascii="宋体" w:hAnsi="宋体" w:eastAsia="宋体" w:cs="Times New Roman"/>
        </w:rPr>
      </w:pPr>
      <w:r>
        <w:rPr>
          <w:rFonts w:ascii="宋体" w:hAnsi="宋体" w:eastAsia="宋体" w:cs="Times New Roman"/>
        </w:rPr>
        <w:br w:type="page"/>
      </w:r>
    </w:p>
    <w:p w14:paraId="018796EF">
      <w:pPr>
        <w:rPr>
          <w:rFonts w:cs="Times New Roman"/>
        </w:rPr>
      </w:pPr>
    </w:p>
    <w:p w14:paraId="384C73DD">
      <w:pPr>
        <w:pStyle w:val="3"/>
        <w:rPr>
          <w:rFonts w:cs="Times New Roman"/>
        </w:rPr>
      </w:pPr>
      <w:bookmarkStart w:id="2518" w:name="_Toc10268"/>
      <w:bookmarkStart w:id="2519" w:name="bookmark1893"/>
      <w:bookmarkStart w:id="2520" w:name="_Toc14930"/>
      <w:bookmarkStart w:id="2521" w:name="bookmark1892"/>
      <w:bookmarkStart w:id="2522" w:name="_Toc14710461"/>
      <w:bookmarkStart w:id="2523" w:name="bookmark1891"/>
      <w:bookmarkStart w:id="2524" w:name="_Toc27564"/>
      <w:r>
        <w:rPr>
          <w:rFonts w:hint="eastAsia" w:cs="宋体"/>
        </w:rPr>
        <w:t>附件一：合同协议书</w:t>
      </w:r>
      <w:bookmarkEnd w:id="2518"/>
      <w:bookmarkEnd w:id="2519"/>
      <w:bookmarkEnd w:id="2520"/>
      <w:bookmarkEnd w:id="2521"/>
      <w:bookmarkEnd w:id="2522"/>
      <w:bookmarkEnd w:id="2523"/>
      <w:bookmarkEnd w:id="2524"/>
    </w:p>
    <w:p w14:paraId="227E9829">
      <w:pPr>
        <w:jc w:val="center"/>
        <w:rPr>
          <w:rFonts w:ascii="宋体" w:hAnsi="宋体" w:eastAsia="宋体" w:cs="Times New Roman"/>
          <w:b/>
          <w:bCs/>
        </w:rPr>
      </w:pPr>
      <w:bookmarkStart w:id="2525" w:name="bookmark1896"/>
      <w:bookmarkStart w:id="2526" w:name="bookmark1894"/>
      <w:bookmarkStart w:id="2527" w:name="bookmark1895"/>
      <w:r>
        <w:rPr>
          <w:rFonts w:hint="eastAsia" w:ascii="宋体" w:hAnsi="宋体" w:eastAsia="宋体" w:cs="宋体"/>
          <w:b/>
          <w:bCs/>
        </w:rPr>
        <w:t>合同协议书</w:t>
      </w:r>
      <w:bookmarkEnd w:id="2525"/>
      <w:bookmarkEnd w:id="2526"/>
      <w:bookmarkEnd w:id="2527"/>
    </w:p>
    <w:p w14:paraId="21A80844">
      <w:pPr>
        <w:jc w:val="center"/>
        <w:rPr>
          <w:rFonts w:ascii="宋体" w:hAnsi="宋体" w:eastAsia="宋体" w:cs="Times New Roman"/>
          <w:b/>
          <w:bCs/>
        </w:rPr>
      </w:pPr>
    </w:p>
    <w:p w14:paraId="1FA911E3">
      <w:pPr>
        <w:jc w:val="center"/>
        <w:rPr>
          <w:rFonts w:ascii="宋体" w:hAnsi="宋体" w:eastAsia="宋体" w:cs="Times New Roman"/>
          <w:b/>
          <w:bCs/>
        </w:rPr>
      </w:pPr>
    </w:p>
    <w:p w14:paraId="7A83375B">
      <w:pPr>
        <w:rPr>
          <w:rFonts w:ascii="宋体" w:hAnsi="宋体" w:eastAsia="宋体" w:cs="Times New Roman"/>
        </w:rPr>
      </w:pPr>
      <w:r>
        <w:rPr>
          <w:rFonts w:ascii="宋体" w:hAnsi="宋体" w:eastAsia="宋体" w:cs="Times New Roman"/>
        </w:rPr>
        <w:tab/>
      </w:r>
      <w:r>
        <w:rPr>
          <w:rFonts w:ascii="宋体" w:hAnsi="宋体" w:eastAsia="宋体" w:cs="宋体"/>
          <w:u w:val="single"/>
        </w:rPr>
        <w:t xml:space="preserve">          </w:t>
      </w:r>
      <w:r>
        <w:rPr>
          <w:rFonts w:hint="eastAsia" w:ascii="宋体" w:hAnsi="宋体" w:eastAsia="宋体" w:cs="宋体"/>
        </w:rPr>
        <w:t>（发包人名称，以下简称“发包人”）为实施</w:t>
      </w:r>
      <w:r>
        <w:rPr>
          <w:rFonts w:ascii="宋体" w:hAnsi="宋体" w:eastAsia="宋体" w:cs="Times New Roman"/>
        </w:rPr>
        <w:tab/>
      </w:r>
      <w:r>
        <w:rPr>
          <w:rFonts w:ascii="宋体" w:hAnsi="宋体" w:eastAsia="宋体" w:cs="宋体"/>
          <w:u w:val="single"/>
        </w:rPr>
        <w:t xml:space="preserve">           </w:t>
      </w:r>
      <w:r>
        <w:rPr>
          <w:rFonts w:ascii="宋体" w:hAnsi="宋体" w:eastAsia="宋体" w:cs="宋体"/>
        </w:rPr>
        <w:t xml:space="preserve"> </w:t>
      </w:r>
      <w:r>
        <w:rPr>
          <w:rFonts w:hint="eastAsia" w:ascii="宋体" w:hAnsi="宋体" w:eastAsia="宋体" w:cs="宋体"/>
        </w:rPr>
        <w:t>（项目名称），已接受</w:t>
      </w:r>
      <w:r>
        <w:rPr>
          <w:rFonts w:ascii="宋体" w:hAnsi="宋体" w:eastAsia="宋体" w:cs="宋体"/>
          <w:u w:val="single"/>
        </w:rPr>
        <w:t xml:space="preserve">   </w:t>
      </w:r>
      <w:r>
        <w:rPr>
          <w:rFonts w:ascii="宋体" w:hAnsi="宋体" w:eastAsia="宋体" w:cs="宋体"/>
          <w:u w:val="single"/>
        </w:rPr>
        <w:tab/>
      </w:r>
      <w:r>
        <w:rPr>
          <w:rFonts w:ascii="宋体" w:hAnsi="宋体" w:eastAsia="宋体" w:cs="宋体"/>
          <w:u w:val="single"/>
        </w:rPr>
        <w:t xml:space="preserve">            </w:t>
      </w:r>
      <w:r>
        <w:rPr>
          <w:rFonts w:ascii="宋体" w:hAnsi="宋体" w:eastAsia="宋体" w:cs="宋体"/>
        </w:rPr>
        <w:t xml:space="preserve">  </w:t>
      </w:r>
      <w:r>
        <w:rPr>
          <w:rFonts w:hint="eastAsia" w:ascii="宋体" w:hAnsi="宋体" w:eastAsia="宋体" w:cs="宋体"/>
        </w:rPr>
        <w:t>（承包人名称，以下简称“承包人”）对该项目</w:t>
      </w:r>
      <w:r>
        <w:rPr>
          <w:rFonts w:ascii="宋体" w:hAnsi="宋体" w:eastAsia="宋体" w:cs="宋体"/>
          <w:u w:val="single"/>
        </w:rPr>
        <w:t xml:space="preserve">   </w:t>
      </w:r>
      <w:r>
        <w:rPr>
          <w:rFonts w:ascii="宋体" w:hAnsi="宋体" w:eastAsia="宋体" w:cs="宋体"/>
          <w:u w:val="single"/>
        </w:rPr>
        <w:tab/>
      </w:r>
      <w:r>
        <w:rPr>
          <w:rFonts w:ascii="宋体" w:hAnsi="宋体" w:eastAsia="宋体" w:cs="宋体"/>
          <w:u w:val="single"/>
        </w:rPr>
        <w:t xml:space="preserve">       </w:t>
      </w:r>
      <w:r>
        <w:rPr>
          <w:rFonts w:hint="eastAsia" w:ascii="宋体" w:hAnsi="宋体" w:eastAsia="宋体" w:cs="宋体"/>
        </w:rPr>
        <w:t>（项目名称）</w:t>
      </w:r>
      <w:r>
        <w:rPr>
          <w:rFonts w:ascii="宋体" w:hAnsi="宋体" w:eastAsia="宋体" w:cs="宋体"/>
          <w:u w:val="single"/>
        </w:rPr>
        <w:t xml:space="preserve">            </w:t>
      </w:r>
      <w:r>
        <w:rPr>
          <w:rFonts w:ascii="宋体" w:hAnsi="宋体" w:eastAsia="宋体" w:cs="宋体"/>
        </w:rPr>
        <w:t xml:space="preserve">  </w:t>
      </w:r>
      <w:r>
        <w:rPr>
          <w:rFonts w:hint="eastAsia" w:ascii="宋体" w:hAnsi="宋体" w:eastAsia="宋体" w:cs="宋体"/>
        </w:rPr>
        <w:t>（标段名称）的投标，并确定其为成交人。发包人和承</w:t>
      </w:r>
      <w:r>
        <w:rPr>
          <w:rFonts w:ascii="宋体" w:hAnsi="宋体" w:eastAsia="宋体" w:cs="宋体"/>
        </w:rPr>
        <w:t xml:space="preserve"> </w:t>
      </w:r>
      <w:r>
        <w:rPr>
          <w:rFonts w:hint="eastAsia" w:ascii="宋体" w:hAnsi="宋体" w:eastAsia="宋体" w:cs="宋体"/>
        </w:rPr>
        <w:t>包人共同达成如下协议。</w:t>
      </w:r>
    </w:p>
    <w:p w14:paraId="69317C6A">
      <w:pPr>
        <w:pStyle w:val="315"/>
        <w:numPr>
          <w:ilvl w:val="0"/>
          <w:numId w:val="43"/>
        </w:numPr>
        <w:tabs>
          <w:tab w:val="left" w:pos="764"/>
        </w:tabs>
        <w:spacing w:line="352" w:lineRule="exact"/>
        <w:ind w:firstLine="420"/>
        <w:rPr>
          <w:rFonts w:cs="Times New Roman"/>
        </w:rPr>
      </w:pPr>
      <w:bookmarkStart w:id="2528" w:name="bookmark1897"/>
      <w:bookmarkEnd w:id="2528"/>
      <w:r>
        <w:rPr>
          <w:rFonts w:hint="eastAsia"/>
        </w:rPr>
        <w:t>本协议书与下列文件一起构成合同文件：</w:t>
      </w:r>
    </w:p>
    <w:p w14:paraId="75280D25">
      <w:pPr>
        <w:pStyle w:val="315"/>
        <w:tabs>
          <w:tab w:val="left" w:pos="903"/>
        </w:tabs>
        <w:spacing w:line="352" w:lineRule="exact"/>
        <w:ind w:firstLine="420"/>
        <w:rPr>
          <w:rFonts w:cs="Times New Roman"/>
        </w:rPr>
      </w:pPr>
      <w:bookmarkStart w:id="2529" w:name="bookmark1898"/>
      <w:r>
        <w:rPr>
          <w:rFonts w:hint="eastAsia"/>
        </w:rPr>
        <w:t>（</w:t>
      </w:r>
      <w:bookmarkEnd w:id="2529"/>
      <w:r>
        <w:t>1</w:t>
      </w:r>
      <w:r>
        <w:rPr>
          <w:rFonts w:hint="eastAsia"/>
        </w:rPr>
        <w:t>）</w:t>
      </w:r>
      <w:r>
        <w:rPr>
          <w:rFonts w:cs="Times New Roman"/>
        </w:rPr>
        <w:tab/>
      </w:r>
      <w:r>
        <w:rPr>
          <w:rFonts w:hint="eastAsia"/>
          <w:lang w:val="en-US"/>
        </w:rPr>
        <w:t>成交</w:t>
      </w:r>
      <w:r>
        <w:rPr>
          <w:rFonts w:hint="eastAsia"/>
        </w:rPr>
        <w:t>通知书；</w:t>
      </w:r>
    </w:p>
    <w:p w14:paraId="5DBAFFF3">
      <w:pPr>
        <w:pStyle w:val="315"/>
        <w:tabs>
          <w:tab w:val="left" w:pos="903"/>
        </w:tabs>
        <w:spacing w:line="352" w:lineRule="exact"/>
        <w:ind w:firstLine="420"/>
        <w:rPr>
          <w:rFonts w:cs="Times New Roman"/>
        </w:rPr>
      </w:pPr>
      <w:bookmarkStart w:id="2530" w:name="bookmark1899"/>
      <w:r>
        <w:rPr>
          <w:rFonts w:hint="eastAsia"/>
        </w:rPr>
        <w:t>（</w:t>
      </w:r>
      <w:bookmarkEnd w:id="2530"/>
      <w:r>
        <w:t>2</w:t>
      </w:r>
      <w:r>
        <w:rPr>
          <w:rFonts w:hint="eastAsia"/>
        </w:rPr>
        <w:t>）</w:t>
      </w:r>
      <w:r>
        <w:rPr>
          <w:rFonts w:cs="Times New Roman"/>
        </w:rPr>
        <w:tab/>
      </w:r>
      <w:r>
        <w:rPr>
          <w:rFonts w:hint="eastAsia"/>
          <w:lang w:val="en-US"/>
        </w:rPr>
        <w:t>磋商</w:t>
      </w:r>
      <w:r>
        <w:rPr>
          <w:rFonts w:hint="eastAsia"/>
        </w:rPr>
        <w:t>函及</w:t>
      </w:r>
      <w:r>
        <w:rPr>
          <w:rFonts w:hint="eastAsia"/>
          <w:lang w:val="en-US"/>
        </w:rPr>
        <w:t>磋商</w:t>
      </w:r>
      <w:r>
        <w:rPr>
          <w:rFonts w:hint="eastAsia"/>
        </w:rPr>
        <w:t>函附录；</w:t>
      </w:r>
    </w:p>
    <w:p w14:paraId="3D482AAA">
      <w:pPr>
        <w:pStyle w:val="315"/>
        <w:tabs>
          <w:tab w:val="left" w:pos="903"/>
        </w:tabs>
        <w:spacing w:line="352" w:lineRule="exact"/>
        <w:ind w:firstLine="420"/>
        <w:rPr>
          <w:rFonts w:cs="Times New Roman"/>
        </w:rPr>
      </w:pPr>
      <w:bookmarkStart w:id="2531" w:name="bookmark1900"/>
      <w:r>
        <w:rPr>
          <w:rFonts w:hint="eastAsia"/>
        </w:rPr>
        <w:t>（</w:t>
      </w:r>
      <w:bookmarkEnd w:id="2531"/>
      <w:r>
        <w:t>3</w:t>
      </w:r>
      <w:r>
        <w:rPr>
          <w:rFonts w:hint="eastAsia"/>
        </w:rPr>
        <w:t>）</w:t>
      </w:r>
      <w:r>
        <w:rPr>
          <w:rFonts w:cs="Times New Roman"/>
        </w:rPr>
        <w:tab/>
      </w:r>
      <w:r>
        <w:rPr>
          <w:rFonts w:hint="eastAsia"/>
        </w:rPr>
        <w:t>专用合同条款（含附加条款）；</w:t>
      </w:r>
    </w:p>
    <w:p w14:paraId="0186209B">
      <w:pPr>
        <w:pStyle w:val="315"/>
        <w:tabs>
          <w:tab w:val="left" w:pos="903"/>
        </w:tabs>
        <w:spacing w:line="352" w:lineRule="exact"/>
        <w:ind w:firstLine="420"/>
        <w:rPr>
          <w:rFonts w:cs="Times New Roman"/>
        </w:rPr>
      </w:pPr>
      <w:bookmarkStart w:id="2532" w:name="bookmark1901"/>
      <w:r>
        <w:rPr>
          <w:rFonts w:hint="eastAsia"/>
        </w:rPr>
        <w:t>（</w:t>
      </w:r>
      <w:bookmarkEnd w:id="2532"/>
      <w:r>
        <w:t>4</w:t>
      </w:r>
      <w:r>
        <w:rPr>
          <w:rFonts w:hint="eastAsia"/>
        </w:rPr>
        <w:t>）</w:t>
      </w:r>
      <w:r>
        <w:rPr>
          <w:rFonts w:cs="Times New Roman"/>
        </w:rPr>
        <w:tab/>
      </w:r>
      <w:r>
        <w:rPr>
          <w:rFonts w:hint="eastAsia"/>
        </w:rPr>
        <w:t>通用合同条款；</w:t>
      </w:r>
    </w:p>
    <w:p w14:paraId="0BC6FBAD">
      <w:pPr>
        <w:pStyle w:val="315"/>
        <w:tabs>
          <w:tab w:val="left" w:pos="903"/>
        </w:tabs>
        <w:spacing w:line="352" w:lineRule="exact"/>
        <w:ind w:firstLine="420"/>
        <w:rPr>
          <w:rFonts w:cs="Times New Roman"/>
        </w:rPr>
      </w:pPr>
      <w:bookmarkStart w:id="2533" w:name="bookmark1902"/>
      <w:r>
        <w:rPr>
          <w:rFonts w:hint="eastAsia"/>
        </w:rPr>
        <w:t>（</w:t>
      </w:r>
      <w:bookmarkEnd w:id="2533"/>
      <w:r>
        <w:t>5</w:t>
      </w:r>
      <w:r>
        <w:rPr>
          <w:rFonts w:hint="eastAsia"/>
        </w:rPr>
        <w:t>）</w:t>
      </w:r>
      <w:r>
        <w:rPr>
          <w:rFonts w:cs="Times New Roman"/>
        </w:rPr>
        <w:tab/>
      </w:r>
      <w:r>
        <w:rPr>
          <w:rFonts w:hint="eastAsia"/>
        </w:rPr>
        <w:t>技术标准和要求（合同技术条款）；</w:t>
      </w:r>
    </w:p>
    <w:p w14:paraId="0EE0FDD9">
      <w:pPr>
        <w:pStyle w:val="315"/>
        <w:tabs>
          <w:tab w:val="left" w:pos="903"/>
        </w:tabs>
        <w:spacing w:line="352" w:lineRule="exact"/>
        <w:ind w:firstLine="420"/>
        <w:rPr>
          <w:rFonts w:cs="Times New Roman"/>
        </w:rPr>
      </w:pPr>
      <w:bookmarkStart w:id="2534" w:name="bookmark1903"/>
      <w:r>
        <w:rPr>
          <w:rFonts w:hint="eastAsia"/>
        </w:rPr>
        <w:t>（</w:t>
      </w:r>
      <w:bookmarkEnd w:id="2534"/>
      <w:r>
        <w:t>6</w:t>
      </w:r>
      <w:r>
        <w:rPr>
          <w:rFonts w:hint="eastAsia"/>
        </w:rPr>
        <w:t>）</w:t>
      </w:r>
      <w:r>
        <w:rPr>
          <w:rFonts w:cs="Times New Roman"/>
        </w:rPr>
        <w:tab/>
      </w:r>
      <w:r>
        <w:rPr>
          <w:rFonts w:hint="eastAsia"/>
        </w:rPr>
        <w:t>图纸；</w:t>
      </w:r>
    </w:p>
    <w:p w14:paraId="0B780FDE">
      <w:pPr>
        <w:pStyle w:val="315"/>
        <w:tabs>
          <w:tab w:val="left" w:pos="903"/>
        </w:tabs>
        <w:spacing w:line="352" w:lineRule="exact"/>
        <w:ind w:firstLine="420"/>
        <w:rPr>
          <w:rFonts w:cs="Times New Roman"/>
        </w:rPr>
      </w:pPr>
      <w:bookmarkStart w:id="2535" w:name="bookmark1904"/>
      <w:r>
        <w:rPr>
          <w:rFonts w:hint="eastAsia"/>
        </w:rPr>
        <w:t>（</w:t>
      </w:r>
      <w:bookmarkEnd w:id="2535"/>
      <w:r>
        <w:t>7</w:t>
      </w:r>
      <w:r>
        <w:rPr>
          <w:rFonts w:hint="eastAsia"/>
        </w:rPr>
        <w:t>）</w:t>
      </w:r>
      <w:r>
        <w:rPr>
          <w:rFonts w:cs="Times New Roman"/>
        </w:rPr>
        <w:tab/>
      </w:r>
      <w:r>
        <w:rPr>
          <w:rFonts w:hint="eastAsia"/>
        </w:rPr>
        <w:t>已标价工程量清单；</w:t>
      </w:r>
    </w:p>
    <w:p w14:paraId="067E7F5B">
      <w:pPr>
        <w:pStyle w:val="315"/>
        <w:tabs>
          <w:tab w:val="left" w:pos="903"/>
        </w:tabs>
        <w:spacing w:line="352" w:lineRule="exact"/>
        <w:ind w:firstLine="420"/>
        <w:rPr>
          <w:rFonts w:cs="Times New Roman"/>
        </w:rPr>
      </w:pPr>
      <w:bookmarkStart w:id="2536" w:name="bookmark1905"/>
      <w:r>
        <w:rPr>
          <w:rFonts w:hint="eastAsia"/>
        </w:rPr>
        <w:t>（</w:t>
      </w:r>
      <w:bookmarkEnd w:id="2536"/>
      <w:r>
        <w:t>8</w:t>
      </w:r>
      <w:r>
        <w:rPr>
          <w:rFonts w:hint="eastAsia"/>
        </w:rPr>
        <w:t>）</w:t>
      </w:r>
      <w:r>
        <w:rPr>
          <w:rFonts w:cs="Times New Roman"/>
        </w:rPr>
        <w:tab/>
      </w:r>
      <w:r>
        <w:rPr>
          <w:rFonts w:hint="eastAsia"/>
        </w:rPr>
        <w:t>其他合同文件。</w:t>
      </w:r>
    </w:p>
    <w:p w14:paraId="5CC76049">
      <w:pPr>
        <w:pStyle w:val="315"/>
        <w:numPr>
          <w:ilvl w:val="0"/>
          <w:numId w:val="43"/>
        </w:numPr>
        <w:tabs>
          <w:tab w:val="left" w:pos="764"/>
        </w:tabs>
        <w:spacing w:line="352" w:lineRule="exact"/>
        <w:ind w:firstLine="420"/>
        <w:rPr>
          <w:rFonts w:cs="Times New Roman"/>
        </w:rPr>
      </w:pPr>
      <w:bookmarkStart w:id="2537" w:name="bookmark1906"/>
      <w:bookmarkEnd w:id="2537"/>
      <w:r>
        <w:rPr>
          <w:rFonts w:hint="eastAsia"/>
        </w:rPr>
        <w:t>上述文件互相补充和解释，如有不明确或不一致之处，以合同约定次序在先者为准。</w:t>
      </w:r>
    </w:p>
    <w:p w14:paraId="6D6FBA99">
      <w:pPr>
        <w:pStyle w:val="315"/>
        <w:numPr>
          <w:ilvl w:val="0"/>
          <w:numId w:val="43"/>
        </w:numPr>
        <w:tabs>
          <w:tab w:val="left" w:pos="764"/>
          <w:tab w:val="left" w:pos="4291"/>
          <w:tab w:val="left" w:pos="5794"/>
        </w:tabs>
        <w:spacing w:line="352" w:lineRule="exact"/>
        <w:ind w:firstLine="420"/>
        <w:rPr>
          <w:rFonts w:cs="Times New Roman"/>
        </w:rPr>
      </w:pPr>
      <w:bookmarkStart w:id="2538" w:name="bookmark1907"/>
      <w:bookmarkEnd w:id="2538"/>
      <w:r>
        <w:rPr>
          <w:rFonts w:hint="eastAsia"/>
        </w:rPr>
        <w:t>签约合同价：人民币（大写）</w:t>
      </w:r>
      <w:r>
        <w:rPr>
          <w:rFonts w:cs="Times New Roman"/>
          <w:u w:val="single"/>
        </w:rPr>
        <w:tab/>
      </w:r>
      <w:r>
        <w:rPr>
          <w:rFonts w:hint="eastAsia"/>
        </w:rPr>
        <w:t>元（</w:t>
      </w:r>
      <w:r>
        <w:rPr>
          <w:rFonts w:cs="Times New Roman"/>
        </w:rPr>
        <w:t>¥</w:t>
      </w:r>
      <w:r>
        <w:rPr>
          <w:rFonts w:cs="Times New Roman"/>
          <w:u w:val="single"/>
        </w:rPr>
        <w:tab/>
      </w:r>
      <w:r>
        <w:rPr>
          <w:rFonts w:hint="eastAsia"/>
          <w:lang w:val="en-US"/>
        </w:rPr>
        <w:t>）</w:t>
      </w:r>
      <w:r>
        <w:rPr>
          <w:vertAlign w:val="subscript"/>
          <w:lang w:val="en-US"/>
        </w:rPr>
        <w:t>o</w:t>
      </w:r>
    </w:p>
    <w:p w14:paraId="4E2D4390">
      <w:pPr>
        <w:pStyle w:val="315"/>
        <w:numPr>
          <w:ilvl w:val="0"/>
          <w:numId w:val="43"/>
        </w:numPr>
        <w:tabs>
          <w:tab w:val="left" w:pos="764"/>
          <w:tab w:val="left" w:pos="4234"/>
        </w:tabs>
        <w:spacing w:line="352" w:lineRule="exact"/>
        <w:ind w:firstLine="420"/>
        <w:rPr>
          <w:rFonts w:cs="Times New Roman"/>
        </w:rPr>
      </w:pPr>
      <w:bookmarkStart w:id="2539" w:name="bookmark1908"/>
      <w:bookmarkEnd w:id="2539"/>
      <w:r>
        <w:rPr>
          <w:rFonts w:hint="eastAsia"/>
        </w:rPr>
        <w:t>承包人项目经理：</w:t>
      </w:r>
      <w:r>
        <w:rPr>
          <w:rFonts w:cs="Times New Roman"/>
          <w:u w:val="single"/>
        </w:rPr>
        <w:tab/>
      </w:r>
      <w:r>
        <w:rPr>
          <w:rFonts w:hint="eastAsia"/>
          <w:lang w:val="en-US"/>
        </w:rPr>
        <w:t>。</w:t>
      </w:r>
    </w:p>
    <w:p w14:paraId="37787AB8">
      <w:pPr>
        <w:pStyle w:val="315"/>
        <w:numPr>
          <w:ilvl w:val="0"/>
          <w:numId w:val="43"/>
        </w:numPr>
        <w:tabs>
          <w:tab w:val="left" w:pos="764"/>
          <w:tab w:val="left" w:pos="3809"/>
        </w:tabs>
        <w:spacing w:line="352" w:lineRule="exact"/>
        <w:ind w:firstLine="420"/>
        <w:rPr>
          <w:rFonts w:cs="Times New Roman"/>
        </w:rPr>
      </w:pPr>
      <w:bookmarkStart w:id="2540" w:name="bookmark1909"/>
      <w:bookmarkEnd w:id="2540"/>
      <w:r>
        <w:rPr>
          <w:rFonts w:hint="eastAsia"/>
        </w:rPr>
        <w:t>工程质量符合</w:t>
      </w:r>
      <w:r>
        <w:rPr>
          <w:rFonts w:cs="Times New Roman"/>
          <w:u w:val="single"/>
        </w:rPr>
        <w:tab/>
      </w:r>
      <w:r>
        <w:rPr>
          <w:rFonts w:hint="eastAsia"/>
        </w:rPr>
        <w:t>标准。</w:t>
      </w:r>
    </w:p>
    <w:p w14:paraId="5649228E">
      <w:pPr>
        <w:pStyle w:val="315"/>
        <w:numPr>
          <w:ilvl w:val="0"/>
          <w:numId w:val="43"/>
        </w:numPr>
        <w:tabs>
          <w:tab w:val="left" w:pos="764"/>
        </w:tabs>
        <w:spacing w:line="352" w:lineRule="exact"/>
        <w:ind w:firstLine="420"/>
        <w:rPr>
          <w:rFonts w:cs="Times New Roman"/>
        </w:rPr>
      </w:pPr>
      <w:bookmarkStart w:id="2541" w:name="bookmark1910"/>
      <w:bookmarkEnd w:id="2541"/>
      <w:r>
        <w:rPr>
          <w:rFonts w:hint="eastAsia"/>
        </w:rPr>
        <w:t>承包人承诺按合同约定承担工程的实施、完成及缺陷修复。</w:t>
      </w:r>
    </w:p>
    <w:p w14:paraId="0CEB6912">
      <w:pPr>
        <w:pStyle w:val="315"/>
        <w:numPr>
          <w:ilvl w:val="0"/>
          <w:numId w:val="43"/>
        </w:numPr>
        <w:tabs>
          <w:tab w:val="left" w:pos="764"/>
        </w:tabs>
        <w:spacing w:line="352" w:lineRule="exact"/>
        <w:ind w:firstLine="420"/>
        <w:rPr>
          <w:rFonts w:cs="Times New Roman"/>
        </w:rPr>
      </w:pPr>
      <w:bookmarkStart w:id="2542" w:name="bookmark1911"/>
      <w:bookmarkEnd w:id="2542"/>
      <w:r>
        <w:rPr>
          <w:rFonts w:hint="eastAsia"/>
        </w:rPr>
        <w:t>发包人承诺按合同约定的条件、时间和方式向承包人支付合同价款。</w:t>
      </w:r>
    </w:p>
    <w:p w14:paraId="636EC7CC">
      <w:pPr>
        <w:pStyle w:val="315"/>
        <w:numPr>
          <w:ilvl w:val="0"/>
          <w:numId w:val="43"/>
        </w:numPr>
        <w:tabs>
          <w:tab w:val="left" w:pos="764"/>
          <w:tab w:val="left" w:pos="5717"/>
        </w:tabs>
        <w:spacing w:line="352" w:lineRule="exact"/>
        <w:ind w:firstLine="420"/>
        <w:rPr>
          <w:rFonts w:cs="Times New Roman"/>
        </w:rPr>
      </w:pPr>
      <w:bookmarkStart w:id="2543" w:name="bookmark1912"/>
      <w:bookmarkEnd w:id="2543"/>
      <w:r>
        <w:rPr>
          <w:rFonts w:hint="eastAsia"/>
        </w:rPr>
        <w:t>承包人承诺执行监理人开工通知，计划工期为</w:t>
      </w:r>
      <w:r>
        <w:rPr>
          <w:rFonts w:cs="Times New Roman"/>
          <w:u w:val="single"/>
        </w:rPr>
        <w:tab/>
      </w:r>
      <w:r>
        <w:rPr>
          <w:rFonts w:hint="eastAsia"/>
        </w:rPr>
        <w:t>天。</w:t>
      </w:r>
    </w:p>
    <w:p w14:paraId="2464EB3E">
      <w:pPr>
        <w:pStyle w:val="315"/>
        <w:numPr>
          <w:ilvl w:val="0"/>
          <w:numId w:val="43"/>
        </w:numPr>
        <w:tabs>
          <w:tab w:val="left" w:pos="764"/>
          <w:tab w:val="left" w:pos="2789"/>
        </w:tabs>
        <w:spacing w:line="352" w:lineRule="exact"/>
        <w:ind w:firstLine="420"/>
        <w:rPr>
          <w:rFonts w:cs="Times New Roman"/>
        </w:rPr>
      </w:pPr>
      <w:bookmarkStart w:id="2544" w:name="bookmark1913"/>
      <w:bookmarkEnd w:id="2544"/>
      <w:r>
        <w:rPr>
          <w:rFonts w:hint="eastAsia"/>
        </w:rPr>
        <w:t>本协议书一式</w:t>
      </w:r>
      <w:r>
        <w:rPr>
          <w:rFonts w:cs="Times New Roman"/>
          <w:u w:val="single"/>
        </w:rPr>
        <w:tab/>
      </w:r>
      <w:r>
        <w:rPr>
          <w:rFonts w:hint="eastAsia"/>
        </w:rPr>
        <w:t>份，合同双方各执一份。</w:t>
      </w:r>
    </w:p>
    <w:p w14:paraId="5E2DF12C">
      <w:pPr>
        <w:pStyle w:val="315"/>
        <w:numPr>
          <w:ilvl w:val="0"/>
          <w:numId w:val="43"/>
        </w:numPr>
        <w:tabs>
          <w:tab w:val="left" w:pos="841"/>
        </w:tabs>
        <w:spacing w:after="320" w:line="352" w:lineRule="exact"/>
        <w:ind w:firstLine="420"/>
        <w:rPr>
          <w:rFonts w:cs="Times New Roman"/>
        </w:rPr>
      </w:pPr>
      <w:bookmarkStart w:id="2545" w:name="bookmark1914"/>
      <w:bookmarkEnd w:id="2545"/>
      <w:r>
        <w:rPr>
          <w:rFonts w:hint="eastAsia"/>
        </w:rPr>
        <w:t>合同未尽事宜，双方另行签订补充协议。补充协议是合同的组成部分。</w:t>
      </w:r>
    </w:p>
    <w:p w14:paraId="5B85F34F">
      <w:pPr>
        <w:pStyle w:val="315"/>
        <w:tabs>
          <w:tab w:val="left" w:pos="841"/>
        </w:tabs>
        <w:spacing w:after="320" w:line="352" w:lineRule="exact"/>
        <w:ind w:left="420" w:firstLine="0"/>
        <w:rPr>
          <w:rFonts w:cs="Times New Roman"/>
        </w:rPr>
      </w:pPr>
    </w:p>
    <w:p w14:paraId="67E05E41">
      <w:pPr>
        <w:pStyle w:val="315"/>
        <w:tabs>
          <w:tab w:val="left" w:pos="2532"/>
          <w:tab w:val="left" w:pos="3132"/>
          <w:tab w:val="left" w:pos="6926"/>
        </w:tabs>
        <w:spacing w:line="355" w:lineRule="exact"/>
        <w:ind w:firstLine="0"/>
        <w:rPr>
          <w:rFonts w:cs="Times New Roman"/>
        </w:rPr>
      </w:pPr>
      <w:r>
        <w:rPr>
          <w:rFonts w:hint="eastAsia"/>
        </w:rPr>
        <w:t>发包人：</w:t>
      </w:r>
      <w:r>
        <w:rPr>
          <w:rFonts w:cs="Times New Roman"/>
          <w:u w:val="single"/>
        </w:rPr>
        <w:tab/>
      </w:r>
      <w:r>
        <w:t xml:space="preserve"> </w:t>
      </w:r>
      <w:r>
        <w:rPr>
          <w:rFonts w:hint="eastAsia"/>
        </w:rPr>
        <w:t>（盖单位公章）</w:t>
      </w:r>
      <w:r>
        <w:t xml:space="preserve">   </w:t>
      </w:r>
      <w:r>
        <w:rPr>
          <w:rFonts w:hint="eastAsia"/>
        </w:rPr>
        <w:t>承包人：</w:t>
      </w:r>
      <w:r>
        <w:t xml:space="preserve"> </w:t>
      </w:r>
      <w:r>
        <w:rPr>
          <w:rFonts w:cs="Times New Roman"/>
          <w:u w:val="single"/>
        </w:rPr>
        <w:tab/>
      </w:r>
      <w:r>
        <w:t xml:space="preserve"> </w:t>
      </w:r>
      <w:r>
        <w:rPr>
          <w:rFonts w:hint="eastAsia"/>
        </w:rPr>
        <w:t>（盖单位公章）</w:t>
      </w:r>
      <w:r>
        <w:t xml:space="preserve"> </w:t>
      </w:r>
      <w:r>
        <w:rPr>
          <w:rFonts w:hint="eastAsia"/>
        </w:rPr>
        <w:t>法定代表人</w:t>
      </w:r>
      <w:r>
        <w:t>(</w:t>
      </w:r>
      <w:r>
        <w:rPr>
          <w:rFonts w:hint="eastAsia"/>
        </w:rPr>
        <w:t>或项目负责人</w:t>
      </w:r>
      <w:r>
        <w:t>)</w:t>
      </w:r>
      <w:r>
        <w:rPr>
          <w:rFonts w:hint="eastAsia"/>
        </w:rPr>
        <w:t>：</w:t>
      </w:r>
      <w:r>
        <w:rPr>
          <w:rFonts w:cs="Times New Roman"/>
          <w:u w:val="single"/>
        </w:rPr>
        <w:tab/>
      </w:r>
      <w:r>
        <w:rPr>
          <w:u w:val="single"/>
        </w:rPr>
        <w:t xml:space="preserve">  </w:t>
      </w:r>
      <w:r>
        <w:t xml:space="preserve"> </w:t>
      </w:r>
      <w:r>
        <w:rPr>
          <w:rFonts w:hint="eastAsia"/>
        </w:rPr>
        <w:t>（签字）</w:t>
      </w:r>
      <w:r>
        <w:t xml:space="preserve"> </w:t>
      </w:r>
      <w:r>
        <w:rPr>
          <w:rFonts w:hint="eastAsia"/>
        </w:rPr>
        <w:t>法定代表人</w:t>
      </w:r>
      <w:r>
        <w:t>(</w:t>
      </w:r>
      <w:r>
        <w:rPr>
          <w:rFonts w:hint="eastAsia"/>
        </w:rPr>
        <w:t>或其委托代理人</w:t>
      </w:r>
      <w:r>
        <w:t>)</w:t>
      </w:r>
      <w:r>
        <w:rPr>
          <w:rFonts w:hint="eastAsia"/>
        </w:rPr>
        <w:t>：</w:t>
      </w:r>
      <w:r>
        <w:rPr>
          <w:rFonts w:cs="Times New Roman"/>
          <w:u w:val="single"/>
        </w:rPr>
        <w:tab/>
      </w:r>
      <w:r>
        <w:rPr>
          <w:u w:val="single"/>
        </w:rPr>
        <w:t xml:space="preserve">     </w:t>
      </w:r>
      <w:r>
        <w:rPr>
          <w:rFonts w:hint="eastAsia"/>
        </w:rPr>
        <w:t>（签字）</w:t>
      </w:r>
    </w:p>
    <w:p w14:paraId="4D655F0C">
      <w:pPr>
        <w:pStyle w:val="315"/>
        <w:tabs>
          <w:tab w:val="left" w:pos="1590"/>
          <w:tab w:val="left" w:pos="2648"/>
          <w:tab w:val="left" w:pos="3704"/>
          <w:tab w:val="left" w:pos="5089"/>
          <w:tab w:val="left" w:pos="6018"/>
          <w:tab w:val="left" w:pos="7074"/>
          <w:tab w:val="left" w:pos="8132"/>
        </w:tabs>
        <w:spacing w:line="355" w:lineRule="exact"/>
        <w:rPr>
          <w:rFonts w:cs="Times New Roman"/>
          <w:lang w:val="en-US"/>
        </w:rPr>
        <w:sectPr>
          <w:footerReference r:id="rId6" w:type="default"/>
          <w:pgSz w:w="11900" w:h="16832"/>
          <w:pgMar w:top="1440" w:right="1803" w:bottom="1440" w:left="1803" w:header="850" w:footer="850" w:gutter="0"/>
          <w:cols w:space="0" w:num="1"/>
          <w:docGrid w:linePitch="360" w:charSpace="0"/>
        </w:sectPr>
      </w:pPr>
      <w:r>
        <w:rPr>
          <w:rFonts w:cs="Times New Roman"/>
          <w:u w:val="single"/>
        </w:rPr>
        <w:tab/>
      </w:r>
      <w:r>
        <w:rPr>
          <w:rFonts w:hint="eastAsia"/>
        </w:rPr>
        <w:t>年</w:t>
      </w:r>
      <w:r>
        <w:rPr>
          <w:rFonts w:cs="Times New Roman"/>
          <w:u w:val="single"/>
        </w:rPr>
        <w:tab/>
      </w:r>
      <w:r>
        <w:rPr>
          <w:rFonts w:hint="eastAsia"/>
        </w:rPr>
        <w:t>月</w:t>
      </w:r>
      <w:r>
        <w:rPr>
          <w:rFonts w:cs="Times New Roman"/>
          <w:u w:val="single"/>
        </w:rPr>
        <w:tab/>
      </w:r>
      <w:r>
        <w:rPr>
          <w:rFonts w:hint="eastAsia"/>
        </w:rPr>
        <w:t>日</w:t>
      </w:r>
      <w:r>
        <w:rPr>
          <w:rFonts w:cs="Times New Roman"/>
        </w:rPr>
        <w:tab/>
      </w:r>
      <w:r>
        <w:rPr>
          <w:rFonts w:cs="Times New Roman"/>
          <w:u w:val="single"/>
        </w:rPr>
        <w:tab/>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p>
    <w:p w14:paraId="281ACDC4">
      <w:pPr>
        <w:pStyle w:val="3"/>
        <w:rPr>
          <w:rFonts w:cs="Times New Roman"/>
        </w:rPr>
      </w:pPr>
      <w:bookmarkStart w:id="2546" w:name="bookmark1915"/>
      <w:bookmarkStart w:id="2547" w:name="_Toc21416"/>
      <w:bookmarkStart w:id="2548" w:name="_Toc7161"/>
      <w:bookmarkStart w:id="2549" w:name="bookmark1916"/>
      <w:bookmarkStart w:id="2550" w:name="_Toc14710462"/>
      <w:bookmarkStart w:id="2551" w:name="bookmark1917"/>
      <w:bookmarkStart w:id="2552" w:name="_Toc11031"/>
      <w:r>
        <w:rPr>
          <w:rFonts w:hint="eastAsia" w:cs="宋体"/>
        </w:rPr>
        <w:t>附件二：履约保函</w:t>
      </w:r>
      <w:bookmarkEnd w:id="2546"/>
      <w:bookmarkEnd w:id="2547"/>
      <w:bookmarkEnd w:id="2548"/>
      <w:bookmarkEnd w:id="2549"/>
      <w:bookmarkEnd w:id="2550"/>
      <w:bookmarkEnd w:id="2551"/>
      <w:bookmarkEnd w:id="2552"/>
    </w:p>
    <w:p w14:paraId="5BB76532">
      <w:pPr>
        <w:jc w:val="center"/>
        <w:rPr>
          <w:rFonts w:ascii="宋体" w:hAnsi="宋体" w:eastAsia="宋体" w:cs="Times New Roman"/>
          <w:b/>
          <w:bCs/>
        </w:rPr>
      </w:pPr>
      <w:bookmarkStart w:id="2553" w:name="bookmark1918"/>
      <w:bookmarkStart w:id="2554" w:name="bookmark1919"/>
      <w:bookmarkStart w:id="2555" w:name="bookmark1920"/>
      <w:r>
        <w:rPr>
          <w:rFonts w:hint="eastAsia" w:ascii="宋体" w:hAnsi="宋体" w:eastAsia="宋体" w:cs="宋体"/>
          <w:b/>
          <w:bCs/>
        </w:rPr>
        <w:t>履约保函</w:t>
      </w:r>
      <w:bookmarkEnd w:id="2553"/>
      <w:bookmarkEnd w:id="2554"/>
      <w:bookmarkEnd w:id="2555"/>
    </w:p>
    <w:p w14:paraId="52879109">
      <w:pPr>
        <w:jc w:val="center"/>
        <w:rPr>
          <w:rFonts w:ascii="宋体" w:hAnsi="宋体" w:eastAsia="宋体" w:cs="Times New Roman"/>
          <w:b/>
          <w:bCs/>
        </w:rPr>
      </w:pPr>
    </w:p>
    <w:p w14:paraId="0DF74FD6">
      <w:pPr>
        <w:jc w:val="center"/>
        <w:rPr>
          <w:rFonts w:ascii="宋体" w:hAnsi="宋体" w:eastAsia="宋体" w:cs="Times New Roman"/>
          <w:b/>
          <w:bCs/>
        </w:rPr>
      </w:pPr>
    </w:p>
    <w:p w14:paraId="2FD86274">
      <w:pPr>
        <w:pStyle w:val="315"/>
        <w:tabs>
          <w:tab w:val="left" w:pos="1870"/>
        </w:tabs>
        <w:spacing w:after="340" w:line="354" w:lineRule="exact"/>
        <w:ind w:firstLine="0"/>
        <w:rPr>
          <w:rFonts w:cs="Times New Roman"/>
        </w:rPr>
      </w:pPr>
      <w:r>
        <w:rPr>
          <w:rFonts w:cs="Times New Roman"/>
          <w:u w:val="single"/>
        </w:rPr>
        <w:tab/>
      </w:r>
      <w:r>
        <w:rPr>
          <w:rFonts w:hint="eastAsia"/>
        </w:rPr>
        <w:t>（发包人名称）：</w:t>
      </w:r>
    </w:p>
    <w:p w14:paraId="6A42FB0C">
      <w:pPr>
        <w:pStyle w:val="315"/>
        <w:tabs>
          <w:tab w:val="left" w:pos="847"/>
          <w:tab w:val="left" w:pos="1870"/>
          <w:tab w:val="left" w:pos="3485"/>
          <w:tab w:val="left" w:pos="3554"/>
          <w:tab w:val="left" w:pos="6878"/>
          <w:tab w:val="left" w:pos="8059"/>
        </w:tabs>
        <w:spacing w:line="354" w:lineRule="exact"/>
        <w:ind w:firstLine="420"/>
        <w:rPr>
          <w:rFonts w:cs="Times New Roman"/>
        </w:rPr>
      </w:pPr>
      <w:r>
        <w:rPr>
          <w:rFonts w:hint="eastAsia"/>
        </w:rPr>
        <w:t>鉴于</w:t>
      </w:r>
      <w:r>
        <w:rPr>
          <w:rFonts w:cs="Times New Roman"/>
          <w:u w:val="single"/>
        </w:rPr>
        <w:tab/>
      </w:r>
      <w:r>
        <w:rPr>
          <w:rFonts w:hint="eastAsia"/>
        </w:rPr>
        <w:t>（发包人名称，以下简称“发包人”）接受</w:t>
      </w:r>
      <w:r>
        <w:t xml:space="preserve"> </w:t>
      </w:r>
      <w:r>
        <w:rPr>
          <w:rFonts w:cs="Times New Roman"/>
          <w:u w:val="single"/>
        </w:rPr>
        <w:tab/>
      </w:r>
      <w:r>
        <w:rPr>
          <w:rFonts w:hint="eastAsia"/>
        </w:rPr>
        <w:t>（承包人名称，以下称“承包人”）于</w:t>
      </w:r>
      <w:r>
        <w:rPr>
          <w:u w:val="single"/>
        </w:rPr>
        <w:t xml:space="preserve">          </w:t>
      </w:r>
      <w:r>
        <w:rPr>
          <w:rFonts w:hint="eastAsia"/>
        </w:rPr>
        <w:t>年</w:t>
      </w:r>
      <w:r>
        <w:rPr>
          <w:u w:val="single"/>
        </w:rPr>
        <w:t xml:space="preserve">       </w:t>
      </w:r>
      <w:r>
        <w:rPr>
          <w:rFonts w:hint="eastAsia"/>
        </w:rPr>
        <w:t>月</w:t>
      </w:r>
      <w:r>
        <w:t xml:space="preserve"> </w:t>
      </w:r>
      <w:r>
        <w:rPr>
          <w:rFonts w:cs="Times New Roman"/>
          <w:u w:val="single"/>
        </w:rPr>
        <w:tab/>
      </w:r>
      <w:r>
        <w:rPr>
          <w:rFonts w:hint="eastAsia"/>
        </w:rPr>
        <w:t>日递交的（项目名称）</w:t>
      </w:r>
      <w:r>
        <w:rPr>
          <w:u w:val="single"/>
        </w:rPr>
        <w:t xml:space="preserve">             </w:t>
      </w:r>
      <w:r>
        <w:rPr>
          <w:rFonts w:hint="eastAsia"/>
        </w:rPr>
        <w:t>（标段名称）的</w:t>
      </w:r>
      <w:r>
        <w:rPr>
          <w:rFonts w:hint="eastAsia"/>
          <w:lang w:val="en-US"/>
        </w:rPr>
        <w:t>响应</w:t>
      </w:r>
      <w:r>
        <w:rPr>
          <w:rFonts w:hint="eastAsia"/>
        </w:rPr>
        <w:t>文件。我方愿意无条件地、不可撤销地就承包人履行与你方订立的合同，向你方提供担保。</w:t>
      </w:r>
    </w:p>
    <w:p w14:paraId="48D0A25B">
      <w:pPr>
        <w:pStyle w:val="315"/>
        <w:numPr>
          <w:ilvl w:val="0"/>
          <w:numId w:val="44"/>
        </w:numPr>
        <w:tabs>
          <w:tab w:val="left" w:pos="733"/>
          <w:tab w:val="left" w:pos="4879"/>
          <w:tab w:val="left" w:pos="7402"/>
        </w:tabs>
        <w:spacing w:line="354" w:lineRule="exact"/>
        <w:ind w:firstLine="420"/>
        <w:rPr>
          <w:rFonts w:cs="Times New Roman"/>
        </w:rPr>
      </w:pPr>
      <w:bookmarkStart w:id="2556" w:name="bookmark1921"/>
      <w:bookmarkEnd w:id="2556"/>
      <w:r>
        <w:rPr>
          <w:rFonts w:hint="eastAsia"/>
        </w:rPr>
        <w:t>担保金额人民币（大写）</w:t>
      </w:r>
      <w:r>
        <w:rPr>
          <w:rFonts w:cs="Times New Roman"/>
          <w:u w:val="single"/>
        </w:rPr>
        <w:tab/>
      </w:r>
      <w:r>
        <w:rPr>
          <w:rFonts w:hint="eastAsia"/>
        </w:rPr>
        <w:t>元（</w:t>
      </w:r>
      <w:r>
        <w:rPr>
          <w:rFonts w:cs="Times New Roman"/>
        </w:rPr>
        <w:t>¥</w:t>
      </w:r>
      <w:r>
        <w:rPr>
          <w:rFonts w:cs="Times New Roman"/>
          <w:u w:val="single"/>
        </w:rPr>
        <w:tab/>
      </w:r>
      <w:r>
        <w:rPr>
          <w:rFonts w:hint="eastAsia"/>
          <w:lang w:val="en-US"/>
        </w:rPr>
        <w:t>元）</w:t>
      </w:r>
      <w:r>
        <w:rPr>
          <w:vertAlign w:val="subscript"/>
          <w:lang w:val="en-US"/>
        </w:rPr>
        <w:t>o</w:t>
      </w:r>
    </w:p>
    <w:p w14:paraId="2A7A1BCE">
      <w:pPr>
        <w:pStyle w:val="315"/>
        <w:numPr>
          <w:ilvl w:val="0"/>
          <w:numId w:val="44"/>
        </w:numPr>
        <w:tabs>
          <w:tab w:val="left" w:pos="697"/>
        </w:tabs>
        <w:spacing w:line="354" w:lineRule="exact"/>
        <w:ind w:firstLine="420"/>
        <w:rPr>
          <w:rFonts w:cs="Times New Roman"/>
        </w:rPr>
      </w:pPr>
      <w:bookmarkStart w:id="2557" w:name="bookmark1922"/>
      <w:bookmarkEnd w:id="2557"/>
      <w:r>
        <w:rPr>
          <w:rFonts w:hint="eastAsia"/>
        </w:rPr>
        <w:t>担保有效期自发包人与承包人签订的合同生效之日起至发包人签发工程完工证书之日止。</w:t>
      </w:r>
    </w:p>
    <w:p w14:paraId="434DD3ED">
      <w:pPr>
        <w:pStyle w:val="315"/>
        <w:numPr>
          <w:ilvl w:val="0"/>
          <w:numId w:val="44"/>
        </w:numPr>
        <w:tabs>
          <w:tab w:val="left" w:pos="736"/>
        </w:tabs>
        <w:spacing w:line="354" w:lineRule="exact"/>
        <w:ind w:firstLine="420"/>
        <w:rPr>
          <w:rFonts w:cs="Times New Roman"/>
        </w:rPr>
      </w:pPr>
      <w:bookmarkStart w:id="2558" w:name="bookmark1923"/>
      <w:bookmarkEnd w:id="2558"/>
      <w:r>
        <w:rPr>
          <w:rFonts w:hint="eastAsia"/>
        </w:rPr>
        <w:t>在本担保有效期内，因承包人违反合同约定的义务给你方造成经济损失时，我方在收到你方以书面形式提出的在担保金额内的赔偿要求后，无条件地在</w:t>
      </w:r>
      <w:r>
        <w:t>7</w:t>
      </w:r>
      <w:r>
        <w:rPr>
          <w:rFonts w:hint="eastAsia"/>
        </w:rPr>
        <w:t>天内予以支付。</w:t>
      </w:r>
    </w:p>
    <w:p w14:paraId="077D5728">
      <w:pPr>
        <w:pStyle w:val="315"/>
        <w:numPr>
          <w:ilvl w:val="0"/>
          <w:numId w:val="44"/>
        </w:numPr>
        <w:tabs>
          <w:tab w:val="left" w:pos="740"/>
        </w:tabs>
        <w:spacing w:after="340" w:line="354" w:lineRule="exact"/>
        <w:ind w:firstLine="420"/>
        <w:rPr>
          <w:rFonts w:cs="Times New Roman"/>
        </w:rPr>
      </w:pPr>
      <w:bookmarkStart w:id="2559" w:name="bookmark1924"/>
      <w:bookmarkEnd w:id="2559"/>
      <w:r>
        <w:rPr>
          <w:rFonts w:hint="eastAsia"/>
        </w:rPr>
        <w:t>发包人和承包人按《通用合同条款》第</w:t>
      </w:r>
      <w:r>
        <w:t>15</w:t>
      </w:r>
      <w:r>
        <w:rPr>
          <w:rFonts w:hint="eastAsia"/>
        </w:rPr>
        <w:t>条变更合同时，我方承担本担保规定的义务不变。</w:t>
      </w:r>
    </w:p>
    <w:p w14:paraId="6F75B337">
      <w:pPr>
        <w:jc w:val="left"/>
        <w:rPr>
          <w:rFonts w:ascii="宋体" w:hAnsi="宋体" w:eastAsia="宋体" w:cs="宋体"/>
        </w:rPr>
      </w:pPr>
      <w:r>
        <w:rPr>
          <w:rFonts w:ascii="宋体" w:hAnsi="宋体" w:eastAsia="宋体" w:cs="宋体"/>
        </w:rPr>
        <w:t xml:space="preserve">  </w:t>
      </w:r>
      <w:r>
        <w:rPr>
          <w:rFonts w:hint="eastAsia" w:ascii="宋体" w:hAnsi="宋体" w:eastAsia="宋体" w:cs="宋体"/>
        </w:rPr>
        <w:t>担</w:t>
      </w:r>
      <w:r>
        <w:rPr>
          <w:rFonts w:ascii="宋体" w:hAnsi="宋体" w:eastAsia="宋体" w:cs="宋体"/>
        </w:rPr>
        <w:t xml:space="preserve">  </w:t>
      </w:r>
      <w:r>
        <w:rPr>
          <w:rFonts w:hint="eastAsia" w:ascii="宋体" w:hAnsi="宋体" w:eastAsia="宋体" w:cs="宋体"/>
        </w:rPr>
        <w:t>保</w:t>
      </w:r>
      <w:r>
        <w:rPr>
          <w:rFonts w:ascii="宋体" w:hAnsi="宋体" w:eastAsia="宋体" w:cs="宋体"/>
        </w:rPr>
        <w:t xml:space="preserve"> </w:t>
      </w:r>
      <w:r>
        <w:rPr>
          <w:rFonts w:hint="eastAsia" w:ascii="宋体" w:hAnsi="宋体" w:eastAsia="宋体" w:cs="宋体"/>
        </w:rPr>
        <w:t>人：</w:t>
      </w:r>
      <w:r>
        <w:rPr>
          <w:rFonts w:ascii="宋体" w:hAnsi="宋体" w:eastAsia="宋体" w:cs="宋体"/>
          <w:u w:val="single"/>
        </w:rPr>
        <w:t xml:space="preserve">                                              </w:t>
      </w:r>
      <w:r>
        <w:rPr>
          <w:rFonts w:hint="eastAsia" w:ascii="宋体" w:hAnsi="宋体" w:eastAsia="宋体" w:cs="宋体"/>
        </w:rPr>
        <w:t>（盖单位公章）</w:t>
      </w:r>
      <w:r>
        <w:rPr>
          <w:rFonts w:ascii="宋体" w:hAnsi="宋体" w:eastAsia="宋体" w:cs="宋体"/>
        </w:rPr>
        <w:t xml:space="preserve"> </w:t>
      </w:r>
    </w:p>
    <w:p w14:paraId="08F113F1">
      <w:pPr>
        <w:jc w:val="left"/>
        <w:rPr>
          <w:rFonts w:ascii="宋体" w:hAnsi="宋体" w:eastAsia="宋体" w:cs="Times New Roman"/>
        </w:rPr>
      </w:pPr>
      <w:r>
        <w:rPr>
          <w:rFonts w:ascii="宋体" w:hAnsi="宋体" w:eastAsia="宋体" w:cs="宋体"/>
        </w:rPr>
        <w:t xml:space="preserve">           </w:t>
      </w:r>
      <w:r>
        <w:rPr>
          <w:rFonts w:hint="eastAsia" w:ascii="宋体" w:hAnsi="宋体" w:eastAsia="宋体" w:cs="宋体"/>
        </w:rPr>
        <w:t>定代表人</w:t>
      </w:r>
      <w:r>
        <w:rPr>
          <w:rFonts w:ascii="宋体" w:hAnsi="宋体" w:eastAsia="宋体" w:cs="宋体"/>
        </w:rPr>
        <w:t>(</w:t>
      </w:r>
      <w:r>
        <w:rPr>
          <w:rFonts w:hint="eastAsia" w:ascii="宋体" w:hAnsi="宋体" w:eastAsia="宋体" w:cs="宋体"/>
        </w:rPr>
        <w:t>或委托代理人</w:t>
      </w:r>
      <w:r>
        <w:rPr>
          <w:rFonts w:ascii="宋体" w:hAnsi="宋体" w:eastAsia="宋体" w:cs="宋体"/>
        </w:rPr>
        <w:t>)</w:t>
      </w:r>
      <w:r>
        <w:rPr>
          <w:rFonts w:hint="eastAsia" w:ascii="宋体" w:hAnsi="宋体" w:eastAsia="宋体" w:cs="宋体"/>
        </w:rPr>
        <w:t>：</w:t>
      </w:r>
      <w:r>
        <w:rPr>
          <w:rFonts w:ascii="宋体" w:hAnsi="宋体" w:eastAsia="宋体" w:cs="宋体"/>
          <w:u w:val="single"/>
        </w:rPr>
        <w:t xml:space="preserve">                              </w:t>
      </w:r>
      <w:r>
        <w:rPr>
          <w:rFonts w:hint="eastAsia" w:ascii="宋体" w:hAnsi="宋体" w:eastAsia="宋体" w:cs="宋体"/>
        </w:rPr>
        <w:t>（签字）</w:t>
      </w:r>
    </w:p>
    <w:p w14:paraId="423FE0C4">
      <w:pPr>
        <w:jc w:val="left"/>
        <w:rPr>
          <w:rFonts w:ascii="宋体" w:hAnsi="宋体" w:eastAsia="宋体" w:cs="宋体"/>
        </w:rPr>
      </w:pPr>
      <w:r>
        <w:rPr>
          <w:rFonts w:hint="eastAsia" w:ascii="宋体" w:hAnsi="宋体" w:eastAsia="宋体" w:cs="宋体"/>
        </w:rPr>
        <w:t>地</w:t>
      </w:r>
      <w:r>
        <w:rPr>
          <w:rFonts w:ascii="宋体" w:hAnsi="宋体" w:eastAsia="宋体" w:cs="宋体"/>
        </w:rPr>
        <w:t xml:space="preserve">       </w:t>
      </w:r>
      <w:r>
        <w:rPr>
          <w:rFonts w:hint="eastAsia" w:ascii="宋体" w:hAnsi="宋体" w:eastAsia="宋体" w:cs="宋体"/>
        </w:rPr>
        <w:t>址：</w:t>
      </w:r>
      <w:r>
        <w:rPr>
          <w:rFonts w:ascii="宋体" w:hAnsi="宋体" w:eastAsia="宋体" w:cs="宋体"/>
          <w:u w:val="single"/>
        </w:rPr>
        <w:t xml:space="preserve">                </w:t>
      </w:r>
      <w:r>
        <w:rPr>
          <w:rFonts w:ascii="宋体" w:hAnsi="宋体" w:eastAsia="宋体" w:cs="宋体"/>
          <w:u w:val="single"/>
        </w:rPr>
        <w:tab/>
      </w:r>
      <w:r>
        <w:rPr>
          <w:rFonts w:ascii="宋体" w:hAnsi="宋体" w:eastAsia="宋体" w:cs="宋体"/>
          <w:u w:val="single"/>
        </w:rPr>
        <w:tab/>
      </w:r>
      <w:r>
        <w:rPr>
          <w:rFonts w:ascii="宋体" w:hAnsi="宋体" w:eastAsia="宋体" w:cs="宋体"/>
          <w:u w:val="single"/>
        </w:rPr>
        <w:tab/>
      </w:r>
      <w:r>
        <w:rPr>
          <w:rFonts w:ascii="宋体" w:hAnsi="宋体" w:eastAsia="宋体" w:cs="宋体"/>
          <w:u w:val="single"/>
        </w:rPr>
        <w:tab/>
      </w:r>
      <w:r>
        <w:rPr>
          <w:rFonts w:ascii="宋体" w:hAnsi="宋体" w:eastAsia="宋体" w:cs="宋体"/>
          <w:u w:val="single"/>
        </w:rPr>
        <w:tab/>
      </w:r>
      <w:r>
        <w:rPr>
          <w:rFonts w:ascii="宋体" w:hAnsi="宋体" w:eastAsia="宋体" w:cs="宋体"/>
          <w:u w:val="single"/>
        </w:rPr>
        <w:tab/>
      </w:r>
      <w:r>
        <w:rPr>
          <w:rFonts w:ascii="宋体" w:hAnsi="宋体" w:eastAsia="宋体" w:cs="宋体"/>
          <w:u w:val="single"/>
        </w:rPr>
        <w:tab/>
      </w:r>
      <w:r>
        <w:rPr>
          <w:rFonts w:ascii="宋体" w:hAnsi="宋体" w:eastAsia="宋体" w:cs="宋体"/>
          <w:u w:val="single"/>
        </w:rPr>
        <w:t xml:space="preserve">   </w:t>
      </w:r>
      <w:r>
        <w:rPr>
          <w:rFonts w:ascii="宋体" w:hAnsi="宋体" w:eastAsia="宋体" w:cs="宋体"/>
        </w:rPr>
        <w:t xml:space="preserve"> </w:t>
      </w:r>
    </w:p>
    <w:p w14:paraId="3D61E528">
      <w:pPr>
        <w:jc w:val="left"/>
        <w:rPr>
          <w:rFonts w:ascii="宋体" w:hAnsi="宋体" w:eastAsia="宋体" w:cs="宋体"/>
        </w:rPr>
      </w:pPr>
      <w:r>
        <w:rPr>
          <w:rFonts w:ascii="宋体" w:hAnsi="宋体" w:eastAsia="宋体" w:cs="宋体"/>
        </w:rPr>
        <w:t xml:space="preserve">        </w:t>
      </w:r>
      <w:r>
        <w:rPr>
          <w:rFonts w:hint="eastAsia" w:ascii="宋体" w:hAnsi="宋体" w:eastAsia="宋体" w:cs="宋体"/>
        </w:rPr>
        <w:t>邮政编码：</w:t>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宋体"/>
          <w:u w:val="single"/>
        </w:rPr>
        <w:t xml:space="preserve"> </w:t>
      </w:r>
      <w:r>
        <w:rPr>
          <w:rFonts w:ascii="宋体" w:hAnsi="宋体" w:eastAsia="宋体" w:cs="宋体"/>
        </w:rPr>
        <w:t xml:space="preserve"> </w:t>
      </w:r>
    </w:p>
    <w:p w14:paraId="0F59D562">
      <w:pPr>
        <w:jc w:val="left"/>
        <w:rPr>
          <w:rFonts w:ascii="宋体" w:hAnsi="宋体" w:eastAsia="宋体" w:cs="Times New Roman"/>
          <w:u w:val="single"/>
        </w:rPr>
      </w:pPr>
      <w:r>
        <w:rPr>
          <w:rFonts w:ascii="宋体" w:hAnsi="宋体" w:eastAsia="宋体" w:cs="宋体"/>
        </w:rPr>
        <w:t xml:space="preserve">        </w:t>
      </w:r>
      <w:r>
        <w:rPr>
          <w:rFonts w:hint="eastAsia" w:ascii="宋体" w:hAnsi="宋体" w:eastAsia="宋体" w:cs="宋体"/>
        </w:rPr>
        <w:t>电</w:t>
      </w:r>
      <w:r>
        <w:rPr>
          <w:rFonts w:ascii="宋体" w:hAnsi="宋体" w:eastAsia="宋体" w:cs="宋体"/>
        </w:rPr>
        <w:t xml:space="preserve">        </w:t>
      </w:r>
      <w:r>
        <w:rPr>
          <w:rFonts w:hint="eastAsia" w:ascii="宋体" w:hAnsi="宋体" w:eastAsia="宋体" w:cs="宋体"/>
        </w:rPr>
        <w:t>话：</w:t>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p>
    <w:p w14:paraId="59A52A64">
      <w:pPr>
        <w:jc w:val="left"/>
        <w:rPr>
          <w:rFonts w:ascii="宋体" w:hAnsi="宋体" w:eastAsia="宋体" w:cs="Times New Roman"/>
        </w:rPr>
      </w:pPr>
      <w:r>
        <w:rPr>
          <w:rFonts w:ascii="宋体" w:hAnsi="宋体" w:eastAsia="宋体" w:cs="宋体"/>
        </w:rPr>
        <w:t xml:space="preserve">        </w:t>
      </w:r>
      <w:r>
        <w:rPr>
          <w:rFonts w:hint="eastAsia" w:ascii="宋体" w:hAnsi="宋体" w:eastAsia="宋体" w:cs="宋体"/>
        </w:rPr>
        <w:t>传</w:t>
      </w:r>
      <w:r>
        <w:rPr>
          <w:rFonts w:ascii="宋体" w:hAnsi="宋体" w:eastAsia="宋体" w:cs="宋体"/>
        </w:rPr>
        <w:t xml:space="preserve">        </w:t>
      </w:r>
      <w:r>
        <w:rPr>
          <w:rFonts w:hint="eastAsia" w:ascii="宋体" w:hAnsi="宋体" w:eastAsia="宋体" w:cs="宋体"/>
        </w:rPr>
        <w:t>真：</w:t>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r>
        <w:rPr>
          <w:rFonts w:ascii="宋体" w:hAnsi="宋体" w:eastAsia="宋体" w:cs="Times New Roman"/>
          <w:u w:val="single"/>
        </w:rPr>
        <w:tab/>
      </w:r>
    </w:p>
    <w:p w14:paraId="39EE994C">
      <w:pPr>
        <w:jc w:val="left"/>
        <w:rPr>
          <w:rFonts w:ascii="宋体" w:hAnsi="宋体" w:eastAsia="宋体" w:cs="宋体"/>
        </w:rPr>
      </w:pPr>
      <w:r>
        <w:rPr>
          <w:rFonts w:ascii="宋体" w:hAnsi="宋体" w:eastAsia="宋体" w:cs="Times New Roman"/>
          <w:u w:val="single"/>
        </w:rPr>
        <w:tab/>
      </w:r>
      <w:r>
        <w:rPr>
          <w:rFonts w:ascii="宋体" w:hAnsi="宋体" w:eastAsia="宋体" w:cs="宋体"/>
          <w:u w:val="single"/>
        </w:rPr>
        <w:t xml:space="preserve">       </w:t>
      </w:r>
      <w:r>
        <w:rPr>
          <w:rFonts w:hint="eastAsia" w:ascii="宋体" w:hAnsi="宋体" w:eastAsia="宋体" w:cs="宋体"/>
        </w:rPr>
        <w:t>年</w:t>
      </w:r>
      <w:r>
        <w:rPr>
          <w:rFonts w:ascii="宋体" w:hAnsi="宋体" w:eastAsia="宋体" w:cs="Times New Roman"/>
          <w:u w:val="single"/>
        </w:rPr>
        <w:tab/>
      </w:r>
      <w:r>
        <w:rPr>
          <w:rFonts w:ascii="宋体" w:hAnsi="宋体" w:eastAsia="宋体" w:cs="宋体"/>
          <w:u w:val="single"/>
        </w:rPr>
        <w:t xml:space="preserve">       </w:t>
      </w:r>
      <w:r>
        <w:rPr>
          <w:rFonts w:hint="eastAsia" w:ascii="宋体" w:hAnsi="宋体" w:eastAsia="宋体" w:cs="宋体"/>
        </w:rPr>
        <w:t>月</w:t>
      </w:r>
      <w:r>
        <w:rPr>
          <w:rFonts w:ascii="宋体" w:hAnsi="宋体" w:eastAsia="宋体" w:cs="宋体"/>
          <w:u w:val="single"/>
        </w:rPr>
        <w:t xml:space="preserve">              </w:t>
      </w:r>
      <w:r>
        <w:rPr>
          <w:rFonts w:hint="eastAsia" w:ascii="宋体" w:hAnsi="宋体" w:eastAsia="宋体" w:cs="宋体"/>
        </w:rPr>
        <w:t>日</w:t>
      </w:r>
      <w:r>
        <w:rPr>
          <w:rFonts w:ascii="宋体" w:hAnsi="宋体" w:eastAsia="宋体" w:cs="宋体"/>
        </w:rPr>
        <w:t xml:space="preserve">     </w:t>
      </w:r>
    </w:p>
    <w:p w14:paraId="0B2F4D66">
      <w:pPr>
        <w:rPr>
          <w:rFonts w:ascii="宋体" w:hAnsi="宋体" w:eastAsia="宋体" w:cs="Times New Roman"/>
          <w:lang w:val="zh-CN"/>
        </w:rPr>
      </w:pPr>
      <w:r>
        <w:rPr>
          <w:rFonts w:hint="eastAsia" w:ascii="宋体" w:hAnsi="宋体" w:eastAsia="宋体" w:cs="宋体"/>
          <w:lang w:val="zh-CN"/>
        </w:rPr>
        <w:t>注：</w:t>
      </w:r>
    </w:p>
    <w:p w14:paraId="27AE40D5">
      <w:pPr>
        <w:pStyle w:val="315"/>
        <w:numPr>
          <w:ilvl w:val="0"/>
          <w:numId w:val="45"/>
        </w:numPr>
        <w:tabs>
          <w:tab w:val="left" w:pos="733"/>
        </w:tabs>
        <w:spacing w:line="354" w:lineRule="exact"/>
        <w:ind w:firstLine="420"/>
        <w:rPr>
          <w:rFonts w:cs="Times New Roman"/>
        </w:rPr>
      </w:pPr>
      <w:bookmarkStart w:id="2560" w:name="bookmark1925"/>
      <w:bookmarkEnd w:id="2560"/>
      <w:r>
        <w:rPr>
          <w:rFonts w:hint="eastAsia"/>
        </w:rPr>
        <w:t>担保人必须是投标人单位基本账户的开户银行。</w:t>
      </w:r>
    </w:p>
    <w:p w14:paraId="555E86A2">
      <w:pPr>
        <w:pStyle w:val="315"/>
        <w:numPr>
          <w:ilvl w:val="0"/>
          <w:numId w:val="45"/>
        </w:numPr>
        <w:tabs>
          <w:tab w:val="left" w:pos="750"/>
        </w:tabs>
        <w:spacing w:after="340" w:line="354" w:lineRule="exact"/>
        <w:ind w:firstLine="420"/>
        <w:rPr>
          <w:rFonts w:cs="Times New Roman"/>
        </w:rPr>
      </w:pPr>
      <w:bookmarkStart w:id="2561" w:name="bookmark1926"/>
      <w:bookmarkEnd w:id="2561"/>
      <w:r>
        <w:rPr>
          <w:rFonts w:hint="eastAsia"/>
        </w:rPr>
        <w:t>委托代理人应附授权委托书。</w:t>
      </w:r>
    </w:p>
    <w:p w14:paraId="2DCF7D89">
      <w:pPr>
        <w:rPr>
          <w:rFonts w:cs="Times New Roman"/>
        </w:rPr>
      </w:pPr>
    </w:p>
    <w:p w14:paraId="32FC89F4">
      <w:pPr>
        <w:rPr>
          <w:rFonts w:cs="Times New Roman"/>
        </w:rPr>
      </w:pPr>
      <w:r>
        <w:rPr>
          <w:rFonts w:cs="Times New Roman"/>
        </w:rPr>
        <w:br w:type="page"/>
      </w:r>
    </w:p>
    <w:p w14:paraId="6901CCA8">
      <w:pPr>
        <w:pStyle w:val="2"/>
      </w:pPr>
      <w:bookmarkStart w:id="2562" w:name="_Toc23813"/>
      <w:r>
        <w:rPr>
          <w:rFonts w:hint="eastAsia" w:cs="宋体"/>
        </w:rPr>
        <w:t>第七章</w:t>
      </w:r>
      <w:r>
        <w:t xml:space="preserve"> </w:t>
      </w:r>
      <w:r>
        <w:rPr>
          <w:rFonts w:hint="eastAsia" w:cs="宋体"/>
        </w:rPr>
        <w:t>质疑、投诉材料格式</w:t>
      </w:r>
      <w:bookmarkEnd w:id="2562"/>
    </w:p>
    <w:p w14:paraId="6F11B95E">
      <w:pPr>
        <w:spacing w:line="440" w:lineRule="exact"/>
        <w:jc w:val="center"/>
        <w:rPr>
          <w:rFonts w:ascii="Times New Roman" w:hAnsi="Times New Roman" w:eastAsia="宋体" w:cs="Times New Roman"/>
          <w:b/>
          <w:bCs/>
          <w:position w:val="-5"/>
          <w:sz w:val="24"/>
          <w:szCs w:val="24"/>
        </w:rPr>
      </w:pPr>
    </w:p>
    <w:p w14:paraId="5C2186D3">
      <w:pPr>
        <w:spacing w:line="440" w:lineRule="exact"/>
        <w:jc w:val="center"/>
        <w:rPr>
          <w:rFonts w:ascii="Times New Roman" w:hAnsi="Times New Roman" w:eastAsia="宋体" w:cs="Times New Roman"/>
          <w:b/>
          <w:bCs/>
          <w:position w:val="-5"/>
          <w:sz w:val="24"/>
          <w:szCs w:val="24"/>
        </w:rPr>
      </w:pPr>
      <w:r>
        <w:rPr>
          <w:rFonts w:hint="eastAsia" w:ascii="Times New Roman" w:hAnsi="Times New Roman" w:eastAsia="宋体" w:cs="宋体"/>
          <w:b/>
          <w:bCs/>
          <w:position w:val="-5"/>
          <w:sz w:val="24"/>
          <w:szCs w:val="24"/>
        </w:rPr>
        <w:t>质疑函（格式）</w:t>
      </w:r>
    </w:p>
    <w:p w14:paraId="20EB9378">
      <w:pPr>
        <w:spacing w:line="440" w:lineRule="exact"/>
        <w:ind w:firstLine="420"/>
        <w:rPr>
          <w:rFonts w:ascii="宋体" w:hAnsi="宋体" w:eastAsia="宋体" w:cs="Times New Roman"/>
        </w:rPr>
      </w:pPr>
      <w:r>
        <w:rPr>
          <w:rFonts w:hint="eastAsia" w:ascii="宋体" w:hAnsi="宋体" w:eastAsia="宋体" w:cs="宋体"/>
        </w:rPr>
        <w:t>一、质疑供应商基本信息：</w:t>
      </w:r>
    </w:p>
    <w:p w14:paraId="4FE6D50A">
      <w:pPr>
        <w:spacing w:line="440" w:lineRule="exact"/>
        <w:ind w:firstLine="420" w:firstLineChars="200"/>
        <w:rPr>
          <w:rFonts w:ascii="宋体" w:hAnsi="宋体" w:eastAsia="宋体" w:cs="Times New Roman"/>
        </w:rPr>
      </w:pPr>
      <w:r>
        <w:rPr>
          <w:rFonts w:hint="eastAsia" w:ascii="宋体" w:hAnsi="宋体" w:eastAsia="宋体" w:cs="宋体"/>
        </w:rPr>
        <w:t>质疑供应商：</w:t>
      </w:r>
    </w:p>
    <w:p w14:paraId="4C270D7D">
      <w:pPr>
        <w:spacing w:line="440" w:lineRule="exact"/>
        <w:ind w:firstLine="420" w:firstLineChars="200"/>
        <w:rPr>
          <w:rFonts w:ascii="宋体" w:hAnsi="宋体" w:eastAsia="宋体" w:cs="宋体"/>
        </w:rPr>
      </w:pPr>
      <w:r>
        <w:rPr>
          <w:rFonts w:hint="eastAsia" w:ascii="宋体" w:hAnsi="宋体" w:eastAsia="宋体" w:cs="宋体"/>
        </w:rPr>
        <w:t>地址：邮编：</w:t>
      </w:r>
      <w:r>
        <w:rPr>
          <w:rFonts w:ascii="宋体" w:hAnsi="宋体" w:eastAsia="宋体" w:cs="宋体"/>
        </w:rPr>
        <w:t xml:space="preserve"> </w:t>
      </w:r>
    </w:p>
    <w:p w14:paraId="43D223C1">
      <w:pPr>
        <w:spacing w:line="440" w:lineRule="exact"/>
        <w:ind w:firstLine="420" w:firstLineChars="200"/>
        <w:rPr>
          <w:rFonts w:ascii="宋体" w:hAnsi="宋体" w:eastAsia="宋体" w:cs="Times New Roman"/>
        </w:rPr>
      </w:pPr>
      <w:r>
        <w:rPr>
          <w:rFonts w:hint="eastAsia" w:ascii="宋体" w:hAnsi="宋体" w:eastAsia="宋体" w:cs="宋体"/>
        </w:rPr>
        <w:t>联系人：联系电话：</w:t>
      </w:r>
    </w:p>
    <w:p w14:paraId="4B4FE90F">
      <w:pPr>
        <w:spacing w:line="440" w:lineRule="exact"/>
        <w:ind w:firstLine="420" w:firstLineChars="200"/>
        <w:rPr>
          <w:rFonts w:ascii="宋体" w:hAnsi="宋体" w:eastAsia="宋体" w:cs="Times New Roman"/>
        </w:rPr>
      </w:pPr>
      <w:r>
        <w:rPr>
          <w:rFonts w:hint="eastAsia" w:ascii="宋体" w:hAnsi="宋体" w:eastAsia="宋体" w:cs="宋体"/>
        </w:rPr>
        <w:t>授权代表：</w:t>
      </w:r>
    </w:p>
    <w:p w14:paraId="7FA7BE02">
      <w:pPr>
        <w:spacing w:line="440" w:lineRule="exact"/>
        <w:ind w:firstLine="420" w:firstLineChars="200"/>
        <w:rPr>
          <w:rFonts w:ascii="宋体" w:hAnsi="宋体" w:eastAsia="宋体" w:cs="Times New Roman"/>
        </w:rPr>
      </w:pPr>
      <w:r>
        <w:rPr>
          <w:rFonts w:hint="eastAsia" w:ascii="宋体" w:hAnsi="宋体" w:eastAsia="宋体" w:cs="宋体"/>
        </w:rPr>
        <w:t>联系电话：</w:t>
      </w:r>
    </w:p>
    <w:p w14:paraId="0087DDDB">
      <w:pPr>
        <w:spacing w:line="440" w:lineRule="exact"/>
        <w:ind w:firstLine="420" w:firstLineChars="200"/>
        <w:rPr>
          <w:rFonts w:ascii="宋体" w:hAnsi="宋体" w:eastAsia="宋体" w:cs="Times New Roman"/>
        </w:rPr>
      </w:pPr>
      <w:r>
        <w:rPr>
          <w:rFonts w:hint="eastAsia" w:ascii="宋体" w:hAnsi="宋体" w:eastAsia="宋体" w:cs="宋体"/>
        </w:rPr>
        <w:t>地址：邮编：</w:t>
      </w:r>
    </w:p>
    <w:p w14:paraId="50AC35B5">
      <w:pPr>
        <w:spacing w:line="440" w:lineRule="exact"/>
        <w:ind w:firstLine="420"/>
        <w:rPr>
          <w:rFonts w:ascii="宋体" w:hAnsi="宋体" w:eastAsia="宋体" w:cs="Times New Roman"/>
        </w:rPr>
      </w:pPr>
      <w:r>
        <w:rPr>
          <w:rFonts w:hint="eastAsia" w:ascii="宋体" w:hAnsi="宋体" w:eastAsia="宋体" w:cs="宋体"/>
        </w:rPr>
        <w:t>二、质疑项目基本情况：</w:t>
      </w:r>
    </w:p>
    <w:p w14:paraId="1C4C5E95">
      <w:pPr>
        <w:spacing w:line="440" w:lineRule="exact"/>
        <w:ind w:firstLine="420" w:firstLineChars="200"/>
        <w:rPr>
          <w:rFonts w:ascii="宋体" w:hAnsi="宋体" w:eastAsia="宋体" w:cs="Times New Roman"/>
        </w:rPr>
      </w:pPr>
      <w:r>
        <w:rPr>
          <w:rFonts w:hint="eastAsia" w:ascii="宋体" w:hAnsi="宋体" w:eastAsia="宋体" w:cs="宋体"/>
        </w:rPr>
        <w:t>质疑项目的名称：</w:t>
      </w:r>
    </w:p>
    <w:p w14:paraId="334AC19E">
      <w:pPr>
        <w:spacing w:line="440" w:lineRule="exact"/>
        <w:ind w:firstLine="420" w:firstLineChars="200"/>
        <w:rPr>
          <w:rFonts w:ascii="宋体" w:hAnsi="宋体" w:eastAsia="宋体" w:cs="Times New Roman"/>
        </w:rPr>
      </w:pPr>
      <w:r>
        <w:rPr>
          <w:rFonts w:hint="eastAsia" w:ascii="宋体" w:hAnsi="宋体" w:eastAsia="宋体" w:cs="宋体"/>
        </w:rPr>
        <w:t>质疑项目的编号：</w:t>
      </w:r>
    </w:p>
    <w:p w14:paraId="20A996A1">
      <w:pPr>
        <w:spacing w:line="440" w:lineRule="exact"/>
        <w:ind w:firstLine="420" w:firstLineChars="200"/>
        <w:rPr>
          <w:rFonts w:ascii="宋体" w:hAnsi="宋体" w:eastAsia="宋体" w:cs="Times New Roman"/>
        </w:rPr>
      </w:pPr>
      <w:r>
        <w:rPr>
          <w:rFonts w:hint="eastAsia" w:ascii="宋体" w:hAnsi="宋体" w:eastAsia="宋体" w:cs="宋体"/>
        </w:rPr>
        <w:t>采购人名称：</w:t>
      </w:r>
    </w:p>
    <w:p w14:paraId="71A8EB51">
      <w:pPr>
        <w:spacing w:line="440" w:lineRule="exact"/>
        <w:ind w:firstLine="420" w:firstLineChars="200"/>
        <w:rPr>
          <w:rFonts w:ascii="宋体" w:hAnsi="宋体" w:eastAsia="宋体" w:cs="Times New Roman"/>
        </w:rPr>
      </w:pPr>
      <w:r>
        <w:rPr>
          <w:rFonts w:hint="eastAsia" w:ascii="宋体" w:hAnsi="宋体" w:eastAsia="宋体" w:cs="宋体"/>
        </w:rPr>
        <w:t>质疑事项：</w:t>
      </w:r>
    </w:p>
    <w:p w14:paraId="0A47053D">
      <w:pPr>
        <w:spacing w:line="440" w:lineRule="exact"/>
        <w:ind w:firstLine="420" w:firstLineChars="200"/>
        <w:rPr>
          <w:rFonts w:ascii="宋体" w:hAnsi="宋体" w:eastAsia="宋体" w:cs="Times New Roman"/>
        </w:rPr>
      </w:pPr>
      <w:r>
        <w:rPr>
          <w:rFonts w:hint="eastAsia" w:ascii="宋体" w:hAnsi="宋体" w:eastAsia="宋体" w:cs="宋体"/>
        </w:rPr>
        <w:t>□采购文件</w:t>
      </w:r>
      <w:r>
        <w:rPr>
          <w:rFonts w:ascii="宋体" w:hAnsi="宋体" w:eastAsia="宋体" w:cs="宋体"/>
        </w:rPr>
        <w:t xml:space="preserve">   </w:t>
      </w:r>
      <w:r>
        <w:rPr>
          <w:rFonts w:hint="eastAsia" w:ascii="宋体" w:hAnsi="宋体" w:eastAsia="宋体" w:cs="宋体"/>
        </w:rPr>
        <w:t>采购文件获取日期：</w:t>
      </w:r>
    </w:p>
    <w:p w14:paraId="6E1EA30F">
      <w:pPr>
        <w:spacing w:line="440" w:lineRule="exact"/>
        <w:ind w:firstLine="420" w:firstLineChars="200"/>
        <w:rPr>
          <w:rFonts w:ascii="宋体" w:hAnsi="宋体" w:eastAsia="宋体" w:cs="宋体"/>
        </w:rPr>
      </w:pPr>
      <w:r>
        <w:rPr>
          <w:rFonts w:hint="eastAsia" w:ascii="宋体" w:hAnsi="宋体" w:eastAsia="宋体" w:cs="宋体"/>
        </w:rPr>
        <w:t>□采购过程</w:t>
      </w:r>
      <w:r>
        <w:rPr>
          <w:rFonts w:ascii="宋体" w:hAnsi="宋体" w:eastAsia="宋体" w:cs="宋体"/>
        </w:rPr>
        <w:t xml:space="preserve">   </w:t>
      </w:r>
    </w:p>
    <w:p w14:paraId="67867C21">
      <w:pPr>
        <w:spacing w:line="440" w:lineRule="exact"/>
        <w:ind w:firstLine="420" w:firstLineChars="200"/>
        <w:rPr>
          <w:rFonts w:ascii="宋体" w:hAnsi="宋体" w:eastAsia="宋体" w:cs="宋体"/>
        </w:rPr>
      </w:pPr>
      <w:r>
        <w:rPr>
          <w:rFonts w:hint="eastAsia" w:ascii="宋体" w:hAnsi="宋体" w:eastAsia="宋体" w:cs="宋体"/>
        </w:rPr>
        <w:t>□成交结果</w:t>
      </w:r>
      <w:r>
        <w:rPr>
          <w:rFonts w:ascii="宋体" w:hAnsi="宋体" w:eastAsia="宋体" w:cs="宋体"/>
        </w:rPr>
        <w:t xml:space="preserve">   </w:t>
      </w:r>
    </w:p>
    <w:p w14:paraId="21E00C10">
      <w:pPr>
        <w:spacing w:line="440" w:lineRule="exact"/>
        <w:ind w:firstLine="420" w:firstLineChars="200"/>
        <w:rPr>
          <w:rFonts w:ascii="宋体" w:hAnsi="宋体" w:eastAsia="宋体" w:cs="Times New Roman"/>
        </w:rPr>
      </w:pPr>
      <w:r>
        <w:rPr>
          <w:rFonts w:hint="eastAsia" w:ascii="宋体" w:hAnsi="宋体" w:eastAsia="宋体" w:cs="宋体"/>
        </w:rPr>
        <w:t>三、质疑事项具体内容</w:t>
      </w:r>
    </w:p>
    <w:p w14:paraId="23046257">
      <w:pPr>
        <w:spacing w:line="440" w:lineRule="exact"/>
        <w:ind w:firstLine="420" w:firstLineChars="200"/>
        <w:rPr>
          <w:rFonts w:ascii="宋体" w:hAnsi="宋体" w:eastAsia="宋体" w:cs="Times New Roman"/>
        </w:rPr>
      </w:pPr>
      <w:r>
        <w:rPr>
          <w:rFonts w:hint="eastAsia" w:ascii="宋体" w:hAnsi="宋体" w:eastAsia="宋体" w:cs="宋体"/>
        </w:rPr>
        <w:t>质疑事项</w:t>
      </w:r>
      <w:r>
        <w:rPr>
          <w:rFonts w:ascii="宋体" w:hAnsi="宋体" w:eastAsia="宋体" w:cs="宋体"/>
        </w:rPr>
        <w:t>1</w:t>
      </w:r>
      <w:r>
        <w:rPr>
          <w:rFonts w:hint="eastAsia" w:ascii="宋体" w:hAnsi="宋体" w:eastAsia="宋体" w:cs="宋体"/>
        </w:rPr>
        <w:t>：</w:t>
      </w:r>
    </w:p>
    <w:p w14:paraId="5D1CFC5A">
      <w:pPr>
        <w:spacing w:line="440" w:lineRule="exact"/>
        <w:ind w:firstLine="420" w:firstLineChars="200"/>
        <w:rPr>
          <w:rFonts w:ascii="宋体" w:hAnsi="宋体" w:eastAsia="宋体" w:cs="Times New Roman"/>
        </w:rPr>
      </w:pPr>
      <w:r>
        <w:rPr>
          <w:rFonts w:hint="eastAsia" w:ascii="宋体" w:hAnsi="宋体" w:eastAsia="宋体" w:cs="宋体"/>
        </w:rPr>
        <w:t>事实依据：</w:t>
      </w:r>
    </w:p>
    <w:p w14:paraId="2F6A5A7D">
      <w:pPr>
        <w:spacing w:line="440" w:lineRule="exact"/>
        <w:ind w:firstLine="420" w:firstLineChars="200"/>
        <w:rPr>
          <w:rFonts w:ascii="宋体" w:hAnsi="宋体" w:eastAsia="宋体" w:cs="Times New Roman"/>
        </w:rPr>
      </w:pPr>
      <w:r>
        <w:rPr>
          <w:rFonts w:hint="eastAsia" w:ascii="宋体" w:hAnsi="宋体" w:eastAsia="宋体" w:cs="宋体"/>
        </w:rPr>
        <w:t>法律依据：</w:t>
      </w:r>
    </w:p>
    <w:p w14:paraId="519EEE7D">
      <w:pPr>
        <w:spacing w:line="440" w:lineRule="exact"/>
        <w:ind w:firstLine="420" w:firstLineChars="200"/>
        <w:rPr>
          <w:rFonts w:ascii="宋体" w:hAnsi="宋体" w:eastAsia="宋体" w:cs="宋体"/>
        </w:rPr>
      </w:pPr>
      <w:r>
        <w:rPr>
          <w:rFonts w:hint="eastAsia" w:ascii="宋体" w:hAnsi="宋体" w:eastAsia="宋体" w:cs="宋体"/>
        </w:rPr>
        <w:t>质疑事项</w:t>
      </w:r>
      <w:r>
        <w:rPr>
          <w:rFonts w:ascii="宋体" w:hAnsi="宋体" w:eastAsia="宋体" w:cs="宋体"/>
        </w:rPr>
        <w:t>2</w:t>
      </w:r>
    </w:p>
    <w:p w14:paraId="4EFA9289">
      <w:pPr>
        <w:spacing w:line="440" w:lineRule="exact"/>
        <w:ind w:firstLine="420" w:firstLineChars="200"/>
        <w:rPr>
          <w:rFonts w:ascii="宋体" w:hAnsi="宋体" w:eastAsia="宋体" w:cs="Times New Roman"/>
        </w:rPr>
      </w:pPr>
      <w:r>
        <w:rPr>
          <w:rFonts w:hint="eastAsia" w:ascii="宋体" w:hAnsi="宋体" w:eastAsia="宋体" w:cs="宋体"/>
        </w:rPr>
        <w:t>……</w:t>
      </w:r>
    </w:p>
    <w:p w14:paraId="6F6FE856">
      <w:pPr>
        <w:spacing w:line="440" w:lineRule="exact"/>
        <w:ind w:firstLine="420" w:firstLineChars="200"/>
        <w:rPr>
          <w:rFonts w:ascii="宋体" w:hAnsi="宋体" w:eastAsia="宋体" w:cs="Times New Roman"/>
        </w:rPr>
      </w:pPr>
      <w:r>
        <w:rPr>
          <w:rFonts w:hint="eastAsia" w:ascii="宋体" w:hAnsi="宋体" w:eastAsia="宋体" w:cs="宋体"/>
        </w:rPr>
        <w:t>四、与质疑事项相关的质疑请求：</w:t>
      </w:r>
    </w:p>
    <w:p w14:paraId="134399AA">
      <w:pPr>
        <w:spacing w:line="440" w:lineRule="exact"/>
        <w:ind w:firstLine="420" w:firstLineChars="200"/>
        <w:rPr>
          <w:rFonts w:ascii="宋体" w:hAnsi="宋体" w:eastAsia="宋体" w:cs="Times New Roman"/>
        </w:rPr>
      </w:pPr>
      <w:r>
        <w:rPr>
          <w:rFonts w:hint="eastAsia" w:ascii="宋体" w:hAnsi="宋体" w:eastAsia="宋体" w:cs="宋体"/>
        </w:rPr>
        <w:t>请求：</w:t>
      </w:r>
    </w:p>
    <w:p w14:paraId="1B8BC161">
      <w:pPr>
        <w:spacing w:line="440" w:lineRule="exact"/>
        <w:ind w:firstLine="420" w:firstLineChars="200"/>
        <w:rPr>
          <w:rFonts w:ascii="宋体" w:hAnsi="宋体" w:eastAsia="宋体" w:cs="Times New Roman"/>
        </w:rPr>
      </w:pPr>
    </w:p>
    <w:p w14:paraId="076FD4CE">
      <w:pPr>
        <w:spacing w:line="440" w:lineRule="exact"/>
        <w:ind w:firstLine="420" w:firstLineChars="200"/>
        <w:rPr>
          <w:rFonts w:ascii="宋体" w:hAnsi="宋体" w:eastAsia="宋体" w:cs="Times New Roman"/>
        </w:rPr>
      </w:pPr>
      <w:r>
        <w:rPr>
          <w:rFonts w:hint="eastAsia" w:ascii="宋体" w:hAnsi="宋体" w:eastAsia="宋体" w:cs="宋体"/>
        </w:rPr>
        <w:t>签字（签章）：</w:t>
      </w:r>
      <w:r>
        <w:rPr>
          <w:rFonts w:ascii="宋体" w:hAnsi="宋体" w:eastAsia="宋体" w:cs="宋体"/>
        </w:rPr>
        <w:t xml:space="preserve">                                       </w:t>
      </w:r>
      <w:r>
        <w:rPr>
          <w:rFonts w:hint="eastAsia" w:ascii="宋体" w:hAnsi="宋体" w:eastAsia="宋体" w:cs="宋体"/>
        </w:rPr>
        <w:t>公章：</w:t>
      </w:r>
    </w:p>
    <w:p w14:paraId="0D743CE4">
      <w:pPr>
        <w:spacing w:line="440" w:lineRule="exact"/>
        <w:ind w:firstLine="420" w:firstLineChars="200"/>
        <w:rPr>
          <w:rFonts w:ascii="宋体" w:hAnsi="宋体" w:eastAsia="宋体" w:cs="Times New Roman"/>
        </w:rPr>
      </w:pPr>
    </w:p>
    <w:p w14:paraId="3E958D5E">
      <w:pPr>
        <w:spacing w:line="440" w:lineRule="exact"/>
        <w:ind w:firstLine="420" w:firstLineChars="200"/>
        <w:rPr>
          <w:rFonts w:ascii="宋体" w:hAnsi="宋体" w:eastAsia="宋体" w:cs="Times New Roman"/>
        </w:rPr>
      </w:pPr>
      <w:r>
        <w:rPr>
          <w:rFonts w:hint="eastAsia" w:ascii="宋体" w:hAnsi="宋体" w:eastAsia="宋体" w:cs="宋体"/>
        </w:rPr>
        <w:t>日期：</w:t>
      </w:r>
    </w:p>
    <w:p w14:paraId="376FFE73">
      <w:pPr>
        <w:widowControl/>
        <w:spacing w:line="440" w:lineRule="exact"/>
        <w:ind w:firstLine="420" w:firstLineChars="200"/>
        <w:jc w:val="left"/>
        <w:rPr>
          <w:rFonts w:ascii="宋体" w:hAnsi="宋体" w:eastAsia="宋体" w:cs="Times New Roman"/>
        </w:rPr>
      </w:pPr>
      <w:r>
        <w:rPr>
          <w:rFonts w:ascii="宋体" w:hAnsi="宋体" w:eastAsia="宋体" w:cs="Times New Roman"/>
        </w:rPr>
        <w:br w:type="page"/>
      </w:r>
    </w:p>
    <w:p w14:paraId="4C0EDEB8">
      <w:pPr>
        <w:spacing w:line="440" w:lineRule="exact"/>
        <w:ind w:firstLine="422" w:firstLineChars="200"/>
        <w:rPr>
          <w:rFonts w:ascii="宋体" w:hAnsi="宋体" w:eastAsia="宋体" w:cs="Times New Roman"/>
          <w:b/>
          <w:bCs/>
        </w:rPr>
      </w:pPr>
      <w:r>
        <w:rPr>
          <w:rFonts w:hint="eastAsia" w:ascii="宋体" w:hAnsi="宋体" w:eastAsia="宋体" w:cs="宋体"/>
          <w:b/>
          <w:bCs/>
        </w:rPr>
        <w:t>说明：</w:t>
      </w:r>
    </w:p>
    <w:p w14:paraId="4F0A9743">
      <w:pPr>
        <w:spacing w:line="440" w:lineRule="exact"/>
        <w:ind w:firstLine="422" w:firstLineChars="200"/>
        <w:rPr>
          <w:rFonts w:ascii="宋体" w:hAnsi="宋体" w:eastAsia="宋体" w:cs="Times New Roman"/>
          <w:b/>
          <w:bCs/>
        </w:rPr>
      </w:pPr>
      <w:r>
        <w:rPr>
          <w:rFonts w:ascii="宋体" w:hAnsi="宋体" w:eastAsia="宋体" w:cs="宋体"/>
          <w:b/>
          <w:bCs/>
        </w:rPr>
        <w:t>1.</w:t>
      </w:r>
      <w:r>
        <w:rPr>
          <w:rFonts w:hint="eastAsia" w:ascii="宋体" w:hAnsi="宋体" w:eastAsia="宋体" w:cs="宋体"/>
          <w:b/>
          <w:bCs/>
        </w:rPr>
        <w:t>供应商提出质疑时，应提交质疑函和必要的证明材料。</w:t>
      </w:r>
    </w:p>
    <w:p w14:paraId="70A3DAF4">
      <w:pPr>
        <w:spacing w:line="440" w:lineRule="exact"/>
        <w:ind w:firstLine="422" w:firstLineChars="200"/>
        <w:rPr>
          <w:rFonts w:ascii="宋体" w:hAnsi="宋体" w:eastAsia="宋体" w:cs="Times New Roman"/>
          <w:b/>
          <w:bCs/>
        </w:rPr>
      </w:pPr>
      <w:r>
        <w:rPr>
          <w:rFonts w:ascii="宋体" w:hAnsi="宋体" w:eastAsia="宋体" w:cs="宋体"/>
          <w:b/>
          <w:bCs/>
        </w:rPr>
        <w:t>2.</w:t>
      </w:r>
      <w:r>
        <w:rPr>
          <w:rFonts w:hint="eastAsia" w:ascii="宋体" w:hAnsi="宋体" w:eastAsia="宋体" w:cs="宋体"/>
          <w:b/>
          <w:bCs/>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3E9342">
      <w:pPr>
        <w:spacing w:line="440" w:lineRule="exact"/>
        <w:ind w:firstLine="422" w:firstLineChars="200"/>
        <w:rPr>
          <w:rFonts w:ascii="宋体" w:hAnsi="宋体" w:eastAsia="宋体" w:cs="Times New Roman"/>
          <w:b/>
          <w:bCs/>
        </w:rPr>
      </w:pPr>
      <w:r>
        <w:rPr>
          <w:rFonts w:ascii="宋体" w:hAnsi="宋体" w:eastAsia="宋体" w:cs="宋体"/>
          <w:b/>
          <w:bCs/>
        </w:rPr>
        <w:t>3.</w:t>
      </w:r>
      <w:r>
        <w:rPr>
          <w:rFonts w:hint="eastAsia" w:ascii="宋体" w:hAnsi="宋体" w:eastAsia="宋体" w:cs="宋体"/>
          <w:b/>
          <w:bCs/>
        </w:rPr>
        <w:t>质疑函的质疑事项应具体、明确，并有必要的事实依据和法律依据。</w:t>
      </w:r>
    </w:p>
    <w:p w14:paraId="4C8F22F0">
      <w:pPr>
        <w:spacing w:line="440" w:lineRule="exact"/>
        <w:ind w:firstLine="422" w:firstLineChars="200"/>
        <w:rPr>
          <w:rFonts w:ascii="宋体" w:hAnsi="宋体" w:eastAsia="宋体" w:cs="Times New Roman"/>
          <w:b/>
          <w:bCs/>
        </w:rPr>
      </w:pPr>
      <w:r>
        <w:rPr>
          <w:rFonts w:ascii="宋体" w:hAnsi="宋体" w:eastAsia="宋体" w:cs="宋体"/>
          <w:b/>
          <w:bCs/>
        </w:rPr>
        <w:t>4.</w:t>
      </w:r>
      <w:r>
        <w:rPr>
          <w:rFonts w:hint="eastAsia" w:ascii="宋体" w:hAnsi="宋体" w:eastAsia="宋体" w:cs="宋体"/>
          <w:b/>
          <w:bCs/>
        </w:rPr>
        <w:t>质疑函的质疑请求应与质疑事项相关。</w:t>
      </w:r>
    </w:p>
    <w:p w14:paraId="7B92D692">
      <w:pPr>
        <w:spacing w:line="440" w:lineRule="exact"/>
        <w:ind w:firstLine="422" w:firstLineChars="200"/>
        <w:rPr>
          <w:rFonts w:ascii="宋体" w:hAnsi="宋体" w:eastAsia="宋体" w:cs="Times New Roman"/>
          <w:b/>
          <w:bCs/>
        </w:rPr>
      </w:pPr>
      <w:r>
        <w:rPr>
          <w:rFonts w:ascii="宋体" w:hAnsi="宋体" w:eastAsia="宋体" w:cs="宋体"/>
          <w:b/>
          <w:bCs/>
        </w:rPr>
        <w:t>5.</w:t>
      </w:r>
      <w:r>
        <w:rPr>
          <w:rFonts w:hint="eastAsia" w:ascii="宋体" w:hAnsi="宋体" w:eastAsia="宋体" w:cs="宋体"/>
          <w:b/>
          <w:bCs/>
        </w:rPr>
        <w:t>质疑供应商为法人或者其他组织的，质疑函应由法定代表人、主要负责人，或者其授权代表签字或者盖章，并加盖公章。</w:t>
      </w:r>
    </w:p>
    <w:p w14:paraId="255D9234">
      <w:pPr>
        <w:spacing w:line="440" w:lineRule="exact"/>
        <w:ind w:firstLine="480" w:firstLineChars="200"/>
        <w:rPr>
          <w:rFonts w:ascii="宋体" w:hAnsi="宋体" w:eastAsia="宋体" w:cs="Times New Roman"/>
          <w:sz w:val="24"/>
          <w:szCs w:val="24"/>
        </w:rPr>
      </w:pPr>
    </w:p>
    <w:p w14:paraId="2CA96DD7">
      <w:pPr>
        <w:spacing w:line="440" w:lineRule="exact"/>
        <w:ind w:firstLine="480" w:firstLineChars="200"/>
        <w:jc w:val="left"/>
        <w:rPr>
          <w:rFonts w:ascii="宋体" w:hAnsi="宋体" w:eastAsia="宋体" w:cs="Times New Roman"/>
          <w:sz w:val="24"/>
          <w:szCs w:val="24"/>
        </w:rPr>
      </w:pPr>
      <w:r>
        <w:rPr>
          <w:rFonts w:ascii="宋体" w:hAnsi="宋体" w:eastAsia="宋体" w:cs="Times New Roman"/>
          <w:sz w:val="24"/>
          <w:szCs w:val="24"/>
        </w:rPr>
        <w:br w:type="page"/>
      </w:r>
    </w:p>
    <w:p w14:paraId="621C692C">
      <w:pPr>
        <w:spacing w:line="440" w:lineRule="exact"/>
        <w:ind w:firstLine="482" w:firstLineChars="200"/>
        <w:jc w:val="center"/>
        <w:rPr>
          <w:rFonts w:ascii="宋体" w:hAnsi="宋体" w:eastAsia="宋体" w:cs="Times New Roman"/>
          <w:b/>
          <w:bCs/>
          <w:sz w:val="24"/>
          <w:szCs w:val="24"/>
        </w:rPr>
      </w:pPr>
      <w:r>
        <w:rPr>
          <w:rFonts w:hint="eastAsia" w:ascii="宋体" w:hAnsi="宋体" w:eastAsia="宋体" w:cs="宋体"/>
          <w:b/>
          <w:bCs/>
          <w:sz w:val="24"/>
          <w:szCs w:val="24"/>
        </w:rPr>
        <w:t>投诉书（格式）</w:t>
      </w:r>
    </w:p>
    <w:p w14:paraId="40CCE1BE">
      <w:pPr>
        <w:spacing w:line="440" w:lineRule="exact"/>
        <w:ind w:firstLine="420"/>
        <w:rPr>
          <w:rFonts w:ascii="宋体" w:hAnsi="宋体" w:eastAsia="宋体" w:cs="Times New Roman"/>
        </w:rPr>
      </w:pPr>
      <w:r>
        <w:rPr>
          <w:rFonts w:hint="eastAsia" w:ascii="宋体" w:hAnsi="宋体" w:eastAsia="宋体" w:cs="宋体"/>
        </w:rPr>
        <w:t>一、投诉相关主体基本情况：</w:t>
      </w:r>
    </w:p>
    <w:p w14:paraId="72ECFB77">
      <w:pPr>
        <w:spacing w:line="440" w:lineRule="exact"/>
        <w:ind w:firstLine="315" w:firstLineChars="150"/>
        <w:rPr>
          <w:rFonts w:ascii="宋体" w:hAnsi="宋体" w:eastAsia="宋体" w:cs="Times New Roman"/>
        </w:rPr>
      </w:pPr>
      <w:r>
        <w:rPr>
          <w:rFonts w:hint="eastAsia" w:ascii="宋体" w:hAnsi="宋体" w:eastAsia="宋体" w:cs="宋体"/>
        </w:rPr>
        <w:t>供应商：</w:t>
      </w:r>
    </w:p>
    <w:p w14:paraId="41F4E46B">
      <w:pPr>
        <w:spacing w:line="440" w:lineRule="exact"/>
        <w:ind w:firstLine="315" w:firstLineChars="150"/>
        <w:rPr>
          <w:rFonts w:ascii="宋体" w:hAnsi="宋体" w:eastAsia="宋体" w:cs="Times New Roman"/>
        </w:rPr>
      </w:pPr>
      <w:r>
        <w:rPr>
          <w:rFonts w:hint="eastAsia" w:ascii="宋体" w:hAnsi="宋体" w:eastAsia="宋体" w:cs="宋体"/>
        </w:rPr>
        <w:t>地址：</w:t>
      </w:r>
      <w:r>
        <w:rPr>
          <w:rFonts w:ascii="宋体" w:hAnsi="宋体" w:eastAsia="宋体" w:cs="宋体"/>
        </w:rPr>
        <w:t xml:space="preserve">           </w:t>
      </w:r>
      <w:r>
        <w:rPr>
          <w:rFonts w:hint="eastAsia" w:ascii="宋体" w:hAnsi="宋体" w:eastAsia="宋体" w:cs="宋体"/>
        </w:rPr>
        <w:t>邮编：</w:t>
      </w:r>
    </w:p>
    <w:p w14:paraId="73CA1530">
      <w:pPr>
        <w:spacing w:line="440" w:lineRule="exact"/>
        <w:ind w:firstLine="315" w:firstLineChars="150"/>
        <w:rPr>
          <w:rFonts w:ascii="宋体" w:hAnsi="宋体" w:eastAsia="宋体" w:cs="Times New Roman"/>
        </w:rPr>
      </w:pPr>
      <w:r>
        <w:rPr>
          <w:rFonts w:hint="eastAsia" w:ascii="宋体" w:hAnsi="宋体" w:eastAsia="宋体" w:cs="宋体"/>
        </w:rPr>
        <w:t>法定代表人</w:t>
      </w:r>
      <w:r>
        <w:rPr>
          <w:rFonts w:ascii="宋体" w:hAnsi="宋体" w:eastAsia="宋体" w:cs="宋体"/>
        </w:rPr>
        <w:t>/</w:t>
      </w:r>
      <w:r>
        <w:rPr>
          <w:rFonts w:hint="eastAsia" w:ascii="宋体" w:hAnsi="宋体" w:eastAsia="宋体" w:cs="宋体"/>
        </w:rPr>
        <w:t>主要负责人：</w:t>
      </w:r>
    </w:p>
    <w:p w14:paraId="446C8505">
      <w:pPr>
        <w:spacing w:line="440" w:lineRule="exact"/>
        <w:ind w:firstLine="315" w:firstLineChars="150"/>
        <w:rPr>
          <w:rFonts w:ascii="宋体" w:hAnsi="宋体" w:eastAsia="宋体" w:cs="Times New Roman"/>
        </w:rPr>
      </w:pPr>
      <w:r>
        <w:rPr>
          <w:rFonts w:hint="eastAsia" w:ascii="宋体" w:hAnsi="宋体" w:eastAsia="宋体" w:cs="宋体"/>
        </w:rPr>
        <w:t>联系电话：</w:t>
      </w:r>
    </w:p>
    <w:p w14:paraId="3B15CDB0">
      <w:pPr>
        <w:spacing w:line="440" w:lineRule="exact"/>
        <w:ind w:firstLine="315" w:firstLineChars="150"/>
        <w:rPr>
          <w:rFonts w:ascii="宋体" w:hAnsi="宋体" w:eastAsia="宋体" w:cs="Times New Roman"/>
        </w:rPr>
      </w:pPr>
      <w:r>
        <w:rPr>
          <w:rFonts w:hint="eastAsia" w:ascii="宋体" w:hAnsi="宋体" w:eastAsia="宋体" w:cs="宋体"/>
        </w:rPr>
        <w:t>授权代表：联系电话：</w:t>
      </w:r>
    </w:p>
    <w:p w14:paraId="4A844552">
      <w:pPr>
        <w:spacing w:line="440" w:lineRule="exact"/>
        <w:ind w:firstLine="210" w:firstLineChars="100"/>
        <w:rPr>
          <w:rFonts w:ascii="宋体" w:hAnsi="宋体" w:eastAsia="宋体" w:cs="Times New Roman"/>
        </w:rPr>
      </w:pPr>
      <w:r>
        <w:rPr>
          <w:rFonts w:hint="eastAsia" w:ascii="宋体" w:hAnsi="宋体" w:eastAsia="宋体" w:cs="宋体"/>
        </w:rPr>
        <w:t>地址：</w:t>
      </w:r>
    </w:p>
    <w:p w14:paraId="37BEA9D0">
      <w:pPr>
        <w:spacing w:line="440" w:lineRule="exact"/>
        <w:ind w:firstLine="210" w:firstLineChars="100"/>
        <w:rPr>
          <w:rFonts w:ascii="宋体" w:hAnsi="宋体" w:eastAsia="宋体" w:cs="Times New Roman"/>
        </w:rPr>
      </w:pPr>
      <w:r>
        <w:rPr>
          <w:rFonts w:hint="eastAsia" w:ascii="宋体" w:hAnsi="宋体" w:eastAsia="宋体" w:cs="宋体"/>
        </w:rPr>
        <w:t>邮编：</w:t>
      </w:r>
    </w:p>
    <w:p w14:paraId="3C04BB84">
      <w:pPr>
        <w:spacing w:line="440" w:lineRule="exact"/>
        <w:ind w:firstLine="210" w:firstLineChars="100"/>
        <w:rPr>
          <w:rFonts w:ascii="宋体" w:hAnsi="宋体" w:eastAsia="宋体" w:cs="Times New Roman"/>
        </w:rPr>
      </w:pPr>
      <w:r>
        <w:rPr>
          <w:rFonts w:hint="eastAsia" w:ascii="宋体" w:hAnsi="宋体" w:eastAsia="宋体" w:cs="宋体"/>
        </w:rPr>
        <w:t>被投诉人</w:t>
      </w:r>
      <w:r>
        <w:rPr>
          <w:rFonts w:ascii="宋体" w:hAnsi="宋体" w:eastAsia="宋体" w:cs="宋体"/>
        </w:rPr>
        <w:t>1</w:t>
      </w:r>
      <w:r>
        <w:rPr>
          <w:rFonts w:hint="eastAsia" w:ascii="宋体" w:hAnsi="宋体" w:eastAsia="宋体" w:cs="宋体"/>
        </w:rPr>
        <w:t>：</w:t>
      </w:r>
    </w:p>
    <w:p w14:paraId="7302AF64">
      <w:pPr>
        <w:spacing w:line="440" w:lineRule="exact"/>
        <w:ind w:firstLine="210" w:firstLineChars="100"/>
        <w:rPr>
          <w:rFonts w:ascii="宋体" w:hAnsi="宋体" w:eastAsia="宋体" w:cs="Times New Roman"/>
        </w:rPr>
      </w:pPr>
      <w:r>
        <w:rPr>
          <w:rFonts w:hint="eastAsia" w:ascii="宋体" w:hAnsi="宋体" w:eastAsia="宋体" w:cs="宋体"/>
        </w:rPr>
        <w:t>地址：</w:t>
      </w:r>
    </w:p>
    <w:p w14:paraId="62ADB621">
      <w:pPr>
        <w:spacing w:line="440" w:lineRule="exact"/>
        <w:ind w:firstLine="210" w:firstLineChars="100"/>
        <w:rPr>
          <w:rFonts w:ascii="宋体" w:hAnsi="宋体" w:eastAsia="宋体" w:cs="Times New Roman"/>
        </w:rPr>
      </w:pPr>
      <w:r>
        <w:rPr>
          <w:rFonts w:hint="eastAsia" w:ascii="宋体" w:hAnsi="宋体" w:eastAsia="宋体" w:cs="宋体"/>
        </w:rPr>
        <w:t>邮编：</w:t>
      </w:r>
    </w:p>
    <w:p w14:paraId="7D820934">
      <w:pPr>
        <w:spacing w:line="440" w:lineRule="exact"/>
        <w:ind w:firstLine="210" w:firstLineChars="100"/>
        <w:rPr>
          <w:rFonts w:ascii="宋体" w:hAnsi="宋体" w:eastAsia="宋体" w:cs="Times New Roman"/>
        </w:rPr>
      </w:pPr>
      <w:r>
        <w:rPr>
          <w:rFonts w:hint="eastAsia" w:ascii="宋体" w:hAnsi="宋体" w:eastAsia="宋体" w:cs="宋体"/>
        </w:rPr>
        <w:t>联系人：</w:t>
      </w:r>
      <w:r>
        <w:rPr>
          <w:rFonts w:ascii="宋体" w:hAnsi="宋体" w:eastAsia="宋体" w:cs="宋体"/>
        </w:rPr>
        <w:t xml:space="preserve">                </w:t>
      </w:r>
      <w:r>
        <w:rPr>
          <w:rFonts w:hint="eastAsia" w:ascii="宋体" w:hAnsi="宋体" w:eastAsia="宋体" w:cs="宋体"/>
        </w:rPr>
        <w:t>联系电话：</w:t>
      </w:r>
    </w:p>
    <w:p w14:paraId="2E098561">
      <w:pPr>
        <w:spacing w:line="440" w:lineRule="exact"/>
        <w:ind w:firstLine="210" w:firstLineChars="100"/>
        <w:rPr>
          <w:rFonts w:ascii="宋体" w:hAnsi="宋体" w:eastAsia="宋体" w:cs="Times New Roman"/>
        </w:rPr>
      </w:pPr>
      <w:r>
        <w:rPr>
          <w:rFonts w:hint="eastAsia" w:ascii="宋体" w:hAnsi="宋体" w:eastAsia="宋体" w:cs="宋体"/>
        </w:rPr>
        <w:t>被投诉人</w:t>
      </w:r>
      <w:r>
        <w:rPr>
          <w:rFonts w:ascii="宋体" w:hAnsi="宋体" w:eastAsia="宋体" w:cs="宋体"/>
        </w:rPr>
        <w:t>2</w:t>
      </w:r>
      <w:r>
        <w:rPr>
          <w:rFonts w:hint="eastAsia" w:ascii="宋体" w:hAnsi="宋体" w:eastAsia="宋体" w:cs="宋体"/>
        </w:rPr>
        <w:t>：</w:t>
      </w:r>
    </w:p>
    <w:p w14:paraId="577DF504">
      <w:pPr>
        <w:spacing w:line="440" w:lineRule="exact"/>
        <w:ind w:firstLine="420" w:firstLineChars="200"/>
        <w:rPr>
          <w:rFonts w:ascii="宋体" w:hAnsi="宋体" w:eastAsia="宋体" w:cs="Times New Roman"/>
        </w:rPr>
      </w:pPr>
      <w:r>
        <w:rPr>
          <w:rFonts w:hint="eastAsia" w:ascii="宋体" w:hAnsi="宋体" w:eastAsia="宋体" w:cs="宋体"/>
        </w:rPr>
        <w:t>……</w:t>
      </w:r>
    </w:p>
    <w:p w14:paraId="44814CCD">
      <w:pPr>
        <w:spacing w:line="440" w:lineRule="exact"/>
        <w:ind w:firstLine="210" w:firstLineChars="100"/>
        <w:rPr>
          <w:rFonts w:ascii="宋体" w:hAnsi="宋体" w:eastAsia="宋体" w:cs="Times New Roman"/>
        </w:rPr>
      </w:pPr>
      <w:r>
        <w:rPr>
          <w:rFonts w:hint="eastAsia" w:ascii="宋体" w:hAnsi="宋体" w:eastAsia="宋体" w:cs="宋体"/>
        </w:rPr>
        <w:t>相关供应商：</w:t>
      </w:r>
    </w:p>
    <w:p w14:paraId="5E49D1F3">
      <w:pPr>
        <w:spacing w:line="440" w:lineRule="exact"/>
        <w:ind w:firstLine="210" w:firstLineChars="100"/>
        <w:rPr>
          <w:rFonts w:ascii="宋体" w:hAnsi="宋体" w:eastAsia="宋体" w:cs="Times New Roman"/>
        </w:rPr>
      </w:pPr>
      <w:r>
        <w:rPr>
          <w:rFonts w:hint="eastAsia" w:ascii="宋体" w:hAnsi="宋体" w:eastAsia="宋体" w:cs="宋体"/>
        </w:rPr>
        <w:t>地址：</w:t>
      </w:r>
      <w:r>
        <w:rPr>
          <w:rFonts w:ascii="宋体" w:hAnsi="宋体" w:eastAsia="宋体" w:cs="宋体"/>
        </w:rPr>
        <w:t xml:space="preserve">         </w:t>
      </w:r>
      <w:r>
        <w:rPr>
          <w:rFonts w:hint="eastAsia" w:ascii="宋体" w:hAnsi="宋体" w:eastAsia="宋体" w:cs="宋体"/>
        </w:rPr>
        <w:t>邮编：</w:t>
      </w:r>
    </w:p>
    <w:p w14:paraId="7B3BF819">
      <w:pPr>
        <w:spacing w:line="440" w:lineRule="exact"/>
        <w:ind w:firstLine="210" w:firstLineChars="100"/>
        <w:rPr>
          <w:rFonts w:ascii="宋体" w:hAnsi="宋体" w:eastAsia="宋体" w:cs="Times New Roman"/>
        </w:rPr>
      </w:pPr>
      <w:r>
        <w:rPr>
          <w:rFonts w:hint="eastAsia" w:ascii="宋体" w:hAnsi="宋体" w:eastAsia="宋体" w:cs="宋体"/>
        </w:rPr>
        <w:t>联系人：</w:t>
      </w:r>
      <w:r>
        <w:rPr>
          <w:rFonts w:ascii="宋体" w:hAnsi="宋体" w:eastAsia="宋体" w:cs="宋体"/>
        </w:rPr>
        <w:t xml:space="preserve">       </w:t>
      </w:r>
      <w:r>
        <w:rPr>
          <w:rFonts w:hint="eastAsia" w:ascii="宋体" w:hAnsi="宋体" w:eastAsia="宋体" w:cs="宋体"/>
        </w:rPr>
        <w:t>联系电话：</w:t>
      </w:r>
    </w:p>
    <w:p w14:paraId="067FD470">
      <w:pPr>
        <w:spacing w:line="440" w:lineRule="exact"/>
        <w:ind w:firstLine="210" w:firstLineChars="100"/>
        <w:rPr>
          <w:rFonts w:ascii="宋体" w:hAnsi="宋体" w:eastAsia="宋体" w:cs="Times New Roman"/>
        </w:rPr>
      </w:pPr>
      <w:r>
        <w:rPr>
          <w:rFonts w:hint="eastAsia" w:ascii="宋体" w:hAnsi="宋体" w:eastAsia="宋体" w:cs="宋体"/>
        </w:rPr>
        <w:t>二、投诉项目基本情况：</w:t>
      </w:r>
    </w:p>
    <w:p w14:paraId="56A656B8">
      <w:pPr>
        <w:spacing w:line="440" w:lineRule="exact"/>
        <w:ind w:firstLine="210" w:firstLineChars="100"/>
        <w:rPr>
          <w:rFonts w:ascii="宋体" w:hAnsi="宋体" w:eastAsia="宋体" w:cs="Times New Roman"/>
        </w:rPr>
      </w:pPr>
      <w:r>
        <w:rPr>
          <w:rFonts w:hint="eastAsia" w:ascii="宋体" w:hAnsi="宋体" w:eastAsia="宋体" w:cs="宋体"/>
        </w:rPr>
        <w:t>采购项目的名称：</w:t>
      </w:r>
    </w:p>
    <w:p w14:paraId="462C585F">
      <w:pPr>
        <w:spacing w:line="440" w:lineRule="exact"/>
        <w:ind w:firstLine="210" w:firstLineChars="100"/>
        <w:rPr>
          <w:rFonts w:ascii="宋体" w:hAnsi="宋体" w:eastAsia="宋体" w:cs="Times New Roman"/>
        </w:rPr>
      </w:pPr>
      <w:r>
        <w:rPr>
          <w:rFonts w:hint="eastAsia" w:ascii="宋体" w:hAnsi="宋体" w:eastAsia="宋体" w:cs="宋体"/>
        </w:rPr>
        <w:t>采购项目的编号：</w:t>
      </w:r>
    </w:p>
    <w:p w14:paraId="59ECB956">
      <w:pPr>
        <w:spacing w:line="440" w:lineRule="exact"/>
        <w:ind w:firstLine="210" w:firstLineChars="100"/>
        <w:rPr>
          <w:rFonts w:ascii="宋体" w:hAnsi="宋体" w:eastAsia="宋体" w:cs="Times New Roman"/>
        </w:rPr>
      </w:pPr>
      <w:r>
        <w:rPr>
          <w:rFonts w:hint="eastAsia" w:ascii="宋体" w:hAnsi="宋体" w:eastAsia="宋体" w:cs="宋体"/>
        </w:rPr>
        <w:t>采购人名称：</w:t>
      </w:r>
    </w:p>
    <w:p w14:paraId="20BA9FD0">
      <w:pPr>
        <w:spacing w:line="440" w:lineRule="exact"/>
        <w:ind w:firstLine="210" w:firstLineChars="100"/>
        <w:rPr>
          <w:rFonts w:ascii="宋体" w:hAnsi="宋体" w:eastAsia="宋体" w:cs="Times New Roman"/>
        </w:rPr>
      </w:pPr>
      <w:r>
        <w:rPr>
          <w:rFonts w:hint="eastAsia" w:ascii="宋体" w:hAnsi="宋体" w:eastAsia="宋体" w:cs="宋体"/>
        </w:rPr>
        <w:t>代理机构名称：</w:t>
      </w:r>
    </w:p>
    <w:p w14:paraId="04E5004F">
      <w:pPr>
        <w:spacing w:line="440" w:lineRule="exact"/>
        <w:ind w:firstLine="210" w:firstLineChars="100"/>
        <w:rPr>
          <w:rFonts w:ascii="宋体" w:hAnsi="宋体" w:eastAsia="宋体" w:cs="Times New Roman"/>
        </w:rPr>
      </w:pPr>
      <w:r>
        <w:rPr>
          <w:rFonts w:hint="eastAsia" w:ascii="宋体" w:hAnsi="宋体" w:eastAsia="宋体" w:cs="宋体"/>
        </w:rPr>
        <w:t>招标文件公告：是</w:t>
      </w:r>
      <w:r>
        <w:rPr>
          <w:rFonts w:ascii="宋体" w:hAnsi="宋体" w:eastAsia="宋体" w:cs="宋体"/>
        </w:rPr>
        <w:t>/</w:t>
      </w:r>
      <w:r>
        <w:rPr>
          <w:rFonts w:hint="eastAsia" w:ascii="宋体" w:hAnsi="宋体" w:eastAsia="宋体" w:cs="宋体"/>
        </w:rPr>
        <w:t>否公告期限：</w:t>
      </w:r>
    </w:p>
    <w:p w14:paraId="77198722">
      <w:pPr>
        <w:spacing w:line="440" w:lineRule="exact"/>
        <w:ind w:firstLine="210" w:firstLineChars="100"/>
        <w:rPr>
          <w:rFonts w:ascii="宋体" w:hAnsi="宋体" w:eastAsia="宋体" w:cs="Times New Roman"/>
        </w:rPr>
      </w:pPr>
      <w:r>
        <w:rPr>
          <w:rFonts w:hint="eastAsia" w:ascii="宋体" w:hAnsi="宋体" w:eastAsia="宋体" w:cs="宋体"/>
        </w:rPr>
        <w:t>采购结果公告：是</w:t>
      </w:r>
      <w:r>
        <w:rPr>
          <w:rFonts w:ascii="宋体" w:hAnsi="宋体" w:eastAsia="宋体" w:cs="宋体"/>
        </w:rPr>
        <w:t>/</w:t>
      </w:r>
      <w:r>
        <w:rPr>
          <w:rFonts w:hint="eastAsia" w:ascii="宋体" w:hAnsi="宋体" w:eastAsia="宋体" w:cs="宋体"/>
        </w:rPr>
        <w:t>否公告期限：</w:t>
      </w:r>
    </w:p>
    <w:p w14:paraId="49CA4448">
      <w:pPr>
        <w:spacing w:line="440" w:lineRule="exact"/>
        <w:ind w:firstLine="210" w:firstLineChars="100"/>
        <w:rPr>
          <w:rFonts w:ascii="宋体" w:hAnsi="宋体" w:eastAsia="宋体" w:cs="Times New Roman"/>
        </w:rPr>
      </w:pPr>
      <w:r>
        <w:rPr>
          <w:rFonts w:hint="eastAsia" w:ascii="宋体" w:hAnsi="宋体" w:eastAsia="宋体" w:cs="宋体"/>
        </w:rPr>
        <w:t>三、质疑基本情况</w:t>
      </w:r>
    </w:p>
    <w:p w14:paraId="7010D092">
      <w:pPr>
        <w:spacing w:line="440" w:lineRule="exact"/>
        <w:ind w:firstLine="210" w:firstLineChars="100"/>
        <w:rPr>
          <w:rFonts w:ascii="宋体" w:hAnsi="宋体" w:eastAsia="宋体" w:cs="Times New Roman"/>
        </w:rPr>
      </w:pPr>
      <w:r>
        <w:rPr>
          <w:rFonts w:hint="eastAsia" w:ascii="宋体" w:hAnsi="宋体" w:eastAsia="宋体" w:cs="宋体"/>
        </w:rPr>
        <w:t>投诉人于年月日，向提出质疑，质疑事项为：</w:t>
      </w:r>
    </w:p>
    <w:p w14:paraId="78DEEDC9">
      <w:pPr>
        <w:spacing w:line="440" w:lineRule="exact"/>
        <w:ind w:firstLine="420" w:firstLineChars="200"/>
        <w:rPr>
          <w:rFonts w:ascii="宋体" w:hAnsi="宋体" w:eastAsia="宋体" w:cs="Times New Roman"/>
        </w:rPr>
      </w:pPr>
    </w:p>
    <w:p w14:paraId="35660B5A">
      <w:pPr>
        <w:spacing w:line="440" w:lineRule="exact"/>
        <w:ind w:firstLine="420" w:firstLineChars="200"/>
        <w:rPr>
          <w:rFonts w:ascii="宋体" w:hAnsi="宋体" w:eastAsia="宋体" w:cs="Times New Roman"/>
        </w:rPr>
      </w:pPr>
    </w:p>
    <w:p w14:paraId="2B6A25ED">
      <w:pPr>
        <w:spacing w:line="440" w:lineRule="exact"/>
        <w:ind w:firstLine="210" w:firstLineChars="100"/>
        <w:rPr>
          <w:rFonts w:ascii="宋体" w:hAnsi="宋体" w:eastAsia="宋体" w:cs="宋体"/>
        </w:rPr>
      </w:pPr>
      <w:r>
        <w:rPr>
          <w:rFonts w:hint="eastAsia" w:ascii="宋体" w:hAnsi="宋体" w:eastAsia="宋体" w:cs="宋体"/>
        </w:rPr>
        <w:t>采购人</w:t>
      </w:r>
      <w:r>
        <w:rPr>
          <w:rFonts w:ascii="宋体" w:hAnsi="宋体" w:eastAsia="宋体" w:cs="宋体"/>
        </w:rPr>
        <w:t>/</w:t>
      </w:r>
      <w:r>
        <w:rPr>
          <w:rFonts w:hint="eastAsia" w:ascii="宋体" w:hAnsi="宋体" w:eastAsia="宋体" w:cs="宋体"/>
        </w:rPr>
        <w:t>代理机构于年月日，就质疑事项作出了答复</w:t>
      </w:r>
      <w:r>
        <w:rPr>
          <w:rFonts w:ascii="宋体" w:hAnsi="宋体" w:eastAsia="宋体" w:cs="宋体"/>
        </w:rPr>
        <w:t>/</w:t>
      </w:r>
      <w:r>
        <w:rPr>
          <w:rFonts w:hint="eastAsia" w:ascii="宋体" w:hAnsi="宋体" w:eastAsia="宋体" w:cs="宋体"/>
        </w:rPr>
        <w:t>没有在法定期限内作出答复。</w:t>
      </w:r>
      <w:r>
        <w:rPr>
          <w:rFonts w:ascii="宋体" w:hAnsi="宋体" w:eastAsia="宋体" w:cs="宋体"/>
        </w:rPr>
        <w:t xml:space="preserve">                                                                                             </w:t>
      </w:r>
    </w:p>
    <w:p w14:paraId="62CA58C4">
      <w:pPr>
        <w:spacing w:line="440" w:lineRule="exact"/>
        <w:ind w:firstLine="210" w:firstLineChars="100"/>
        <w:rPr>
          <w:rFonts w:ascii="宋体" w:hAnsi="宋体" w:eastAsia="宋体" w:cs="Times New Roman"/>
        </w:rPr>
      </w:pPr>
      <w:r>
        <w:rPr>
          <w:rFonts w:hint="eastAsia" w:ascii="宋体" w:hAnsi="宋体" w:eastAsia="宋体" w:cs="宋体"/>
        </w:rPr>
        <w:t>四、投诉事项具体内容</w:t>
      </w:r>
    </w:p>
    <w:p w14:paraId="3DAC5154">
      <w:pPr>
        <w:spacing w:line="440" w:lineRule="exact"/>
        <w:ind w:firstLine="210" w:firstLineChars="100"/>
        <w:rPr>
          <w:rFonts w:ascii="宋体" w:hAnsi="宋体" w:eastAsia="宋体" w:cs="Times New Roman"/>
        </w:rPr>
      </w:pPr>
      <w:r>
        <w:rPr>
          <w:rFonts w:hint="eastAsia" w:ascii="宋体" w:hAnsi="宋体" w:eastAsia="宋体" w:cs="宋体"/>
        </w:rPr>
        <w:t>投诉事项</w:t>
      </w:r>
      <w:r>
        <w:rPr>
          <w:rFonts w:ascii="宋体" w:hAnsi="宋体" w:eastAsia="宋体" w:cs="宋体"/>
        </w:rPr>
        <w:t>1</w:t>
      </w:r>
      <w:r>
        <w:rPr>
          <w:rFonts w:hint="eastAsia" w:ascii="宋体" w:hAnsi="宋体" w:eastAsia="宋体" w:cs="宋体"/>
        </w:rPr>
        <w:t>：</w:t>
      </w:r>
    </w:p>
    <w:p w14:paraId="6CE1BCAA">
      <w:pPr>
        <w:spacing w:line="440" w:lineRule="exact"/>
        <w:ind w:firstLine="210" w:firstLineChars="100"/>
        <w:rPr>
          <w:rFonts w:ascii="宋体" w:hAnsi="宋体" w:eastAsia="宋体" w:cs="Times New Roman"/>
        </w:rPr>
      </w:pPr>
      <w:r>
        <w:rPr>
          <w:rFonts w:hint="eastAsia" w:ascii="宋体" w:hAnsi="宋体" w:eastAsia="宋体" w:cs="宋体"/>
        </w:rPr>
        <w:t>事实依据：</w:t>
      </w:r>
    </w:p>
    <w:p w14:paraId="69166B48">
      <w:pPr>
        <w:spacing w:line="440" w:lineRule="exact"/>
        <w:ind w:firstLine="420" w:firstLineChars="200"/>
        <w:rPr>
          <w:rFonts w:ascii="宋体" w:hAnsi="宋体" w:eastAsia="宋体" w:cs="Times New Roman"/>
        </w:rPr>
      </w:pPr>
    </w:p>
    <w:p w14:paraId="00CA534B">
      <w:pPr>
        <w:spacing w:line="440" w:lineRule="exact"/>
        <w:ind w:firstLine="420" w:firstLineChars="200"/>
        <w:rPr>
          <w:rFonts w:ascii="宋体" w:hAnsi="宋体" w:eastAsia="宋体" w:cs="Times New Roman"/>
        </w:rPr>
      </w:pPr>
    </w:p>
    <w:p w14:paraId="23709B6E">
      <w:pPr>
        <w:spacing w:line="440" w:lineRule="exact"/>
        <w:ind w:firstLine="105" w:firstLineChars="50"/>
        <w:rPr>
          <w:rFonts w:ascii="宋体" w:hAnsi="宋体" w:eastAsia="宋体" w:cs="Times New Roman"/>
        </w:rPr>
      </w:pPr>
      <w:r>
        <w:rPr>
          <w:rFonts w:hint="eastAsia" w:ascii="宋体" w:hAnsi="宋体" w:eastAsia="宋体" w:cs="宋体"/>
        </w:rPr>
        <w:t>法律依据：</w:t>
      </w:r>
    </w:p>
    <w:p w14:paraId="5A5B462E">
      <w:pPr>
        <w:spacing w:line="440" w:lineRule="exact"/>
        <w:ind w:firstLine="420" w:firstLineChars="200"/>
        <w:rPr>
          <w:rFonts w:ascii="宋体" w:hAnsi="宋体" w:eastAsia="宋体" w:cs="Times New Roman"/>
        </w:rPr>
      </w:pPr>
    </w:p>
    <w:p w14:paraId="7692B14D">
      <w:pPr>
        <w:spacing w:line="440" w:lineRule="exact"/>
        <w:ind w:firstLine="105" w:firstLineChars="50"/>
        <w:rPr>
          <w:rFonts w:ascii="宋体" w:hAnsi="宋体" w:eastAsia="宋体" w:cs="宋体"/>
        </w:rPr>
      </w:pPr>
      <w:r>
        <w:rPr>
          <w:rFonts w:hint="eastAsia" w:ascii="宋体" w:hAnsi="宋体" w:eastAsia="宋体" w:cs="宋体"/>
        </w:rPr>
        <w:t>投诉事项</w:t>
      </w:r>
      <w:r>
        <w:rPr>
          <w:rFonts w:ascii="宋体" w:hAnsi="宋体" w:eastAsia="宋体" w:cs="宋体"/>
        </w:rPr>
        <w:t xml:space="preserve">2  </w:t>
      </w:r>
    </w:p>
    <w:p w14:paraId="2B13ED05">
      <w:pPr>
        <w:spacing w:line="440" w:lineRule="exact"/>
        <w:ind w:firstLine="420" w:firstLineChars="200"/>
        <w:rPr>
          <w:rFonts w:ascii="宋体" w:hAnsi="宋体" w:eastAsia="宋体" w:cs="Times New Roman"/>
        </w:rPr>
      </w:pPr>
      <w:r>
        <w:rPr>
          <w:rFonts w:hint="eastAsia" w:ascii="宋体" w:hAnsi="宋体" w:eastAsia="宋体" w:cs="宋体"/>
        </w:rPr>
        <w:t>……</w:t>
      </w:r>
    </w:p>
    <w:p w14:paraId="4DB14E0B">
      <w:pPr>
        <w:spacing w:line="440" w:lineRule="exact"/>
        <w:ind w:firstLine="105" w:firstLineChars="50"/>
        <w:rPr>
          <w:rFonts w:ascii="宋体" w:hAnsi="宋体" w:eastAsia="宋体" w:cs="Times New Roman"/>
        </w:rPr>
      </w:pPr>
      <w:r>
        <w:rPr>
          <w:rFonts w:hint="eastAsia" w:ascii="宋体" w:hAnsi="宋体" w:eastAsia="宋体" w:cs="宋体"/>
        </w:rPr>
        <w:t>五、与投诉事项相关的投诉请求：</w:t>
      </w:r>
    </w:p>
    <w:p w14:paraId="62722102">
      <w:pPr>
        <w:spacing w:line="440" w:lineRule="exact"/>
        <w:ind w:firstLine="525" w:firstLineChars="250"/>
        <w:rPr>
          <w:rFonts w:ascii="宋体" w:hAnsi="宋体" w:eastAsia="宋体" w:cs="Times New Roman"/>
        </w:rPr>
      </w:pPr>
      <w:r>
        <w:rPr>
          <w:rFonts w:hint="eastAsia" w:ascii="宋体" w:hAnsi="宋体" w:eastAsia="宋体" w:cs="宋体"/>
        </w:rPr>
        <w:t>请求：</w:t>
      </w:r>
    </w:p>
    <w:p w14:paraId="5B8C91C7">
      <w:pPr>
        <w:spacing w:line="440" w:lineRule="exact"/>
        <w:ind w:firstLine="420" w:firstLineChars="200"/>
        <w:rPr>
          <w:rFonts w:ascii="宋体" w:hAnsi="宋体" w:eastAsia="宋体" w:cs="Times New Roman"/>
        </w:rPr>
      </w:pPr>
    </w:p>
    <w:p w14:paraId="2E7A9D12">
      <w:pPr>
        <w:spacing w:line="440" w:lineRule="exact"/>
        <w:ind w:firstLine="420" w:firstLineChars="200"/>
        <w:rPr>
          <w:rFonts w:ascii="宋体" w:hAnsi="宋体" w:eastAsia="宋体" w:cs="Times New Roman"/>
        </w:rPr>
      </w:pPr>
      <w:r>
        <w:rPr>
          <w:rFonts w:hint="eastAsia" w:ascii="宋体" w:hAnsi="宋体" w:eastAsia="宋体" w:cs="宋体"/>
        </w:rPr>
        <w:t>签字（签章）：</w:t>
      </w:r>
      <w:r>
        <w:rPr>
          <w:rFonts w:ascii="宋体" w:hAnsi="宋体" w:eastAsia="宋体" w:cs="宋体"/>
        </w:rPr>
        <w:t xml:space="preserve">                                       </w:t>
      </w:r>
      <w:r>
        <w:rPr>
          <w:rFonts w:hint="eastAsia" w:ascii="宋体" w:hAnsi="宋体" w:eastAsia="宋体" w:cs="宋体"/>
        </w:rPr>
        <w:t>公章：</w:t>
      </w:r>
    </w:p>
    <w:p w14:paraId="474E4644">
      <w:pPr>
        <w:spacing w:line="440" w:lineRule="exact"/>
        <w:ind w:firstLine="420" w:firstLineChars="200"/>
        <w:rPr>
          <w:rFonts w:ascii="宋体" w:hAnsi="宋体" w:eastAsia="宋体" w:cs="Times New Roman"/>
        </w:rPr>
      </w:pPr>
    </w:p>
    <w:p w14:paraId="70BCC8ED">
      <w:pPr>
        <w:spacing w:line="440" w:lineRule="exact"/>
        <w:ind w:firstLine="420" w:firstLineChars="200"/>
        <w:rPr>
          <w:rFonts w:ascii="宋体" w:hAnsi="宋体" w:eastAsia="宋体" w:cs="Times New Roman"/>
        </w:rPr>
      </w:pPr>
      <w:r>
        <w:rPr>
          <w:rFonts w:hint="eastAsia" w:ascii="宋体" w:hAnsi="宋体" w:eastAsia="宋体" w:cs="宋体"/>
        </w:rPr>
        <w:t>日期：</w:t>
      </w:r>
    </w:p>
    <w:p w14:paraId="59620DC9">
      <w:pPr>
        <w:spacing w:line="440" w:lineRule="exact"/>
        <w:ind w:firstLine="480" w:firstLineChars="200"/>
        <w:rPr>
          <w:rFonts w:ascii="宋体" w:hAnsi="宋体" w:eastAsia="宋体" w:cs="Times New Roman"/>
          <w:sz w:val="24"/>
          <w:szCs w:val="24"/>
        </w:rPr>
      </w:pPr>
    </w:p>
    <w:p w14:paraId="0656828B">
      <w:pPr>
        <w:spacing w:line="440" w:lineRule="exact"/>
        <w:ind w:firstLine="480" w:firstLineChars="200"/>
        <w:rPr>
          <w:rFonts w:ascii="宋体" w:hAnsi="宋体" w:eastAsia="宋体" w:cs="Times New Roman"/>
          <w:sz w:val="24"/>
          <w:szCs w:val="24"/>
        </w:rPr>
      </w:pPr>
    </w:p>
    <w:p w14:paraId="48BAF2CC">
      <w:pPr>
        <w:spacing w:line="440" w:lineRule="exact"/>
        <w:ind w:firstLine="422" w:firstLineChars="200"/>
        <w:rPr>
          <w:rFonts w:ascii="宋体" w:hAnsi="宋体" w:eastAsia="宋体" w:cs="Times New Roman"/>
          <w:b/>
          <w:bCs/>
        </w:rPr>
      </w:pPr>
      <w:r>
        <w:rPr>
          <w:rFonts w:hint="eastAsia" w:ascii="宋体" w:hAnsi="宋体" w:eastAsia="宋体" w:cs="宋体"/>
          <w:b/>
          <w:bCs/>
        </w:rPr>
        <w:t>说明：</w:t>
      </w:r>
    </w:p>
    <w:p w14:paraId="143D8DDC">
      <w:pPr>
        <w:spacing w:line="440" w:lineRule="exact"/>
        <w:ind w:firstLine="422" w:firstLineChars="200"/>
        <w:rPr>
          <w:rFonts w:ascii="宋体" w:hAnsi="宋体" w:eastAsia="宋体" w:cs="Times New Roman"/>
          <w:b/>
          <w:bCs/>
        </w:rPr>
      </w:pPr>
      <w:r>
        <w:rPr>
          <w:rFonts w:ascii="宋体" w:hAnsi="宋体" w:eastAsia="宋体" w:cs="宋体"/>
          <w:b/>
          <w:bCs/>
        </w:rPr>
        <w:t>1.</w:t>
      </w:r>
      <w:r>
        <w:rPr>
          <w:rFonts w:hint="eastAsia" w:ascii="宋体" w:hAnsi="宋体" w:eastAsia="宋体" w:cs="宋体"/>
          <w:b/>
          <w:bCs/>
        </w:rPr>
        <w:t>投诉人提起投诉时，应当提交投诉书和必要的证明材料，并按照被投诉人和与投诉事项有关的供应商数量提供投诉书副本。</w:t>
      </w:r>
    </w:p>
    <w:p w14:paraId="6F5C7D8D">
      <w:pPr>
        <w:spacing w:line="440" w:lineRule="exact"/>
        <w:ind w:firstLine="422" w:firstLineChars="200"/>
        <w:rPr>
          <w:rFonts w:ascii="宋体" w:hAnsi="宋体" w:eastAsia="宋体" w:cs="Times New Roman"/>
          <w:b/>
          <w:bCs/>
        </w:rPr>
      </w:pPr>
      <w:r>
        <w:rPr>
          <w:rFonts w:ascii="宋体" w:hAnsi="宋体" w:eastAsia="宋体" w:cs="宋体"/>
          <w:b/>
          <w:bCs/>
        </w:rPr>
        <w:t>2.</w:t>
      </w:r>
      <w:r>
        <w:rPr>
          <w:rFonts w:hint="eastAsia" w:ascii="宋体" w:hAnsi="宋体" w:eastAsia="宋体" w:cs="宋体"/>
          <w:b/>
          <w:bCs/>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55D74313">
      <w:pPr>
        <w:spacing w:line="440" w:lineRule="exact"/>
        <w:ind w:firstLine="422" w:firstLineChars="200"/>
        <w:rPr>
          <w:rFonts w:ascii="宋体" w:hAnsi="宋体" w:eastAsia="宋体" w:cs="Times New Roman"/>
          <w:b/>
          <w:bCs/>
        </w:rPr>
      </w:pPr>
      <w:r>
        <w:rPr>
          <w:rFonts w:ascii="宋体" w:hAnsi="宋体" w:eastAsia="宋体" w:cs="宋体"/>
          <w:b/>
          <w:bCs/>
        </w:rPr>
        <w:t>3.</w:t>
      </w:r>
      <w:r>
        <w:rPr>
          <w:rFonts w:hint="eastAsia" w:ascii="宋体" w:hAnsi="宋体" w:eastAsia="宋体" w:cs="宋体"/>
          <w:b/>
          <w:bCs/>
        </w:rPr>
        <w:t>投诉书应简要列明质疑事项，质疑函、质疑答复等作为附件材料提供。</w:t>
      </w:r>
    </w:p>
    <w:p w14:paraId="6BC29FB0">
      <w:pPr>
        <w:spacing w:line="440" w:lineRule="exact"/>
        <w:ind w:firstLine="422" w:firstLineChars="200"/>
        <w:rPr>
          <w:rFonts w:ascii="宋体" w:hAnsi="宋体" w:eastAsia="宋体" w:cs="Times New Roman"/>
          <w:b/>
          <w:bCs/>
        </w:rPr>
      </w:pPr>
      <w:r>
        <w:rPr>
          <w:rFonts w:ascii="宋体" w:hAnsi="宋体" w:eastAsia="宋体" w:cs="宋体"/>
          <w:b/>
          <w:bCs/>
        </w:rPr>
        <w:t>4.</w:t>
      </w:r>
      <w:r>
        <w:rPr>
          <w:rFonts w:hint="eastAsia" w:ascii="宋体" w:hAnsi="宋体" w:eastAsia="宋体" w:cs="宋体"/>
          <w:b/>
          <w:bCs/>
        </w:rPr>
        <w:t>投诉书的投诉事项应具体、明确，并有必要的事实依据和法律依据。</w:t>
      </w:r>
    </w:p>
    <w:p w14:paraId="0EC5629F">
      <w:pPr>
        <w:spacing w:line="440" w:lineRule="exact"/>
        <w:ind w:firstLine="422" w:firstLineChars="200"/>
        <w:rPr>
          <w:rFonts w:ascii="宋体" w:hAnsi="宋体" w:eastAsia="宋体" w:cs="Times New Roman"/>
          <w:b/>
          <w:bCs/>
        </w:rPr>
      </w:pPr>
      <w:r>
        <w:rPr>
          <w:rFonts w:ascii="宋体" w:hAnsi="宋体" w:eastAsia="宋体" w:cs="宋体"/>
          <w:b/>
          <w:bCs/>
        </w:rPr>
        <w:t>5.</w:t>
      </w:r>
      <w:r>
        <w:rPr>
          <w:rFonts w:hint="eastAsia" w:ascii="宋体" w:hAnsi="宋体" w:eastAsia="宋体" w:cs="宋体"/>
          <w:b/>
          <w:bCs/>
        </w:rPr>
        <w:t>投诉书的投诉请求应与投诉事项相关。</w:t>
      </w:r>
    </w:p>
    <w:p w14:paraId="220D0CBC">
      <w:pPr>
        <w:spacing w:line="440" w:lineRule="exact"/>
        <w:ind w:firstLine="422" w:firstLineChars="200"/>
        <w:rPr>
          <w:rFonts w:ascii="宋体" w:hAnsi="宋体" w:eastAsia="宋体" w:cs="Times New Roman"/>
          <w:b/>
          <w:bCs/>
        </w:rPr>
      </w:pPr>
      <w:r>
        <w:rPr>
          <w:rFonts w:ascii="宋体" w:hAnsi="宋体" w:eastAsia="宋体" w:cs="宋体"/>
          <w:b/>
          <w:bCs/>
        </w:rPr>
        <w:t>6.</w:t>
      </w:r>
      <w:r>
        <w:rPr>
          <w:rFonts w:hint="eastAsia" w:ascii="宋体" w:hAnsi="宋体" w:eastAsia="宋体" w:cs="宋体"/>
          <w:b/>
          <w:bCs/>
        </w:rPr>
        <w:t>投诉人为法人或者其他组织的，投诉书应由法定代表人、主要负责人，或者其授权代表签字或者盖章，并加盖公章。</w:t>
      </w:r>
    </w:p>
    <w:p w14:paraId="6F42EC15">
      <w:pPr>
        <w:spacing w:line="440" w:lineRule="exact"/>
        <w:ind w:firstLine="480" w:firstLineChars="200"/>
        <w:rPr>
          <w:rFonts w:ascii="宋体" w:hAnsi="宋体" w:eastAsia="宋体" w:cs="Times New Roman"/>
          <w:sz w:val="24"/>
          <w:szCs w:val="24"/>
        </w:rPr>
      </w:pPr>
    </w:p>
    <w:p w14:paraId="0A51E15A">
      <w:pPr>
        <w:spacing w:line="440" w:lineRule="exact"/>
        <w:ind w:firstLine="480" w:firstLineChars="200"/>
        <w:jc w:val="left"/>
        <w:rPr>
          <w:rFonts w:ascii="宋体" w:hAnsi="宋体" w:eastAsia="宋体" w:cs="Times New Roman"/>
          <w:sz w:val="24"/>
          <w:szCs w:val="24"/>
        </w:rPr>
      </w:pPr>
    </w:p>
    <w:sectPr>
      <w:headerReference r:id="rId7" w:type="default"/>
      <w:footerReference r:id="rId8" w:type="default"/>
      <w:pgSz w:w="11906" w:h="16838"/>
      <w:pgMar w:top="1247" w:right="1361" w:bottom="1247" w:left="1361"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AEF6A">
    <w:pPr>
      <w:pStyle w:val="28"/>
      <w:jc w:val="center"/>
    </w:pPr>
    <w:r>
      <w:fldChar w:fldCharType="begin"/>
    </w:r>
    <w:r>
      <w:instrText xml:space="preserve"> PAGE   \* MERGEFORMAT </w:instrText>
    </w:r>
    <w:r>
      <w:fldChar w:fldCharType="separate"/>
    </w:r>
    <w:r>
      <w:rPr>
        <w:lang w:val="zh-CN"/>
      </w:rPr>
      <w:t>10</w:t>
    </w:r>
    <w:r>
      <w:rPr>
        <w:lang w:val="zh-CN"/>
      </w:rPr>
      <w:fldChar w:fldCharType="end"/>
    </w:r>
  </w:p>
  <w:p w14:paraId="331C6CA1">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281A">
    <w:pPr>
      <w:spacing w:line="1" w:lineRule="exact"/>
      <w:rPr>
        <w:rFonts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C8A0CD">
                          <w:pPr>
                            <w:pStyle w:val="28"/>
                          </w:pPr>
                          <w:r>
                            <w:fldChar w:fldCharType="begin"/>
                          </w:r>
                          <w:r>
                            <w:instrText xml:space="preserve"> PAGE  \* MERGEFORMAT </w:instrText>
                          </w:r>
                          <w:r>
                            <w:fldChar w:fldCharType="separate"/>
                          </w:r>
                          <w:r>
                            <w:t>77</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5EC8A0CD">
                    <w:pPr>
                      <w:pStyle w:val="2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3931">
    <w:pPr>
      <w:spacing w:line="1" w:lineRule="exact"/>
      <w:rPr>
        <w:rFonts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8728E">
                          <w:pPr>
                            <w:pStyle w:val="28"/>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14:paraId="0B48728E">
                    <w:pPr>
                      <w:pStyle w:val="2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69235">
    <w:pPr>
      <w:spacing w:line="1" w:lineRule="exact"/>
      <w:rPr>
        <w:rFonts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16255">
                          <w:pPr>
                            <w:pStyle w:val="28"/>
                          </w:pPr>
                          <w:r>
                            <w:fldChar w:fldCharType="begin"/>
                          </w:r>
                          <w:r>
                            <w:instrText xml:space="preserve"> PAGE  \* MERGEFORMAT </w:instrText>
                          </w:r>
                          <w:r>
                            <w:fldChar w:fldCharType="separate"/>
                          </w:r>
                          <w:r>
                            <w:t>141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BTYM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UFNgyQEAAJkDAAAOAAAAAAAAAAEAIAAAAB4BAABkcnMvZTJvRG9j&#10;LnhtbFBLBQYAAAAABgAGAFkBAABZBQAAAAA=&#10;">
              <v:fill on="f" focussize="0,0"/>
              <v:stroke on="f"/>
              <v:imagedata o:title=""/>
              <o:lock v:ext="edit" aspectratio="f"/>
              <v:textbox inset="0mm,0mm,0mm,0mm" style="mso-fit-shape-to-text:t;">
                <w:txbxContent>
                  <w:p w14:paraId="5D816255">
                    <w:pPr>
                      <w:pStyle w:val="28"/>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BE7B">
    <w:pPr>
      <w:spacing w:line="177" w:lineRule="auto"/>
      <w:ind w:left="5236"/>
      <w:rPr>
        <w:rFonts w:ascii="Calibri" w:hAnsi="Calibri" w:eastAsia="Times New Roman" w:cs="Times New Roman"/>
        <w:sz w:val="18"/>
        <w:szCs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B14461">
                          <w:pPr>
                            <w:pStyle w:val="28"/>
                          </w:pPr>
                          <w:r>
                            <w:fldChar w:fldCharType="begin"/>
                          </w:r>
                          <w:r>
                            <w:instrText xml:space="preserve"> PAGE  \* MERGEFORMAT </w:instrText>
                          </w:r>
                          <w:r>
                            <w:fldChar w:fldCharType="separate"/>
                          </w:r>
                          <w:r>
                            <w:t>147</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YlwYskBAACZAwAADgAAAGRycy9lMm9Eb2MueG1srVPNjtMwEL4j8Q6W&#10;79RpJ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r&#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iXBiyQEAAJkDAAAOAAAAAAAAAAEAIAAAAB4BAABkcnMvZTJvRG9j&#10;LnhtbFBLBQYAAAAABgAGAFkBAABZBQAAAAA=&#10;">
              <v:fill on="f" focussize="0,0"/>
              <v:stroke on="f"/>
              <v:imagedata o:title=""/>
              <o:lock v:ext="edit" aspectratio="f"/>
              <v:textbox inset="0mm,0mm,0mm,0mm" style="mso-fit-shape-to-text:t;">
                <w:txbxContent>
                  <w:p w14:paraId="77B14461">
                    <w:pPr>
                      <w:pStyle w:val="28"/>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A64E">
    <w:pPr>
      <w:spacing w:line="29" w:lineRule="auto"/>
      <w:rPr>
        <w:rFonts w:cs="Times New Roman"/>
        <w:sz w:val="2"/>
        <w:szCs w:val="2"/>
      </w:rPr>
    </w:pPr>
    <w:r>
      <mc:AlternateContent>
        <mc:Choice Requires="wps">
          <w:drawing>
            <wp:anchor distT="0" distB="0" distL="114300" distR="114300" simplePos="0" relativeHeight="251664384" behindDoc="0" locked="0" layoutInCell="0" allowOverlap="1">
              <wp:simplePos x="0" y="0"/>
              <wp:positionH relativeFrom="page">
                <wp:posOffset>504825</wp:posOffset>
              </wp:positionH>
              <wp:positionV relativeFrom="page">
                <wp:posOffset>151765</wp:posOffset>
              </wp:positionV>
              <wp:extent cx="6686550" cy="1905"/>
              <wp:effectExtent l="0" t="0" r="0" b="0"/>
              <wp:wrapNone/>
              <wp:docPr id="5" name="矩形 4"/>
              <wp:cNvGraphicFramePr/>
              <a:graphic xmlns:a="http://schemas.openxmlformats.org/drawingml/2006/main">
                <a:graphicData uri="http://schemas.microsoft.com/office/word/2010/wordprocessingShape">
                  <wps:wsp>
                    <wps:cNvSpPr/>
                    <wps:spPr>
                      <a:xfrm>
                        <a:off x="0" y="0"/>
                        <a:ext cx="6686550" cy="1905"/>
                      </a:xfrm>
                      <a:prstGeom prst="rect">
                        <a:avLst/>
                      </a:prstGeom>
                      <a:solidFill>
                        <a:srgbClr val="000000"/>
                      </a:solidFill>
                      <a:ln>
                        <a:noFill/>
                      </a:ln>
                    </wps:spPr>
                    <wps:bodyPr upright="1"/>
                  </wps:wsp>
                </a:graphicData>
              </a:graphic>
            </wp:anchor>
          </w:drawing>
        </mc:Choice>
        <mc:Fallback>
          <w:pict>
            <v:rect id="矩形 4" o:spid="_x0000_s1026" o:spt="1" style="position:absolute;left:0pt;margin-left:39.75pt;margin-top:11.95pt;height:0.15pt;width:526.5pt;mso-position-horizontal-relative:page;mso-position-vertical-relative:page;z-index:251664384;mso-width-relative:page;mso-height-relative:page;" fillcolor="#000000" filled="t" stroked="f" coordsize="21600,21600" o:allowincell="f" o:gfxdata="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X0cVNgA&#10;AAAJAQAADwAAAAAAAAABACAAAAAiAAAAZHJzL2Rvd25yZXYueG1sUEsBAhQAFAAAAAgAh07iQEVE&#10;L4OtAQAAXQMAAA4AAAAAAAAAAQAgAAAAJwEAAGRycy9lMm9Eb2MueG1sUEsFBgAAAAAGAAYAWQEA&#10;AEYFA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81E1A"/>
    <w:multiLevelType w:val="singleLevel"/>
    <w:tmpl w:val="F2A81E1A"/>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1">
    <w:nsid w:val="252BF6AB"/>
    <w:multiLevelType w:val="singleLevel"/>
    <w:tmpl w:val="252BF6AB"/>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2">
    <w:nsid w:val="4AD1D84F"/>
    <w:multiLevelType w:val="singleLevel"/>
    <w:tmpl w:val="4AD1D84F"/>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3">
    <w:nsid w:val="77633218"/>
    <w:multiLevelType w:val="singleLevel"/>
    <w:tmpl w:val="77633218"/>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4">
    <w:nsid w:val="77633219"/>
    <w:multiLevelType w:val="singleLevel"/>
    <w:tmpl w:val="77633219"/>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5">
    <w:nsid w:val="7763321A"/>
    <w:multiLevelType w:val="singleLevel"/>
    <w:tmpl w:val="7763321A"/>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6">
    <w:nsid w:val="7763321B"/>
    <w:multiLevelType w:val="singleLevel"/>
    <w:tmpl w:val="7763321B"/>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7">
    <w:nsid w:val="7763321C"/>
    <w:multiLevelType w:val="singleLevel"/>
    <w:tmpl w:val="7763321C"/>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8">
    <w:nsid w:val="7763321D"/>
    <w:multiLevelType w:val="singleLevel"/>
    <w:tmpl w:val="7763321D"/>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9">
    <w:nsid w:val="7763321E"/>
    <w:multiLevelType w:val="singleLevel"/>
    <w:tmpl w:val="7763321E"/>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10">
    <w:nsid w:val="7763321F"/>
    <w:multiLevelType w:val="singleLevel"/>
    <w:tmpl w:val="7763321F"/>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11">
    <w:nsid w:val="77633220"/>
    <w:multiLevelType w:val="singleLevel"/>
    <w:tmpl w:val="77633220"/>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12">
    <w:nsid w:val="77633221"/>
    <w:multiLevelType w:val="singleLevel"/>
    <w:tmpl w:val="77633221"/>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13">
    <w:nsid w:val="77633222"/>
    <w:multiLevelType w:val="singleLevel"/>
    <w:tmpl w:val="77633222"/>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14">
    <w:nsid w:val="77633223"/>
    <w:multiLevelType w:val="singleLevel"/>
    <w:tmpl w:val="77633223"/>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15">
    <w:nsid w:val="77633224"/>
    <w:multiLevelType w:val="singleLevel"/>
    <w:tmpl w:val="77633224"/>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16">
    <w:nsid w:val="77633225"/>
    <w:multiLevelType w:val="singleLevel"/>
    <w:tmpl w:val="77633225"/>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17">
    <w:nsid w:val="77633226"/>
    <w:multiLevelType w:val="singleLevel"/>
    <w:tmpl w:val="77633226"/>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18">
    <w:nsid w:val="77633227"/>
    <w:multiLevelType w:val="singleLevel"/>
    <w:tmpl w:val="77633227"/>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19">
    <w:nsid w:val="77633228"/>
    <w:multiLevelType w:val="singleLevel"/>
    <w:tmpl w:val="77633228"/>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20">
    <w:nsid w:val="77633229"/>
    <w:multiLevelType w:val="singleLevel"/>
    <w:tmpl w:val="77633229"/>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21">
    <w:nsid w:val="7763322A"/>
    <w:multiLevelType w:val="singleLevel"/>
    <w:tmpl w:val="7763322A"/>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22">
    <w:nsid w:val="7763322B"/>
    <w:multiLevelType w:val="singleLevel"/>
    <w:tmpl w:val="7763322B"/>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23">
    <w:nsid w:val="7763322C"/>
    <w:multiLevelType w:val="singleLevel"/>
    <w:tmpl w:val="7763322C"/>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24">
    <w:nsid w:val="7763322D"/>
    <w:multiLevelType w:val="singleLevel"/>
    <w:tmpl w:val="7763322D"/>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25">
    <w:nsid w:val="7763322E"/>
    <w:multiLevelType w:val="singleLevel"/>
    <w:tmpl w:val="7763322E"/>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26">
    <w:nsid w:val="7763322F"/>
    <w:multiLevelType w:val="singleLevel"/>
    <w:tmpl w:val="7763322F"/>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27">
    <w:nsid w:val="77633230"/>
    <w:multiLevelType w:val="singleLevel"/>
    <w:tmpl w:val="77633230"/>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28">
    <w:nsid w:val="77633231"/>
    <w:multiLevelType w:val="singleLevel"/>
    <w:tmpl w:val="77633231"/>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29">
    <w:nsid w:val="77633232"/>
    <w:multiLevelType w:val="singleLevel"/>
    <w:tmpl w:val="77633232"/>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30">
    <w:nsid w:val="77633233"/>
    <w:multiLevelType w:val="singleLevel"/>
    <w:tmpl w:val="77633233"/>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31">
    <w:nsid w:val="77633234"/>
    <w:multiLevelType w:val="singleLevel"/>
    <w:tmpl w:val="77633234"/>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32">
    <w:nsid w:val="77633235"/>
    <w:multiLevelType w:val="singleLevel"/>
    <w:tmpl w:val="77633235"/>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33">
    <w:nsid w:val="77633236"/>
    <w:multiLevelType w:val="singleLevel"/>
    <w:tmpl w:val="77633236"/>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34">
    <w:nsid w:val="77633237"/>
    <w:multiLevelType w:val="singleLevel"/>
    <w:tmpl w:val="77633237"/>
    <w:lvl w:ilvl="0" w:tentative="0">
      <w:start w:val="22"/>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35">
    <w:nsid w:val="77633238"/>
    <w:multiLevelType w:val="singleLevel"/>
    <w:tmpl w:val="77633238"/>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36">
    <w:nsid w:val="77633239"/>
    <w:multiLevelType w:val="singleLevel"/>
    <w:tmpl w:val="77633239"/>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37">
    <w:nsid w:val="7763323A"/>
    <w:multiLevelType w:val="singleLevel"/>
    <w:tmpl w:val="7763323A"/>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38">
    <w:nsid w:val="7763323B"/>
    <w:multiLevelType w:val="singleLevel"/>
    <w:tmpl w:val="7763323B"/>
    <w:lvl w:ilvl="0" w:tentative="0">
      <w:start w:val="1"/>
      <w:numFmt w:val="decimalEnclosedCircle"/>
      <w:lvlText w:val="%1"/>
      <w:lvlJc w:val="left"/>
      <w:rPr>
        <w:rFonts w:ascii="宋体" w:hAnsi="宋体" w:eastAsia="宋体"/>
        <w:b w:val="0"/>
        <w:bCs w:val="0"/>
        <w:i w:val="0"/>
        <w:iCs w:val="0"/>
        <w:smallCaps w:val="0"/>
        <w:strike w:val="0"/>
        <w:color w:val="000000"/>
        <w:spacing w:val="0"/>
        <w:w w:val="100"/>
        <w:position w:val="0"/>
        <w:sz w:val="20"/>
        <w:szCs w:val="20"/>
        <w:u w:val="none"/>
      </w:rPr>
    </w:lvl>
  </w:abstractNum>
  <w:abstractNum w:abstractNumId="39">
    <w:nsid w:val="7763323C"/>
    <w:multiLevelType w:val="singleLevel"/>
    <w:tmpl w:val="7763323C"/>
    <w:lvl w:ilvl="0" w:tentative="0">
      <w:start w:val="1"/>
      <w:numFmt w:val="decimalEnclosedCircle"/>
      <w:lvlText w:val="%1"/>
      <w:lvlJc w:val="left"/>
      <w:rPr>
        <w:rFonts w:ascii="宋体" w:hAnsi="宋体" w:eastAsia="宋体"/>
        <w:b w:val="0"/>
        <w:bCs w:val="0"/>
        <w:i w:val="0"/>
        <w:iCs w:val="0"/>
        <w:smallCaps w:val="0"/>
        <w:strike w:val="0"/>
        <w:color w:val="000000"/>
        <w:spacing w:val="0"/>
        <w:w w:val="100"/>
        <w:position w:val="0"/>
        <w:sz w:val="20"/>
        <w:szCs w:val="20"/>
        <w:u w:val="none"/>
      </w:rPr>
    </w:lvl>
  </w:abstractNum>
  <w:abstractNum w:abstractNumId="40">
    <w:nsid w:val="7763323E"/>
    <w:multiLevelType w:val="singleLevel"/>
    <w:tmpl w:val="7763323E"/>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41">
    <w:nsid w:val="7763323F"/>
    <w:multiLevelType w:val="singleLevel"/>
    <w:tmpl w:val="7763323F"/>
    <w:lvl w:ilvl="0" w:tentative="0">
      <w:start w:val="2"/>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42">
    <w:nsid w:val="77633241"/>
    <w:multiLevelType w:val="singleLevel"/>
    <w:tmpl w:val="77633241"/>
    <w:lvl w:ilvl="0" w:tentative="0">
      <w:start w:val="1"/>
      <w:numFmt w:val="decimal"/>
      <w:suff w:val="nothing"/>
      <w:lvlText w:val="（%1）"/>
      <w:lvlJc w:val="left"/>
    </w:lvl>
  </w:abstractNum>
  <w:abstractNum w:abstractNumId="43">
    <w:nsid w:val="77633242"/>
    <w:multiLevelType w:val="singleLevel"/>
    <w:tmpl w:val="77633242"/>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abstractNum w:abstractNumId="44">
    <w:nsid w:val="77633243"/>
    <w:multiLevelType w:val="singleLevel"/>
    <w:tmpl w:val="77633243"/>
    <w:lvl w:ilvl="0" w:tentative="0">
      <w:start w:val="1"/>
      <w:numFmt w:val="decimal"/>
      <w:lvlText w:val="(%1)"/>
      <w:lvlJc w:val="left"/>
      <w:rPr>
        <w:rFonts w:ascii="Times New Roman" w:hAnsi="Times New Roman" w:eastAsia="Times New Roman"/>
        <w:b w:val="0"/>
        <w:bCs w:val="0"/>
        <w:i w:val="0"/>
        <w:iCs w:val="0"/>
        <w:smallCaps w:val="0"/>
        <w:strike w:val="0"/>
        <w:color w:val="000000"/>
        <w:spacing w:val="0"/>
        <w:w w:val="100"/>
        <w:position w:val="0"/>
        <w:sz w:val="20"/>
        <w:szCs w:val="20"/>
        <w:u w:val="none"/>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8"/>
  </w:num>
  <w:num w:numId="37">
    <w:abstractNumId w:val="39"/>
  </w:num>
  <w:num w:numId="38">
    <w:abstractNumId w:val="40"/>
  </w:num>
  <w:num w:numId="39">
    <w:abstractNumId w:val="41"/>
  </w:num>
  <w:num w:numId="40">
    <w:abstractNumId w:val="42"/>
  </w:num>
  <w:num w:numId="41">
    <w:abstractNumId w:val="43"/>
  </w:num>
  <w:num w:numId="42">
    <w:abstractNumId w:val="44"/>
  </w:num>
  <w:num w:numId="43">
    <w:abstractNumId w:val="0"/>
  </w:num>
  <w:num w:numId="44">
    <w:abstractNumId w:val="1"/>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YjI5OTY0NDBlNjdhYzI1NWFmYjUxMDAyMzY0MzEifQ=="/>
    <w:docVar w:name="KSO_WPS_MARK_KEY" w:val="ecd57385-448f-4b16-8099-7dd17378f908"/>
  </w:docVars>
  <w:rsids>
    <w:rsidRoot w:val="00172A27"/>
    <w:rsid w:val="00011F13"/>
    <w:rsid w:val="00013924"/>
    <w:rsid w:val="000168F9"/>
    <w:rsid w:val="00017E16"/>
    <w:rsid w:val="00020B0E"/>
    <w:rsid w:val="0002458E"/>
    <w:rsid w:val="00024751"/>
    <w:rsid w:val="00025578"/>
    <w:rsid w:val="000256A3"/>
    <w:rsid w:val="00026093"/>
    <w:rsid w:val="00027515"/>
    <w:rsid w:val="00032A94"/>
    <w:rsid w:val="00034B13"/>
    <w:rsid w:val="00034E74"/>
    <w:rsid w:val="0003512A"/>
    <w:rsid w:val="00040C0D"/>
    <w:rsid w:val="0004476A"/>
    <w:rsid w:val="00045BAC"/>
    <w:rsid w:val="000465E6"/>
    <w:rsid w:val="00051A43"/>
    <w:rsid w:val="00052706"/>
    <w:rsid w:val="00055BC8"/>
    <w:rsid w:val="000602B2"/>
    <w:rsid w:val="00064653"/>
    <w:rsid w:val="000648B6"/>
    <w:rsid w:val="000747BB"/>
    <w:rsid w:val="00077515"/>
    <w:rsid w:val="00082899"/>
    <w:rsid w:val="00083C77"/>
    <w:rsid w:val="000863AE"/>
    <w:rsid w:val="00091992"/>
    <w:rsid w:val="000940A2"/>
    <w:rsid w:val="00097BEC"/>
    <w:rsid w:val="000A277E"/>
    <w:rsid w:val="000A2AF1"/>
    <w:rsid w:val="000A3C5E"/>
    <w:rsid w:val="000A5888"/>
    <w:rsid w:val="000B0B76"/>
    <w:rsid w:val="000B312E"/>
    <w:rsid w:val="000B3DE5"/>
    <w:rsid w:val="000C1527"/>
    <w:rsid w:val="000C41E1"/>
    <w:rsid w:val="000C65AA"/>
    <w:rsid w:val="000C6D54"/>
    <w:rsid w:val="000C7ADB"/>
    <w:rsid w:val="000D07C7"/>
    <w:rsid w:val="000D16DB"/>
    <w:rsid w:val="000D1E72"/>
    <w:rsid w:val="000D5762"/>
    <w:rsid w:val="000E34CF"/>
    <w:rsid w:val="000E6160"/>
    <w:rsid w:val="000E6C2D"/>
    <w:rsid w:val="000E7DEB"/>
    <w:rsid w:val="000F0BB4"/>
    <w:rsid w:val="000F13CE"/>
    <w:rsid w:val="000F3DCA"/>
    <w:rsid w:val="000F4EA5"/>
    <w:rsid w:val="000F5333"/>
    <w:rsid w:val="000F5D4F"/>
    <w:rsid w:val="000F7451"/>
    <w:rsid w:val="00105C55"/>
    <w:rsid w:val="00111835"/>
    <w:rsid w:val="001130BB"/>
    <w:rsid w:val="00114A17"/>
    <w:rsid w:val="00114EE2"/>
    <w:rsid w:val="00120C6B"/>
    <w:rsid w:val="00123373"/>
    <w:rsid w:val="00125977"/>
    <w:rsid w:val="001341D3"/>
    <w:rsid w:val="00134732"/>
    <w:rsid w:val="00142492"/>
    <w:rsid w:val="001426B4"/>
    <w:rsid w:val="00142E6F"/>
    <w:rsid w:val="00145BDE"/>
    <w:rsid w:val="001463DF"/>
    <w:rsid w:val="00146C76"/>
    <w:rsid w:val="00147315"/>
    <w:rsid w:val="001501C0"/>
    <w:rsid w:val="0015468C"/>
    <w:rsid w:val="00156D21"/>
    <w:rsid w:val="00172A27"/>
    <w:rsid w:val="00174BF0"/>
    <w:rsid w:val="001752E0"/>
    <w:rsid w:val="00177958"/>
    <w:rsid w:val="00181DBD"/>
    <w:rsid w:val="00186B84"/>
    <w:rsid w:val="00187C1E"/>
    <w:rsid w:val="00192CDD"/>
    <w:rsid w:val="00192E89"/>
    <w:rsid w:val="001956E2"/>
    <w:rsid w:val="001A4152"/>
    <w:rsid w:val="001B284C"/>
    <w:rsid w:val="001B556D"/>
    <w:rsid w:val="001C235C"/>
    <w:rsid w:val="001C249A"/>
    <w:rsid w:val="001C2D3F"/>
    <w:rsid w:val="001C42AE"/>
    <w:rsid w:val="001C6355"/>
    <w:rsid w:val="001D4BF0"/>
    <w:rsid w:val="001E0B66"/>
    <w:rsid w:val="001E1BB7"/>
    <w:rsid w:val="001E6A3F"/>
    <w:rsid w:val="001F1B2E"/>
    <w:rsid w:val="001F229D"/>
    <w:rsid w:val="001F6876"/>
    <w:rsid w:val="00202E76"/>
    <w:rsid w:val="00207EB5"/>
    <w:rsid w:val="00210309"/>
    <w:rsid w:val="002237DA"/>
    <w:rsid w:val="0022578A"/>
    <w:rsid w:val="002406A0"/>
    <w:rsid w:val="002438EA"/>
    <w:rsid w:val="00244D9C"/>
    <w:rsid w:val="00246A74"/>
    <w:rsid w:val="0025065E"/>
    <w:rsid w:val="00252A6D"/>
    <w:rsid w:val="00252B85"/>
    <w:rsid w:val="00252DB0"/>
    <w:rsid w:val="00257DDE"/>
    <w:rsid w:val="002603EE"/>
    <w:rsid w:val="0026477E"/>
    <w:rsid w:val="00264808"/>
    <w:rsid w:val="00264A38"/>
    <w:rsid w:val="00265169"/>
    <w:rsid w:val="00271E3A"/>
    <w:rsid w:val="002725DE"/>
    <w:rsid w:val="00277693"/>
    <w:rsid w:val="002817BC"/>
    <w:rsid w:val="00281806"/>
    <w:rsid w:val="00283314"/>
    <w:rsid w:val="00285FAA"/>
    <w:rsid w:val="00291574"/>
    <w:rsid w:val="00294FB9"/>
    <w:rsid w:val="002968E6"/>
    <w:rsid w:val="00297D32"/>
    <w:rsid w:val="00297E97"/>
    <w:rsid w:val="002A0660"/>
    <w:rsid w:val="002A1C93"/>
    <w:rsid w:val="002A6537"/>
    <w:rsid w:val="002B1F2C"/>
    <w:rsid w:val="002B31BC"/>
    <w:rsid w:val="002B36E1"/>
    <w:rsid w:val="002B55A3"/>
    <w:rsid w:val="002B66A4"/>
    <w:rsid w:val="002C27E2"/>
    <w:rsid w:val="002C4AD2"/>
    <w:rsid w:val="002C51BD"/>
    <w:rsid w:val="002D1FB2"/>
    <w:rsid w:val="002D2F79"/>
    <w:rsid w:val="002D63FC"/>
    <w:rsid w:val="002E0BA7"/>
    <w:rsid w:val="002E7ECC"/>
    <w:rsid w:val="002F32BB"/>
    <w:rsid w:val="002F596B"/>
    <w:rsid w:val="0030174D"/>
    <w:rsid w:val="00303380"/>
    <w:rsid w:val="00303AFB"/>
    <w:rsid w:val="00304B67"/>
    <w:rsid w:val="00305A43"/>
    <w:rsid w:val="00317195"/>
    <w:rsid w:val="00322AD1"/>
    <w:rsid w:val="00325FC0"/>
    <w:rsid w:val="0032772A"/>
    <w:rsid w:val="003334EF"/>
    <w:rsid w:val="00334A69"/>
    <w:rsid w:val="00336F5B"/>
    <w:rsid w:val="0034026C"/>
    <w:rsid w:val="00340A11"/>
    <w:rsid w:val="003453D4"/>
    <w:rsid w:val="0034597F"/>
    <w:rsid w:val="00354EAD"/>
    <w:rsid w:val="00357B17"/>
    <w:rsid w:val="00364A67"/>
    <w:rsid w:val="003650DD"/>
    <w:rsid w:val="0036593E"/>
    <w:rsid w:val="00365D1D"/>
    <w:rsid w:val="00367D8B"/>
    <w:rsid w:val="0037314B"/>
    <w:rsid w:val="00380275"/>
    <w:rsid w:val="00381B5D"/>
    <w:rsid w:val="00382A88"/>
    <w:rsid w:val="00385412"/>
    <w:rsid w:val="00387430"/>
    <w:rsid w:val="00393496"/>
    <w:rsid w:val="00396AFD"/>
    <w:rsid w:val="003A1633"/>
    <w:rsid w:val="003A423D"/>
    <w:rsid w:val="003A4B6D"/>
    <w:rsid w:val="003A53E1"/>
    <w:rsid w:val="003B4798"/>
    <w:rsid w:val="003C3B36"/>
    <w:rsid w:val="003D423D"/>
    <w:rsid w:val="003D48F8"/>
    <w:rsid w:val="003D6150"/>
    <w:rsid w:val="003D70DA"/>
    <w:rsid w:val="003D78F6"/>
    <w:rsid w:val="003E12D1"/>
    <w:rsid w:val="003E6D74"/>
    <w:rsid w:val="0040093D"/>
    <w:rsid w:val="00403331"/>
    <w:rsid w:val="004041BF"/>
    <w:rsid w:val="00404D83"/>
    <w:rsid w:val="00405B4D"/>
    <w:rsid w:val="00406434"/>
    <w:rsid w:val="004072B0"/>
    <w:rsid w:val="00407680"/>
    <w:rsid w:val="00410B37"/>
    <w:rsid w:val="00410EEC"/>
    <w:rsid w:val="00416BB6"/>
    <w:rsid w:val="004210AF"/>
    <w:rsid w:val="00422E1C"/>
    <w:rsid w:val="00423446"/>
    <w:rsid w:val="00423BE0"/>
    <w:rsid w:val="004261A0"/>
    <w:rsid w:val="0043234D"/>
    <w:rsid w:val="00434F80"/>
    <w:rsid w:val="00435AB8"/>
    <w:rsid w:val="00437727"/>
    <w:rsid w:val="004407DA"/>
    <w:rsid w:val="0044483A"/>
    <w:rsid w:val="00444E55"/>
    <w:rsid w:val="00456B4D"/>
    <w:rsid w:val="00460508"/>
    <w:rsid w:val="00477C95"/>
    <w:rsid w:val="00480749"/>
    <w:rsid w:val="00480C44"/>
    <w:rsid w:val="00481349"/>
    <w:rsid w:val="00483872"/>
    <w:rsid w:val="00483FE3"/>
    <w:rsid w:val="00485EB9"/>
    <w:rsid w:val="004866AF"/>
    <w:rsid w:val="00486AAD"/>
    <w:rsid w:val="00486DB2"/>
    <w:rsid w:val="00487084"/>
    <w:rsid w:val="00491ACB"/>
    <w:rsid w:val="004A12DF"/>
    <w:rsid w:val="004A182D"/>
    <w:rsid w:val="004A1B24"/>
    <w:rsid w:val="004A3BA9"/>
    <w:rsid w:val="004A7C11"/>
    <w:rsid w:val="004B2F9D"/>
    <w:rsid w:val="004B37AA"/>
    <w:rsid w:val="004B3807"/>
    <w:rsid w:val="004B7711"/>
    <w:rsid w:val="004C2A2A"/>
    <w:rsid w:val="004C2B07"/>
    <w:rsid w:val="004D055D"/>
    <w:rsid w:val="004D1E48"/>
    <w:rsid w:val="004D3FAE"/>
    <w:rsid w:val="004D4F12"/>
    <w:rsid w:val="004D4FFC"/>
    <w:rsid w:val="004D5AE4"/>
    <w:rsid w:val="004D5C6D"/>
    <w:rsid w:val="004D5E6A"/>
    <w:rsid w:val="004D67A4"/>
    <w:rsid w:val="004E1005"/>
    <w:rsid w:val="004E183E"/>
    <w:rsid w:val="004E5D23"/>
    <w:rsid w:val="004E73A8"/>
    <w:rsid w:val="004F0B06"/>
    <w:rsid w:val="004F3223"/>
    <w:rsid w:val="004F570C"/>
    <w:rsid w:val="004F5FA9"/>
    <w:rsid w:val="004F6AEC"/>
    <w:rsid w:val="0050354F"/>
    <w:rsid w:val="00512802"/>
    <w:rsid w:val="00516464"/>
    <w:rsid w:val="00516FD2"/>
    <w:rsid w:val="005216B3"/>
    <w:rsid w:val="00521B99"/>
    <w:rsid w:val="0053683A"/>
    <w:rsid w:val="0054069E"/>
    <w:rsid w:val="00541EAC"/>
    <w:rsid w:val="00543BC0"/>
    <w:rsid w:val="005444E0"/>
    <w:rsid w:val="00544C7D"/>
    <w:rsid w:val="0054559F"/>
    <w:rsid w:val="0054594D"/>
    <w:rsid w:val="00545A2D"/>
    <w:rsid w:val="00546B31"/>
    <w:rsid w:val="00553887"/>
    <w:rsid w:val="00560954"/>
    <w:rsid w:val="005645BE"/>
    <w:rsid w:val="0056603E"/>
    <w:rsid w:val="00571264"/>
    <w:rsid w:val="005715C1"/>
    <w:rsid w:val="005716F4"/>
    <w:rsid w:val="0058164B"/>
    <w:rsid w:val="00585E82"/>
    <w:rsid w:val="0059656B"/>
    <w:rsid w:val="00597498"/>
    <w:rsid w:val="005A00DC"/>
    <w:rsid w:val="005A1634"/>
    <w:rsid w:val="005A1C51"/>
    <w:rsid w:val="005A2A9D"/>
    <w:rsid w:val="005A42BA"/>
    <w:rsid w:val="005A5DE7"/>
    <w:rsid w:val="005B121B"/>
    <w:rsid w:val="005B3C03"/>
    <w:rsid w:val="005B6107"/>
    <w:rsid w:val="005C2BB2"/>
    <w:rsid w:val="005C37D8"/>
    <w:rsid w:val="005C59B2"/>
    <w:rsid w:val="005D18B4"/>
    <w:rsid w:val="005D3ED0"/>
    <w:rsid w:val="005D4005"/>
    <w:rsid w:val="005E07C8"/>
    <w:rsid w:val="005E3892"/>
    <w:rsid w:val="005E4A55"/>
    <w:rsid w:val="005E55FD"/>
    <w:rsid w:val="005E7411"/>
    <w:rsid w:val="005F2D33"/>
    <w:rsid w:val="005F4FA3"/>
    <w:rsid w:val="00611438"/>
    <w:rsid w:val="00617CB0"/>
    <w:rsid w:val="00617DD1"/>
    <w:rsid w:val="006202CC"/>
    <w:rsid w:val="00623A83"/>
    <w:rsid w:val="006241CD"/>
    <w:rsid w:val="00626213"/>
    <w:rsid w:val="006301D2"/>
    <w:rsid w:val="00633272"/>
    <w:rsid w:val="00636689"/>
    <w:rsid w:val="00636986"/>
    <w:rsid w:val="00637726"/>
    <w:rsid w:val="00645681"/>
    <w:rsid w:val="006519C3"/>
    <w:rsid w:val="00652D02"/>
    <w:rsid w:val="00654B6F"/>
    <w:rsid w:val="00654EA5"/>
    <w:rsid w:val="006556BD"/>
    <w:rsid w:val="00657D04"/>
    <w:rsid w:val="00660990"/>
    <w:rsid w:val="00664E26"/>
    <w:rsid w:val="00671874"/>
    <w:rsid w:val="00673AB7"/>
    <w:rsid w:val="00675A03"/>
    <w:rsid w:val="0068193B"/>
    <w:rsid w:val="00684C31"/>
    <w:rsid w:val="006862EE"/>
    <w:rsid w:val="00686FA3"/>
    <w:rsid w:val="006965FC"/>
    <w:rsid w:val="006A053B"/>
    <w:rsid w:val="006A2544"/>
    <w:rsid w:val="006A3266"/>
    <w:rsid w:val="006A33EE"/>
    <w:rsid w:val="006A4A57"/>
    <w:rsid w:val="006A70FF"/>
    <w:rsid w:val="006A745A"/>
    <w:rsid w:val="006B447A"/>
    <w:rsid w:val="006C0B36"/>
    <w:rsid w:val="006C59D9"/>
    <w:rsid w:val="006D2948"/>
    <w:rsid w:val="006D2B5B"/>
    <w:rsid w:val="006D3721"/>
    <w:rsid w:val="006D413D"/>
    <w:rsid w:val="006D46B7"/>
    <w:rsid w:val="006D7E27"/>
    <w:rsid w:val="006E0EF4"/>
    <w:rsid w:val="006F0E7E"/>
    <w:rsid w:val="006F1847"/>
    <w:rsid w:val="006F4630"/>
    <w:rsid w:val="006F498F"/>
    <w:rsid w:val="006F65B5"/>
    <w:rsid w:val="007021CE"/>
    <w:rsid w:val="00702ADB"/>
    <w:rsid w:val="00706634"/>
    <w:rsid w:val="007116BB"/>
    <w:rsid w:val="00720E46"/>
    <w:rsid w:val="00720F8A"/>
    <w:rsid w:val="0072435A"/>
    <w:rsid w:val="00724628"/>
    <w:rsid w:val="00740512"/>
    <w:rsid w:val="0074053D"/>
    <w:rsid w:val="00744EBB"/>
    <w:rsid w:val="00745BA5"/>
    <w:rsid w:val="0074619B"/>
    <w:rsid w:val="0074626C"/>
    <w:rsid w:val="00747945"/>
    <w:rsid w:val="00751AA1"/>
    <w:rsid w:val="007604AB"/>
    <w:rsid w:val="0076465B"/>
    <w:rsid w:val="007744F4"/>
    <w:rsid w:val="00775D98"/>
    <w:rsid w:val="00780950"/>
    <w:rsid w:val="007871FC"/>
    <w:rsid w:val="00792A85"/>
    <w:rsid w:val="00793D9E"/>
    <w:rsid w:val="007A3663"/>
    <w:rsid w:val="007A5525"/>
    <w:rsid w:val="007B22C7"/>
    <w:rsid w:val="007C1E2C"/>
    <w:rsid w:val="007C229C"/>
    <w:rsid w:val="007C71FF"/>
    <w:rsid w:val="007D3241"/>
    <w:rsid w:val="007D4466"/>
    <w:rsid w:val="007D72AD"/>
    <w:rsid w:val="007E7EED"/>
    <w:rsid w:val="007F04AE"/>
    <w:rsid w:val="007F3827"/>
    <w:rsid w:val="007F5BAD"/>
    <w:rsid w:val="007F713F"/>
    <w:rsid w:val="00800415"/>
    <w:rsid w:val="00802131"/>
    <w:rsid w:val="00802A9F"/>
    <w:rsid w:val="00806410"/>
    <w:rsid w:val="00807341"/>
    <w:rsid w:val="0081770D"/>
    <w:rsid w:val="008321E4"/>
    <w:rsid w:val="008407D5"/>
    <w:rsid w:val="00843E55"/>
    <w:rsid w:val="008441EC"/>
    <w:rsid w:val="00845B50"/>
    <w:rsid w:val="0084719F"/>
    <w:rsid w:val="00850CB3"/>
    <w:rsid w:val="0085161A"/>
    <w:rsid w:val="00851CFC"/>
    <w:rsid w:val="0086008E"/>
    <w:rsid w:val="008631EF"/>
    <w:rsid w:val="00863C08"/>
    <w:rsid w:val="0087099C"/>
    <w:rsid w:val="00872882"/>
    <w:rsid w:val="00874123"/>
    <w:rsid w:val="008751F3"/>
    <w:rsid w:val="00877285"/>
    <w:rsid w:val="00880A1B"/>
    <w:rsid w:val="008A4D69"/>
    <w:rsid w:val="008B01BF"/>
    <w:rsid w:val="008B26A3"/>
    <w:rsid w:val="008B3CF8"/>
    <w:rsid w:val="008C2854"/>
    <w:rsid w:val="008C37A0"/>
    <w:rsid w:val="008D7EB3"/>
    <w:rsid w:val="008E1459"/>
    <w:rsid w:val="008E3811"/>
    <w:rsid w:val="008E4655"/>
    <w:rsid w:val="008E5455"/>
    <w:rsid w:val="008E5831"/>
    <w:rsid w:val="008F72AB"/>
    <w:rsid w:val="00900D72"/>
    <w:rsid w:val="00920833"/>
    <w:rsid w:val="00930551"/>
    <w:rsid w:val="0093198E"/>
    <w:rsid w:val="00931C98"/>
    <w:rsid w:val="00932DC5"/>
    <w:rsid w:val="00933873"/>
    <w:rsid w:val="0093441A"/>
    <w:rsid w:val="009346DC"/>
    <w:rsid w:val="0094029C"/>
    <w:rsid w:val="00946D33"/>
    <w:rsid w:val="009471B2"/>
    <w:rsid w:val="0095131A"/>
    <w:rsid w:val="009514AC"/>
    <w:rsid w:val="00951734"/>
    <w:rsid w:val="009534A0"/>
    <w:rsid w:val="009551D7"/>
    <w:rsid w:val="009552C0"/>
    <w:rsid w:val="00963FD7"/>
    <w:rsid w:val="00972026"/>
    <w:rsid w:val="00972E80"/>
    <w:rsid w:val="00975E35"/>
    <w:rsid w:val="00980A4D"/>
    <w:rsid w:val="00980AE4"/>
    <w:rsid w:val="0099204C"/>
    <w:rsid w:val="009923C9"/>
    <w:rsid w:val="00992B3A"/>
    <w:rsid w:val="00993FDD"/>
    <w:rsid w:val="00995429"/>
    <w:rsid w:val="009A59B8"/>
    <w:rsid w:val="009B089E"/>
    <w:rsid w:val="009B3E2A"/>
    <w:rsid w:val="009B44FA"/>
    <w:rsid w:val="009B6FA6"/>
    <w:rsid w:val="009C0DFA"/>
    <w:rsid w:val="009C1B29"/>
    <w:rsid w:val="009C2849"/>
    <w:rsid w:val="009D2DDC"/>
    <w:rsid w:val="009D30D0"/>
    <w:rsid w:val="009E36E3"/>
    <w:rsid w:val="009F0634"/>
    <w:rsid w:val="009F10D4"/>
    <w:rsid w:val="009F4EBF"/>
    <w:rsid w:val="009F7D69"/>
    <w:rsid w:val="00A01087"/>
    <w:rsid w:val="00A04000"/>
    <w:rsid w:val="00A067C2"/>
    <w:rsid w:val="00A06E6E"/>
    <w:rsid w:val="00A07C6A"/>
    <w:rsid w:val="00A10527"/>
    <w:rsid w:val="00A16A8D"/>
    <w:rsid w:val="00A20BA9"/>
    <w:rsid w:val="00A21A91"/>
    <w:rsid w:val="00A24E59"/>
    <w:rsid w:val="00A24E9B"/>
    <w:rsid w:val="00A25365"/>
    <w:rsid w:val="00A25A5E"/>
    <w:rsid w:val="00A335BA"/>
    <w:rsid w:val="00A34318"/>
    <w:rsid w:val="00A34450"/>
    <w:rsid w:val="00A3612C"/>
    <w:rsid w:val="00A378C7"/>
    <w:rsid w:val="00A404E9"/>
    <w:rsid w:val="00A42DFB"/>
    <w:rsid w:val="00A43B7A"/>
    <w:rsid w:val="00A44FF9"/>
    <w:rsid w:val="00A54E68"/>
    <w:rsid w:val="00A5547D"/>
    <w:rsid w:val="00A576E4"/>
    <w:rsid w:val="00A57916"/>
    <w:rsid w:val="00A60621"/>
    <w:rsid w:val="00A60E64"/>
    <w:rsid w:val="00A63563"/>
    <w:rsid w:val="00A668C3"/>
    <w:rsid w:val="00A67B95"/>
    <w:rsid w:val="00A67DDD"/>
    <w:rsid w:val="00A7044F"/>
    <w:rsid w:val="00A72568"/>
    <w:rsid w:val="00A747DC"/>
    <w:rsid w:val="00A7695C"/>
    <w:rsid w:val="00A77DC1"/>
    <w:rsid w:val="00A80047"/>
    <w:rsid w:val="00A808B0"/>
    <w:rsid w:val="00A816E8"/>
    <w:rsid w:val="00A904B8"/>
    <w:rsid w:val="00A965E3"/>
    <w:rsid w:val="00A96B09"/>
    <w:rsid w:val="00AA032F"/>
    <w:rsid w:val="00AA1DBD"/>
    <w:rsid w:val="00AA5556"/>
    <w:rsid w:val="00AA5D04"/>
    <w:rsid w:val="00AA6ADF"/>
    <w:rsid w:val="00AB36B2"/>
    <w:rsid w:val="00AB6372"/>
    <w:rsid w:val="00AB6C8C"/>
    <w:rsid w:val="00AB7777"/>
    <w:rsid w:val="00AC1ADF"/>
    <w:rsid w:val="00AC512C"/>
    <w:rsid w:val="00AC535D"/>
    <w:rsid w:val="00AD0C73"/>
    <w:rsid w:val="00AD256C"/>
    <w:rsid w:val="00AE340B"/>
    <w:rsid w:val="00AE3765"/>
    <w:rsid w:val="00AE5301"/>
    <w:rsid w:val="00AE77BA"/>
    <w:rsid w:val="00AF3B72"/>
    <w:rsid w:val="00AF5256"/>
    <w:rsid w:val="00AF7891"/>
    <w:rsid w:val="00B01182"/>
    <w:rsid w:val="00B01552"/>
    <w:rsid w:val="00B02217"/>
    <w:rsid w:val="00B17E77"/>
    <w:rsid w:val="00B21D5C"/>
    <w:rsid w:val="00B2680E"/>
    <w:rsid w:val="00B32702"/>
    <w:rsid w:val="00B33ED9"/>
    <w:rsid w:val="00B41672"/>
    <w:rsid w:val="00B442B8"/>
    <w:rsid w:val="00B46100"/>
    <w:rsid w:val="00B4691A"/>
    <w:rsid w:val="00B50A29"/>
    <w:rsid w:val="00B51C6B"/>
    <w:rsid w:val="00B541F4"/>
    <w:rsid w:val="00B55723"/>
    <w:rsid w:val="00B56AEB"/>
    <w:rsid w:val="00B757FA"/>
    <w:rsid w:val="00B80F9D"/>
    <w:rsid w:val="00B92AFC"/>
    <w:rsid w:val="00B94302"/>
    <w:rsid w:val="00B96347"/>
    <w:rsid w:val="00B9689E"/>
    <w:rsid w:val="00BA0432"/>
    <w:rsid w:val="00BA2D3C"/>
    <w:rsid w:val="00BA458A"/>
    <w:rsid w:val="00BB10A8"/>
    <w:rsid w:val="00BB13D2"/>
    <w:rsid w:val="00BB169D"/>
    <w:rsid w:val="00BB1CFB"/>
    <w:rsid w:val="00BB2D41"/>
    <w:rsid w:val="00BC5F80"/>
    <w:rsid w:val="00BD07BF"/>
    <w:rsid w:val="00BD18C8"/>
    <w:rsid w:val="00BD27DB"/>
    <w:rsid w:val="00BD3DA4"/>
    <w:rsid w:val="00BD6C0D"/>
    <w:rsid w:val="00BD7F5A"/>
    <w:rsid w:val="00BE1D3B"/>
    <w:rsid w:val="00BE534D"/>
    <w:rsid w:val="00BF074C"/>
    <w:rsid w:val="00BF1FB4"/>
    <w:rsid w:val="00BF3365"/>
    <w:rsid w:val="00BF3F65"/>
    <w:rsid w:val="00C01967"/>
    <w:rsid w:val="00C045F8"/>
    <w:rsid w:val="00C0561A"/>
    <w:rsid w:val="00C05FE7"/>
    <w:rsid w:val="00C06415"/>
    <w:rsid w:val="00C07324"/>
    <w:rsid w:val="00C128E4"/>
    <w:rsid w:val="00C12C7B"/>
    <w:rsid w:val="00C1541D"/>
    <w:rsid w:val="00C20295"/>
    <w:rsid w:val="00C2376C"/>
    <w:rsid w:val="00C27CE4"/>
    <w:rsid w:val="00C33C8D"/>
    <w:rsid w:val="00C3491D"/>
    <w:rsid w:val="00C416CD"/>
    <w:rsid w:val="00C501FC"/>
    <w:rsid w:val="00C5080D"/>
    <w:rsid w:val="00C52FE4"/>
    <w:rsid w:val="00C558F7"/>
    <w:rsid w:val="00C55A38"/>
    <w:rsid w:val="00C56FF4"/>
    <w:rsid w:val="00C63F12"/>
    <w:rsid w:val="00C66A12"/>
    <w:rsid w:val="00C73CA8"/>
    <w:rsid w:val="00C82BE1"/>
    <w:rsid w:val="00C87CB4"/>
    <w:rsid w:val="00C90BCF"/>
    <w:rsid w:val="00C91AA2"/>
    <w:rsid w:val="00C95598"/>
    <w:rsid w:val="00C966C6"/>
    <w:rsid w:val="00C9680C"/>
    <w:rsid w:val="00CA3AEF"/>
    <w:rsid w:val="00CB2CDC"/>
    <w:rsid w:val="00CB6796"/>
    <w:rsid w:val="00CC1134"/>
    <w:rsid w:val="00CC4E4D"/>
    <w:rsid w:val="00CC545E"/>
    <w:rsid w:val="00CD2E1A"/>
    <w:rsid w:val="00CE23B0"/>
    <w:rsid w:val="00CE294A"/>
    <w:rsid w:val="00CF4BDB"/>
    <w:rsid w:val="00CF7C4C"/>
    <w:rsid w:val="00D01056"/>
    <w:rsid w:val="00D01999"/>
    <w:rsid w:val="00D0305D"/>
    <w:rsid w:val="00D14B3B"/>
    <w:rsid w:val="00D14EF7"/>
    <w:rsid w:val="00D21299"/>
    <w:rsid w:val="00D21DBC"/>
    <w:rsid w:val="00D31092"/>
    <w:rsid w:val="00D34EAC"/>
    <w:rsid w:val="00D45EB2"/>
    <w:rsid w:val="00D47AB6"/>
    <w:rsid w:val="00D500A7"/>
    <w:rsid w:val="00D531C6"/>
    <w:rsid w:val="00D70DF8"/>
    <w:rsid w:val="00D73E7F"/>
    <w:rsid w:val="00D821A8"/>
    <w:rsid w:val="00D83776"/>
    <w:rsid w:val="00D86532"/>
    <w:rsid w:val="00D86C17"/>
    <w:rsid w:val="00D874F9"/>
    <w:rsid w:val="00D946AB"/>
    <w:rsid w:val="00D95986"/>
    <w:rsid w:val="00D97C19"/>
    <w:rsid w:val="00DA0769"/>
    <w:rsid w:val="00DA2D43"/>
    <w:rsid w:val="00DA309E"/>
    <w:rsid w:val="00DA53A3"/>
    <w:rsid w:val="00DA6092"/>
    <w:rsid w:val="00DB3DF3"/>
    <w:rsid w:val="00DC0E9A"/>
    <w:rsid w:val="00DC77E6"/>
    <w:rsid w:val="00DE26BF"/>
    <w:rsid w:val="00DE6797"/>
    <w:rsid w:val="00DE77F2"/>
    <w:rsid w:val="00DF5337"/>
    <w:rsid w:val="00DF665C"/>
    <w:rsid w:val="00E03481"/>
    <w:rsid w:val="00E06745"/>
    <w:rsid w:val="00E10F6A"/>
    <w:rsid w:val="00E1178F"/>
    <w:rsid w:val="00E12F6C"/>
    <w:rsid w:val="00E13833"/>
    <w:rsid w:val="00E24E0C"/>
    <w:rsid w:val="00E2566A"/>
    <w:rsid w:val="00E26317"/>
    <w:rsid w:val="00E30278"/>
    <w:rsid w:val="00E44270"/>
    <w:rsid w:val="00E46EA7"/>
    <w:rsid w:val="00E51118"/>
    <w:rsid w:val="00E6179D"/>
    <w:rsid w:val="00E62451"/>
    <w:rsid w:val="00E63708"/>
    <w:rsid w:val="00E6496D"/>
    <w:rsid w:val="00E66BCA"/>
    <w:rsid w:val="00E66C28"/>
    <w:rsid w:val="00E70AF0"/>
    <w:rsid w:val="00E721D0"/>
    <w:rsid w:val="00E73AA0"/>
    <w:rsid w:val="00E765C0"/>
    <w:rsid w:val="00E82F29"/>
    <w:rsid w:val="00E8540A"/>
    <w:rsid w:val="00E870DD"/>
    <w:rsid w:val="00E87123"/>
    <w:rsid w:val="00E91200"/>
    <w:rsid w:val="00EA0AA2"/>
    <w:rsid w:val="00EB34A9"/>
    <w:rsid w:val="00EB5178"/>
    <w:rsid w:val="00EC33AC"/>
    <w:rsid w:val="00EC3D38"/>
    <w:rsid w:val="00EC6419"/>
    <w:rsid w:val="00ED022B"/>
    <w:rsid w:val="00ED1A21"/>
    <w:rsid w:val="00ED33BB"/>
    <w:rsid w:val="00EE0BF5"/>
    <w:rsid w:val="00EE1F79"/>
    <w:rsid w:val="00EE514F"/>
    <w:rsid w:val="00EE6A17"/>
    <w:rsid w:val="00EF6CAB"/>
    <w:rsid w:val="00EF79CD"/>
    <w:rsid w:val="00F01CF6"/>
    <w:rsid w:val="00F04B99"/>
    <w:rsid w:val="00F05774"/>
    <w:rsid w:val="00F11A77"/>
    <w:rsid w:val="00F146A7"/>
    <w:rsid w:val="00F14DA7"/>
    <w:rsid w:val="00F17EDE"/>
    <w:rsid w:val="00F225A1"/>
    <w:rsid w:val="00F240C3"/>
    <w:rsid w:val="00F24A99"/>
    <w:rsid w:val="00F27E11"/>
    <w:rsid w:val="00F301B4"/>
    <w:rsid w:val="00F316BF"/>
    <w:rsid w:val="00F3228C"/>
    <w:rsid w:val="00F376B0"/>
    <w:rsid w:val="00F40F09"/>
    <w:rsid w:val="00F4208D"/>
    <w:rsid w:val="00F42DA7"/>
    <w:rsid w:val="00F450E6"/>
    <w:rsid w:val="00F46597"/>
    <w:rsid w:val="00F507E5"/>
    <w:rsid w:val="00F51437"/>
    <w:rsid w:val="00F52955"/>
    <w:rsid w:val="00F532BC"/>
    <w:rsid w:val="00F5464B"/>
    <w:rsid w:val="00F54D8A"/>
    <w:rsid w:val="00F5722A"/>
    <w:rsid w:val="00F57741"/>
    <w:rsid w:val="00F617E1"/>
    <w:rsid w:val="00F61D20"/>
    <w:rsid w:val="00F62312"/>
    <w:rsid w:val="00F65AE6"/>
    <w:rsid w:val="00F71924"/>
    <w:rsid w:val="00F72B80"/>
    <w:rsid w:val="00F72DAB"/>
    <w:rsid w:val="00F81038"/>
    <w:rsid w:val="00F86765"/>
    <w:rsid w:val="00F87ACA"/>
    <w:rsid w:val="00F90BE6"/>
    <w:rsid w:val="00F91D53"/>
    <w:rsid w:val="00F93291"/>
    <w:rsid w:val="00F94753"/>
    <w:rsid w:val="00F96B80"/>
    <w:rsid w:val="00F9721B"/>
    <w:rsid w:val="00FA0336"/>
    <w:rsid w:val="00FA6858"/>
    <w:rsid w:val="00FB2421"/>
    <w:rsid w:val="00FB6219"/>
    <w:rsid w:val="00FB6A5D"/>
    <w:rsid w:val="00FC3955"/>
    <w:rsid w:val="00FC68BA"/>
    <w:rsid w:val="00FC73B4"/>
    <w:rsid w:val="00FD3C44"/>
    <w:rsid w:val="00FD5177"/>
    <w:rsid w:val="00FD5A2A"/>
    <w:rsid w:val="00FE22B2"/>
    <w:rsid w:val="00FE59D6"/>
    <w:rsid w:val="00FE5BCA"/>
    <w:rsid w:val="00FE6092"/>
    <w:rsid w:val="00FE6A40"/>
    <w:rsid w:val="00FF0B87"/>
    <w:rsid w:val="00FF7582"/>
    <w:rsid w:val="01F5276D"/>
    <w:rsid w:val="03BD7827"/>
    <w:rsid w:val="04080F1B"/>
    <w:rsid w:val="055250B4"/>
    <w:rsid w:val="05B96A57"/>
    <w:rsid w:val="05DC239A"/>
    <w:rsid w:val="083F5FBA"/>
    <w:rsid w:val="09917BD2"/>
    <w:rsid w:val="0A2813A3"/>
    <w:rsid w:val="0AB568CD"/>
    <w:rsid w:val="0B6121D2"/>
    <w:rsid w:val="0C2F3131"/>
    <w:rsid w:val="0D004C93"/>
    <w:rsid w:val="0D2E2BDA"/>
    <w:rsid w:val="0D841421"/>
    <w:rsid w:val="0D84666B"/>
    <w:rsid w:val="0E6265C1"/>
    <w:rsid w:val="0F7E3B18"/>
    <w:rsid w:val="10470C2F"/>
    <w:rsid w:val="11665A0D"/>
    <w:rsid w:val="12565E10"/>
    <w:rsid w:val="12DD1CFF"/>
    <w:rsid w:val="1344242A"/>
    <w:rsid w:val="13C06F2A"/>
    <w:rsid w:val="145F3F63"/>
    <w:rsid w:val="14D735ED"/>
    <w:rsid w:val="15255F31"/>
    <w:rsid w:val="164E6A70"/>
    <w:rsid w:val="179C62CC"/>
    <w:rsid w:val="183E41B1"/>
    <w:rsid w:val="19897AF7"/>
    <w:rsid w:val="1A0648D0"/>
    <w:rsid w:val="1D92482B"/>
    <w:rsid w:val="1FDD5F06"/>
    <w:rsid w:val="2090614C"/>
    <w:rsid w:val="213116C6"/>
    <w:rsid w:val="21857EB2"/>
    <w:rsid w:val="22347461"/>
    <w:rsid w:val="23C40371"/>
    <w:rsid w:val="23DD3B82"/>
    <w:rsid w:val="23EC469C"/>
    <w:rsid w:val="24A87C93"/>
    <w:rsid w:val="27693709"/>
    <w:rsid w:val="277576C6"/>
    <w:rsid w:val="28D21DE3"/>
    <w:rsid w:val="28ED5405"/>
    <w:rsid w:val="29F6324E"/>
    <w:rsid w:val="2A65738E"/>
    <w:rsid w:val="2B282B2F"/>
    <w:rsid w:val="2BA54F2C"/>
    <w:rsid w:val="2BBD2276"/>
    <w:rsid w:val="2C493377"/>
    <w:rsid w:val="2C9034E6"/>
    <w:rsid w:val="2CD905F2"/>
    <w:rsid w:val="2E8E1CA7"/>
    <w:rsid w:val="2F7D05B4"/>
    <w:rsid w:val="2FC57F03"/>
    <w:rsid w:val="31256885"/>
    <w:rsid w:val="3236068C"/>
    <w:rsid w:val="33DF4656"/>
    <w:rsid w:val="33EC7B9C"/>
    <w:rsid w:val="34477813"/>
    <w:rsid w:val="345A00D0"/>
    <w:rsid w:val="35914C72"/>
    <w:rsid w:val="35F801E2"/>
    <w:rsid w:val="36085AD3"/>
    <w:rsid w:val="376C4B50"/>
    <w:rsid w:val="37E76112"/>
    <w:rsid w:val="38320EFA"/>
    <w:rsid w:val="387722F9"/>
    <w:rsid w:val="38A51019"/>
    <w:rsid w:val="3922036F"/>
    <w:rsid w:val="3D813B7B"/>
    <w:rsid w:val="41442CC9"/>
    <w:rsid w:val="417B437E"/>
    <w:rsid w:val="42753146"/>
    <w:rsid w:val="43D84FD2"/>
    <w:rsid w:val="44867251"/>
    <w:rsid w:val="449D27EC"/>
    <w:rsid w:val="44BA4038"/>
    <w:rsid w:val="44CF50F9"/>
    <w:rsid w:val="45736708"/>
    <w:rsid w:val="46673E51"/>
    <w:rsid w:val="48183F52"/>
    <w:rsid w:val="48A224B8"/>
    <w:rsid w:val="48A84E61"/>
    <w:rsid w:val="49781705"/>
    <w:rsid w:val="4AEC002A"/>
    <w:rsid w:val="4E1765AA"/>
    <w:rsid w:val="4E943758"/>
    <w:rsid w:val="4ECC7F56"/>
    <w:rsid w:val="4F08144B"/>
    <w:rsid w:val="4F691C49"/>
    <w:rsid w:val="51EE4687"/>
    <w:rsid w:val="52710AF4"/>
    <w:rsid w:val="52F61A46"/>
    <w:rsid w:val="539178B9"/>
    <w:rsid w:val="5475249E"/>
    <w:rsid w:val="5543268E"/>
    <w:rsid w:val="57A346BD"/>
    <w:rsid w:val="57E17F0A"/>
    <w:rsid w:val="598E1C8C"/>
    <w:rsid w:val="5A7D5D41"/>
    <w:rsid w:val="5AF669C0"/>
    <w:rsid w:val="5BDD06AD"/>
    <w:rsid w:val="5C3D58A4"/>
    <w:rsid w:val="5C6F3E31"/>
    <w:rsid w:val="5D4E06D0"/>
    <w:rsid w:val="5DB316B0"/>
    <w:rsid w:val="5EA306D2"/>
    <w:rsid w:val="5ED15BC2"/>
    <w:rsid w:val="5FBC6FBB"/>
    <w:rsid w:val="5FD70E51"/>
    <w:rsid w:val="5FDC5117"/>
    <w:rsid w:val="62595B4D"/>
    <w:rsid w:val="625E1A6A"/>
    <w:rsid w:val="629E17B2"/>
    <w:rsid w:val="62A810AA"/>
    <w:rsid w:val="63AF18E6"/>
    <w:rsid w:val="64F71E63"/>
    <w:rsid w:val="65C23A09"/>
    <w:rsid w:val="661D6BBE"/>
    <w:rsid w:val="66317672"/>
    <w:rsid w:val="666E469A"/>
    <w:rsid w:val="676A25AA"/>
    <w:rsid w:val="67902011"/>
    <w:rsid w:val="67A32261"/>
    <w:rsid w:val="689D5698"/>
    <w:rsid w:val="68E5013A"/>
    <w:rsid w:val="6AC36824"/>
    <w:rsid w:val="6CC571AA"/>
    <w:rsid w:val="6E215843"/>
    <w:rsid w:val="6E5A06FE"/>
    <w:rsid w:val="70B40203"/>
    <w:rsid w:val="71C32FE3"/>
    <w:rsid w:val="73616FE7"/>
    <w:rsid w:val="73CA0659"/>
    <w:rsid w:val="742064CB"/>
    <w:rsid w:val="74732A9E"/>
    <w:rsid w:val="75E85F29"/>
    <w:rsid w:val="76E50C47"/>
    <w:rsid w:val="76F61765"/>
    <w:rsid w:val="78CA24A2"/>
    <w:rsid w:val="78F504AF"/>
    <w:rsid w:val="79752C43"/>
    <w:rsid w:val="79F540CE"/>
    <w:rsid w:val="7A062DC9"/>
    <w:rsid w:val="7A5B0A9E"/>
    <w:rsid w:val="7C1D145E"/>
    <w:rsid w:val="7D546E2A"/>
    <w:rsid w:val="7DDA1DE0"/>
    <w:rsid w:val="7DE873C5"/>
    <w:rsid w:val="7EDA15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qFormat="1" w:unhideWhenUsed="0" w:uiPriority="99" w:name="endnote reference"/>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ocked="1"/>
    <w:lsdException w:qFormat="1" w:unhideWhenUsed="0" w:uiPriority="99" w:semiHidden="0" w:name="Body Text"/>
    <w:lsdException w:qFormat="1" w:unhideWhenUsed="0" w:uiPriority="99" w:semiHidden="0" w:name="Body Text Indent"/>
    <w:lsdException w:qFormat="1" w:unhideWhenUsed="0" w:uiPriority="99" w:name="List Continue"/>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nhideWhenUsed="0" w:uiPriority="99" w:name="Document Map"/>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qFormat="1" w:unhideWhenUsed="0" w:uiPriority="99"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link w:val="89"/>
    <w:qFormat/>
    <w:uiPriority w:val="99"/>
    <w:pPr>
      <w:keepNext/>
      <w:keepLines/>
      <w:spacing w:before="340" w:after="330" w:line="360" w:lineRule="auto"/>
      <w:jc w:val="center"/>
      <w:outlineLvl w:val="0"/>
    </w:pPr>
    <w:rPr>
      <w:rFonts w:ascii="Times New Roman" w:hAnsi="Times New Roman" w:eastAsia="宋体" w:cs="Times New Roman"/>
      <w:b/>
      <w:bCs/>
      <w:kern w:val="44"/>
      <w:sz w:val="44"/>
      <w:szCs w:val="44"/>
    </w:rPr>
  </w:style>
  <w:style w:type="paragraph" w:styleId="3">
    <w:name w:val="heading 2"/>
    <w:basedOn w:val="1"/>
    <w:next w:val="1"/>
    <w:link w:val="90"/>
    <w:qFormat/>
    <w:uiPriority w:val="99"/>
    <w:pPr>
      <w:keepNext/>
      <w:keepLines/>
      <w:spacing w:before="260" w:after="260" w:line="416" w:lineRule="auto"/>
      <w:outlineLvl w:val="1"/>
    </w:pPr>
    <w:rPr>
      <w:rFonts w:ascii="Cambria" w:hAnsi="Cambria" w:eastAsia="宋体" w:cs="Cambria"/>
      <w:b/>
      <w:bCs/>
      <w:kern w:val="0"/>
      <w:sz w:val="32"/>
      <w:szCs w:val="32"/>
    </w:rPr>
  </w:style>
  <w:style w:type="paragraph" w:styleId="4">
    <w:name w:val="heading 3"/>
    <w:basedOn w:val="1"/>
    <w:next w:val="1"/>
    <w:link w:val="91"/>
    <w:qFormat/>
    <w:uiPriority w:val="99"/>
    <w:pPr>
      <w:keepNext/>
      <w:keepLines/>
      <w:spacing w:before="260" w:after="260" w:line="416" w:lineRule="auto"/>
      <w:outlineLvl w:val="2"/>
    </w:pPr>
    <w:rPr>
      <w:rFonts w:ascii="Times New Roman" w:hAnsi="Times New Roman" w:eastAsia="宋体" w:cs="Times New Roman"/>
      <w:b/>
      <w:bCs/>
      <w:kern w:val="0"/>
      <w:sz w:val="32"/>
      <w:szCs w:val="32"/>
    </w:rPr>
  </w:style>
  <w:style w:type="paragraph" w:styleId="5">
    <w:name w:val="heading 4"/>
    <w:basedOn w:val="1"/>
    <w:next w:val="1"/>
    <w:link w:val="152"/>
    <w:qFormat/>
    <w:uiPriority w:val="99"/>
    <w:pPr>
      <w:keepNext/>
      <w:keepLines/>
      <w:spacing w:before="280" w:after="290" w:line="372" w:lineRule="auto"/>
      <w:outlineLvl w:val="3"/>
    </w:pPr>
    <w:rPr>
      <w:rFonts w:ascii="Arial" w:hAnsi="Arial" w:eastAsia="黑体" w:cs="Arial"/>
      <w:b/>
      <w:bCs/>
      <w:sz w:val="28"/>
      <w:szCs w:val="28"/>
    </w:rPr>
  </w:style>
  <w:style w:type="paragraph" w:styleId="6">
    <w:name w:val="heading 5"/>
    <w:basedOn w:val="1"/>
    <w:next w:val="7"/>
    <w:link w:val="92"/>
    <w:autoRedefine/>
    <w:qFormat/>
    <w:uiPriority w:val="99"/>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2"/>
    <w:autoRedefine/>
    <w:qFormat/>
    <w:uiPriority w:val="99"/>
    <w:pPr>
      <w:keepNext/>
      <w:keepLines/>
      <w:spacing w:before="240" w:after="64" w:line="317" w:lineRule="auto"/>
      <w:outlineLvl w:val="5"/>
    </w:pPr>
    <w:rPr>
      <w:rFonts w:ascii="Arial" w:hAnsi="Arial" w:eastAsia="黑体" w:cs="Arial"/>
      <w:b/>
      <w:bCs/>
      <w:sz w:val="24"/>
      <w:szCs w:val="24"/>
    </w:rPr>
  </w:style>
  <w:style w:type="paragraph" w:styleId="9">
    <w:name w:val="heading 7"/>
    <w:basedOn w:val="1"/>
    <w:next w:val="1"/>
    <w:link w:val="63"/>
    <w:autoRedefine/>
    <w:qFormat/>
    <w:uiPriority w:val="99"/>
    <w:pPr>
      <w:keepNext/>
      <w:keepLines/>
      <w:spacing w:before="240" w:after="64" w:line="317" w:lineRule="auto"/>
      <w:outlineLvl w:val="6"/>
    </w:pPr>
    <w:rPr>
      <w:rFonts w:ascii="Times New Roman" w:hAnsi="Times New Roman" w:eastAsia="宋体" w:cs="Times New Roman"/>
      <w:b/>
      <w:bCs/>
      <w:sz w:val="24"/>
      <w:szCs w:val="24"/>
    </w:rPr>
  </w:style>
  <w:style w:type="paragraph" w:styleId="10">
    <w:name w:val="heading 8"/>
    <w:basedOn w:val="1"/>
    <w:next w:val="1"/>
    <w:link w:val="64"/>
    <w:autoRedefine/>
    <w:qFormat/>
    <w:uiPriority w:val="99"/>
    <w:pPr>
      <w:keepNext/>
      <w:keepLines/>
      <w:spacing w:before="240" w:after="64" w:line="320" w:lineRule="auto"/>
      <w:outlineLvl w:val="7"/>
    </w:pPr>
    <w:rPr>
      <w:rFonts w:ascii="等线 Light" w:hAnsi="等线 Light" w:eastAsia="等线 Light" w:cs="等线 Light"/>
      <w:kern w:val="0"/>
      <w:sz w:val="24"/>
      <w:szCs w:val="24"/>
    </w:rPr>
  </w:style>
  <w:style w:type="paragraph" w:styleId="11">
    <w:name w:val="heading 9"/>
    <w:basedOn w:val="1"/>
    <w:next w:val="1"/>
    <w:link w:val="65"/>
    <w:autoRedefine/>
    <w:qFormat/>
    <w:uiPriority w:val="99"/>
    <w:pPr>
      <w:keepNext/>
      <w:keepLines/>
      <w:spacing w:before="240" w:after="64" w:line="317" w:lineRule="auto"/>
      <w:outlineLvl w:val="8"/>
    </w:pPr>
    <w:rPr>
      <w:rFonts w:ascii="Arial" w:hAnsi="Arial" w:eastAsia="黑体" w:cs="Arial"/>
    </w:rPr>
  </w:style>
  <w:style w:type="character" w:default="1" w:styleId="46">
    <w:name w:val="Default Paragraph Font"/>
    <w:link w:val="47"/>
    <w:semiHidden/>
    <w:qFormat/>
    <w:locked/>
    <w:uiPriority w:val="99"/>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ind w:firstLine="420"/>
    </w:pPr>
    <w:rPr>
      <w:rFonts w:ascii="Times New Roman" w:hAnsi="Times New Roman" w:eastAsia="宋体" w:cs="Times New Roman"/>
    </w:rPr>
  </w:style>
  <w:style w:type="paragraph" w:styleId="12">
    <w:name w:val="toc 7"/>
    <w:basedOn w:val="1"/>
    <w:next w:val="1"/>
    <w:autoRedefine/>
    <w:semiHidden/>
    <w:qFormat/>
    <w:uiPriority w:val="99"/>
    <w:pPr>
      <w:ind w:left="2520" w:leftChars="1200"/>
    </w:pPr>
    <w:rPr>
      <w:rFonts w:ascii="Calibri" w:hAnsi="Calibri" w:eastAsia="宋体" w:cs="Calibri"/>
    </w:rPr>
  </w:style>
  <w:style w:type="paragraph" w:styleId="13">
    <w:name w:val="List Number"/>
    <w:basedOn w:val="1"/>
    <w:autoRedefine/>
    <w:qFormat/>
    <w:uiPriority w:val="99"/>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4"/>
    </w:rPr>
  </w:style>
  <w:style w:type="paragraph" w:styleId="14">
    <w:name w:val="Document Map"/>
    <w:basedOn w:val="1"/>
    <w:link w:val="155"/>
    <w:autoRedefine/>
    <w:semiHidden/>
    <w:uiPriority w:val="99"/>
    <w:pPr>
      <w:shd w:val="clear" w:color="auto" w:fill="000080"/>
    </w:pPr>
    <w:rPr>
      <w:rFonts w:ascii="Times New Roman" w:hAnsi="Times New Roman" w:eastAsia="宋体" w:cs="Times New Roman"/>
    </w:rPr>
  </w:style>
  <w:style w:type="paragraph" w:styleId="15">
    <w:name w:val="annotation text"/>
    <w:basedOn w:val="1"/>
    <w:link w:val="94"/>
    <w:autoRedefine/>
    <w:semiHidden/>
    <w:qFormat/>
    <w:uiPriority w:val="99"/>
    <w:pPr>
      <w:jc w:val="left"/>
    </w:pPr>
    <w:rPr>
      <w:rFonts w:ascii="Times New Roman" w:hAnsi="Times New Roman" w:eastAsia="宋体" w:cs="Times New Roman"/>
      <w:kern w:val="0"/>
      <w:sz w:val="20"/>
      <w:szCs w:val="20"/>
    </w:rPr>
  </w:style>
  <w:style w:type="paragraph" w:styleId="16">
    <w:name w:val="Body Text 3"/>
    <w:basedOn w:val="1"/>
    <w:link w:val="68"/>
    <w:autoRedefine/>
    <w:qFormat/>
    <w:uiPriority w:val="99"/>
    <w:pPr>
      <w:spacing w:after="120"/>
    </w:pPr>
    <w:rPr>
      <w:rFonts w:ascii="Times New Roman" w:hAnsi="Times New Roman" w:eastAsia="宋体" w:cs="Times New Roman"/>
      <w:kern w:val="0"/>
      <w:sz w:val="16"/>
      <w:szCs w:val="16"/>
    </w:rPr>
  </w:style>
  <w:style w:type="paragraph" w:styleId="17">
    <w:name w:val="Body Text"/>
    <w:basedOn w:val="1"/>
    <w:next w:val="1"/>
    <w:link w:val="69"/>
    <w:autoRedefine/>
    <w:qFormat/>
    <w:uiPriority w:val="99"/>
    <w:pPr>
      <w:spacing w:after="120"/>
    </w:pPr>
    <w:rPr>
      <w:rFonts w:ascii="Times New Roman" w:hAnsi="Times New Roman" w:eastAsia="宋体" w:cs="Times New Roman"/>
      <w:kern w:val="0"/>
      <w:sz w:val="20"/>
      <w:szCs w:val="20"/>
    </w:rPr>
  </w:style>
  <w:style w:type="paragraph" w:styleId="18">
    <w:name w:val="Body Text Indent"/>
    <w:basedOn w:val="1"/>
    <w:link w:val="98"/>
    <w:autoRedefine/>
    <w:qFormat/>
    <w:uiPriority w:val="99"/>
    <w:pPr>
      <w:ind w:firstLine="830" w:firstLineChars="352"/>
    </w:pPr>
    <w:rPr>
      <w:rFonts w:ascii="仿宋_GB2312" w:hAnsi="Times New Roman" w:eastAsia="仿宋_GB2312" w:cs="仿宋_GB2312"/>
      <w:kern w:val="0"/>
      <w:sz w:val="32"/>
      <w:szCs w:val="32"/>
    </w:rPr>
  </w:style>
  <w:style w:type="paragraph" w:styleId="19">
    <w:name w:val="List 2"/>
    <w:basedOn w:val="1"/>
    <w:autoRedefine/>
    <w:qFormat/>
    <w:uiPriority w:val="99"/>
    <w:pPr>
      <w:ind w:left="100" w:leftChars="200" w:hanging="200" w:hangingChars="200"/>
    </w:pPr>
    <w:rPr>
      <w:rFonts w:ascii="Times New Roman" w:hAnsi="Times New Roman" w:eastAsia="宋体" w:cs="Times New Roman"/>
    </w:rPr>
  </w:style>
  <w:style w:type="paragraph" w:styleId="20">
    <w:name w:val="List Continue"/>
    <w:basedOn w:val="1"/>
    <w:autoRedefine/>
    <w:semiHidden/>
    <w:qFormat/>
    <w:uiPriority w:val="99"/>
    <w:pPr>
      <w:spacing w:after="120"/>
      <w:ind w:left="420" w:leftChars="200"/>
    </w:pPr>
  </w:style>
  <w:style w:type="paragraph" w:styleId="21">
    <w:name w:val="toc 5"/>
    <w:basedOn w:val="1"/>
    <w:next w:val="1"/>
    <w:autoRedefine/>
    <w:semiHidden/>
    <w:qFormat/>
    <w:uiPriority w:val="99"/>
    <w:pPr>
      <w:ind w:left="1680" w:leftChars="800"/>
    </w:pPr>
    <w:rPr>
      <w:rFonts w:ascii="Calibri" w:hAnsi="Calibri" w:eastAsia="宋体" w:cs="Calibri"/>
    </w:rPr>
  </w:style>
  <w:style w:type="paragraph" w:styleId="22">
    <w:name w:val="toc 3"/>
    <w:basedOn w:val="1"/>
    <w:next w:val="1"/>
    <w:autoRedefine/>
    <w:semiHidden/>
    <w:uiPriority w:val="99"/>
    <w:pPr>
      <w:ind w:left="840" w:leftChars="400"/>
    </w:pPr>
  </w:style>
  <w:style w:type="paragraph" w:styleId="23">
    <w:name w:val="Plain Text"/>
    <w:basedOn w:val="1"/>
    <w:next w:val="5"/>
    <w:link w:val="102"/>
    <w:uiPriority w:val="99"/>
    <w:rPr>
      <w:rFonts w:ascii="宋体" w:hAnsi="Courier New" w:eastAsia="宋体" w:cs="宋体"/>
      <w:kern w:val="0"/>
      <w:sz w:val="20"/>
      <w:szCs w:val="20"/>
    </w:rPr>
  </w:style>
  <w:style w:type="paragraph" w:styleId="24">
    <w:name w:val="toc 8"/>
    <w:basedOn w:val="1"/>
    <w:next w:val="1"/>
    <w:autoRedefine/>
    <w:semiHidden/>
    <w:uiPriority w:val="99"/>
    <w:pPr>
      <w:ind w:left="2940" w:leftChars="1400"/>
    </w:pPr>
    <w:rPr>
      <w:rFonts w:ascii="Calibri" w:hAnsi="Calibri" w:eastAsia="宋体" w:cs="Calibri"/>
    </w:rPr>
  </w:style>
  <w:style w:type="paragraph" w:styleId="25">
    <w:name w:val="Date"/>
    <w:basedOn w:val="1"/>
    <w:next w:val="1"/>
    <w:link w:val="104"/>
    <w:autoRedefine/>
    <w:qFormat/>
    <w:uiPriority w:val="99"/>
    <w:pPr>
      <w:ind w:left="100" w:leftChars="2500"/>
    </w:pPr>
    <w:rPr>
      <w:rFonts w:ascii="Times New Roman" w:hAnsi="Times New Roman" w:eastAsia="宋体" w:cs="Times New Roman"/>
      <w:kern w:val="0"/>
      <w:sz w:val="20"/>
      <w:szCs w:val="20"/>
    </w:rPr>
  </w:style>
  <w:style w:type="paragraph" w:styleId="26">
    <w:name w:val="Body Text Indent 2"/>
    <w:basedOn w:val="1"/>
    <w:link w:val="161"/>
    <w:autoRedefine/>
    <w:qFormat/>
    <w:uiPriority w:val="99"/>
    <w:pPr>
      <w:spacing w:after="120" w:line="480" w:lineRule="auto"/>
      <w:ind w:left="420" w:leftChars="200"/>
    </w:pPr>
    <w:rPr>
      <w:rFonts w:ascii="Times New Roman" w:hAnsi="Times New Roman" w:eastAsia="宋体" w:cs="Times New Roman"/>
    </w:rPr>
  </w:style>
  <w:style w:type="paragraph" w:styleId="27">
    <w:name w:val="Balloon Text"/>
    <w:basedOn w:val="1"/>
    <w:link w:val="105"/>
    <w:autoRedefine/>
    <w:semiHidden/>
    <w:qFormat/>
    <w:uiPriority w:val="99"/>
    <w:rPr>
      <w:rFonts w:ascii="Times New Roman" w:hAnsi="Times New Roman" w:eastAsia="宋体" w:cs="Times New Roman"/>
      <w:kern w:val="0"/>
      <w:sz w:val="18"/>
      <w:szCs w:val="18"/>
    </w:rPr>
  </w:style>
  <w:style w:type="paragraph" w:styleId="28">
    <w:name w:val="footer"/>
    <w:basedOn w:val="1"/>
    <w:link w:val="107"/>
    <w:autoRedefine/>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9">
    <w:name w:val="header"/>
    <w:basedOn w:val="1"/>
    <w:link w:val="109"/>
    <w:autoRedefine/>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1"/>
    <w:next w:val="1"/>
    <w:autoRedefine/>
    <w:semiHidden/>
    <w:qFormat/>
    <w:uiPriority w:val="99"/>
  </w:style>
  <w:style w:type="paragraph" w:styleId="31">
    <w:name w:val="toc 4"/>
    <w:basedOn w:val="1"/>
    <w:next w:val="1"/>
    <w:autoRedefine/>
    <w:semiHidden/>
    <w:qFormat/>
    <w:uiPriority w:val="99"/>
    <w:pPr>
      <w:ind w:left="1260" w:leftChars="600"/>
    </w:pPr>
    <w:rPr>
      <w:rFonts w:ascii="Calibri" w:hAnsi="Calibri" w:eastAsia="宋体" w:cs="Calibri"/>
    </w:rPr>
  </w:style>
  <w:style w:type="paragraph" w:styleId="32">
    <w:name w:val="Subtitle"/>
    <w:basedOn w:val="1"/>
    <w:link w:val="77"/>
    <w:autoRedefine/>
    <w:qFormat/>
    <w:uiPriority w:val="99"/>
    <w:pPr>
      <w:spacing w:before="240" w:after="60" w:line="312" w:lineRule="auto"/>
      <w:jc w:val="center"/>
      <w:outlineLvl w:val="1"/>
    </w:pPr>
    <w:rPr>
      <w:rFonts w:ascii="Arial" w:hAnsi="Arial" w:eastAsia="宋体" w:cs="Arial"/>
      <w:b/>
      <w:bCs/>
      <w:kern w:val="28"/>
      <w:sz w:val="32"/>
      <w:szCs w:val="32"/>
    </w:rPr>
  </w:style>
  <w:style w:type="paragraph" w:styleId="33">
    <w:name w:val="List"/>
    <w:basedOn w:val="1"/>
    <w:autoRedefine/>
    <w:qFormat/>
    <w:uiPriority w:val="99"/>
    <w:pPr>
      <w:ind w:left="200" w:hanging="200" w:hangingChars="200"/>
    </w:pPr>
    <w:rPr>
      <w:rFonts w:ascii="Times New Roman" w:hAnsi="Times New Roman" w:eastAsia="宋体" w:cs="Times New Roman"/>
    </w:rPr>
  </w:style>
  <w:style w:type="paragraph" w:styleId="34">
    <w:name w:val="footnote text"/>
    <w:basedOn w:val="1"/>
    <w:link w:val="165"/>
    <w:autoRedefine/>
    <w:semiHidden/>
    <w:qFormat/>
    <w:uiPriority w:val="99"/>
    <w:pPr>
      <w:snapToGrid w:val="0"/>
      <w:jc w:val="left"/>
    </w:pPr>
    <w:rPr>
      <w:rFonts w:ascii="Times New Roman" w:hAnsi="Times New Roman" w:eastAsia="宋体" w:cs="Times New Roman"/>
      <w:sz w:val="18"/>
      <w:szCs w:val="18"/>
    </w:rPr>
  </w:style>
  <w:style w:type="paragraph" w:styleId="35">
    <w:name w:val="toc 6"/>
    <w:basedOn w:val="1"/>
    <w:next w:val="1"/>
    <w:autoRedefine/>
    <w:semiHidden/>
    <w:qFormat/>
    <w:uiPriority w:val="99"/>
    <w:pPr>
      <w:ind w:left="2100" w:leftChars="1000"/>
    </w:pPr>
    <w:rPr>
      <w:rFonts w:ascii="Calibri" w:hAnsi="Calibri" w:eastAsia="宋体" w:cs="Calibri"/>
    </w:rPr>
  </w:style>
  <w:style w:type="paragraph" w:styleId="36">
    <w:name w:val="Body Text Indent 3"/>
    <w:basedOn w:val="1"/>
    <w:link w:val="79"/>
    <w:autoRedefine/>
    <w:qFormat/>
    <w:uiPriority w:val="99"/>
    <w:pPr>
      <w:spacing w:after="120"/>
      <w:ind w:left="420" w:leftChars="200"/>
    </w:pPr>
    <w:rPr>
      <w:rFonts w:ascii="Times New Roman" w:hAnsi="Times New Roman" w:eastAsia="宋体" w:cs="Times New Roman"/>
      <w:sz w:val="16"/>
      <w:szCs w:val="16"/>
    </w:rPr>
  </w:style>
  <w:style w:type="paragraph" w:styleId="37">
    <w:name w:val="toc 2"/>
    <w:basedOn w:val="1"/>
    <w:next w:val="1"/>
    <w:autoRedefine/>
    <w:semiHidden/>
    <w:qFormat/>
    <w:uiPriority w:val="99"/>
    <w:pPr>
      <w:ind w:left="420" w:leftChars="200"/>
    </w:pPr>
  </w:style>
  <w:style w:type="paragraph" w:styleId="38">
    <w:name w:val="toc 9"/>
    <w:basedOn w:val="1"/>
    <w:next w:val="1"/>
    <w:autoRedefine/>
    <w:semiHidden/>
    <w:qFormat/>
    <w:uiPriority w:val="99"/>
    <w:pPr>
      <w:ind w:left="3360" w:leftChars="1600"/>
    </w:pPr>
    <w:rPr>
      <w:rFonts w:ascii="Calibri" w:hAnsi="Calibri" w:eastAsia="宋体" w:cs="Calibri"/>
    </w:rPr>
  </w:style>
  <w:style w:type="paragraph" w:styleId="39">
    <w:name w:val="Body Text 2"/>
    <w:basedOn w:val="1"/>
    <w:link w:val="80"/>
    <w:autoRedefine/>
    <w:qFormat/>
    <w:uiPriority w:val="99"/>
    <w:pPr>
      <w:spacing w:after="120" w:line="480" w:lineRule="auto"/>
    </w:pPr>
    <w:rPr>
      <w:rFonts w:ascii="Times New Roman" w:hAnsi="Times New Roman" w:eastAsia="宋体" w:cs="Times New Roman"/>
    </w:rPr>
  </w:style>
  <w:style w:type="paragraph" w:styleId="40">
    <w:name w:val="Normal (Web)"/>
    <w:basedOn w:val="1"/>
    <w:autoRedefine/>
    <w:qFormat/>
    <w:uiPriority w:val="99"/>
    <w:rPr>
      <w:rFonts w:ascii="Calibri" w:hAnsi="Calibri" w:eastAsia="宋体" w:cs="Calibri"/>
      <w:kern w:val="0"/>
      <w:sz w:val="24"/>
      <w:szCs w:val="24"/>
    </w:rPr>
  </w:style>
  <w:style w:type="paragraph" w:styleId="41">
    <w:name w:val="Title"/>
    <w:basedOn w:val="1"/>
    <w:link w:val="168"/>
    <w:autoRedefine/>
    <w:qFormat/>
    <w:uiPriority w:val="99"/>
    <w:pPr>
      <w:spacing w:before="240" w:after="60"/>
      <w:jc w:val="center"/>
      <w:outlineLvl w:val="0"/>
    </w:pPr>
    <w:rPr>
      <w:rFonts w:ascii="Arial" w:hAnsi="Arial" w:eastAsia="宋体" w:cs="Arial"/>
      <w:b/>
      <w:bCs/>
      <w:sz w:val="32"/>
      <w:szCs w:val="32"/>
    </w:rPr>
  </w:style>
  <w:style w:type="paragraph" w:styleId="42">
    <w:name w:val="annotation subject"/>
    <w:basedOn w:val="15"/>
    <w:next w:val="15"/>
    <w:link w:val="111"/>
    <w:autoRedefine/>
    <w:semiHidden/>
    <w:qFormat/>
    <w:uiPriority w:val="99"/>
    <w:rPr>
      <w:b/>
      <w:bCs/>
    </w:rPr>
  </w:style>
  <w:style w:type="paragraph" w:styleId="43">
    <w:name w:val="Body Text First Indent 2"/>
    <w:basedOn w:val="18"/>
    <w:link w:val="83"/>
    <w:autoRedefine/>
    <w:qFormat/>
    <w:uiPriority w:val="99"/>
    <w:pPr>
      <w:ind w:firstLine="420" w:firstLineChars="200"/>
    </w:pPr>
  </w:style>
  <w:style w:type="table" w:styleId="45">
    <w:name w:val="Table Grid"/>
    <w:basedOn w:val="44"/>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7">
    <w:name w:val="_Style 36"/>
    <w:basedOn w:val="1"/>
    <w:link w:val="46"/>
    <w:uiPriority w:val="99"/>
    <w:pPr>
      <w:tabs>
        <w:tab w:val="left" w:pos="360"/>
      </w:tabs>
      <w:spacing w:line="360" w:lineRule="auto"/>
      <w:ind w:left="482" w:firstLine="200" w:firstLineChars="200"/>
    </w:pPr>
    <w:rPr>
      <w:rFonts w:ascii="宋体" w:hAnsi="Times New Roman" w:eastAsia="宋体" w:cs="宋体"/>
      <w:sz w:val="24"/>
      <w:szCs w:val="24"/>
    </w:rPr>
  </w:style>
  <w:style w:type="character" w:styleId="48">
    <w:name w:val="Strong"/>
    <w:basedOn w:val="46"/>
    <w:qFormat/>
    <w:uiPriority w:val="99"/>
    <w:rPr>
      <w:b/>
      <w:bCs/>
      <w:sz w:val="20"/>
      <w:szCs w:val="20"/>
    </w:rPr>
  </w:style>
  <w:style w:type="character" w:styleId="49">
    <w:name w:val="endnote reference"/>
    <w:basedOn w:val="46"/>
    <w:semiHidden/>
    <w:qFormat/>
    <w:uiPriority w:val="99"/>
    <w:rPr>
      <w:vertAlign w:val="superscript"/>
    </w:rPr>
  </w:style>
  <w:style w:type="character" w:styleId="50">
    <w:name w:val="page number"/>
    <w:basedOn w:val="46"/>
    <w:qFormat/>
    <w:uiPriority w:val="99"/>
  </w:style>
  <w:style w:type="character" w:styleId="51">
    <w:name w:val="Emphasis"/>
    <w:basedOn w:val="46"/>
    <w:qFormat/>
    <w:uiPriority w:val="99"/>
    <w:rPr>
      <w:color w:val="auto"/>
      <w:sz w:val="20"/>
      <w:szCs w:val="20"/>
    </w:rPr>
  </w:style>
  <w:style w:type="character" w:styleId="52">
    <w:name w:val="Hyperlink"/>
    <w:basedOn w:val="46"/>
    <w:qFormat/>
    <w:uiPriority w:val="99"/>
    <w:rPr>
      <w:color w:val="0000FF"/>
      <w:u w:val="single"/>
    </w:rPr>
  </w:style>
  <w:style w:type="character" w:styleId="53">
    <w:name w:val="annotation reference"/>
    <w:basedOn w:val="46"/>
    <w:semiHidden/>
    <w:qFormat/>
    <w:uiPriority w:val="99"/>
    <w:rPr>
      <w:sz w:val="21"/>
      <w:szCs w:val="21"/>
    </w:rPr>
  </w:style>
  <w:style w:type="character" w:styleId="54">
    <w:name w:val="HTML Cite"/>
    <w:basedOn w:val="46"/>
    <w:qFormat/>
    <w:uiPriority w:val="99"/>
    <w:rPr>
      <w:color w:val="008000"/>
    </w:rPr>
  </w:style>
  <w:style w:type="character" w:styleId="55">
    <w:name w:val="footnote reference"/>
    <w:basedOn w:val="46"/>
    <w:semiHidden/>
    <w:qFormat/>
    <w:uiPriority w:val="99"/>
    <w:rPr>
      <w:sz w:val="20"/>
      <w:szCs w:val="20"/>
      <w:vertAlign w:val="superscript"/>
    </w:rPr>
  </w:style>
  <w:style w:type="character" w:styleId="56">
    <w:name w:val="HTML Sample"/>
    <w:basedOn w:val="46"/>
    <w:semiHidden/>
    <w:qFormat/>
    <w:uiPriority w:val="99"/>
    <w:rPr>
      <w:rFonts w:ascii="Courier New" w:hAnsi="Courier New" w:cs="Courier New"/>
    </w:rPr>
  </w:style>
  <w:style w:type="character" w:customStyle="1" w:styleId="57">
    <w:name w:val="Heading 1 Char"/>
    <w:basedOn w:val="46"/>
    <w:link w:val="2"/>
    <w:qFormat/>
    <w:uiPriority w:val="99"/>
    <w:rPr>
      <w:rFonts w:ascii="宋体" w:hAnsi="宋体" w:eastAsia="宋体" w:cs="宋体"/>
      <w:b/>
      <w:bCs/>
      <w:kern w:val="44"/>
      <w:sz w:val="44"/>
      <w:szCs w:val="44"/>
      <w:lang w:val="en-US" w:eastAsia="zh-CN"/>
    </w:rPr>
  </w:style>
  <w:style w:type="character" w:customStyle="1" w:styleId="58">
    <w:name w:val="Heading 2 Char"/>
    <w:basedOn w:val="46"/>
    <w:link w:val="3"/>
    <w:qFormat/>
    <w:uiPriority w:val="99"/>
    <w:rPr>
      <w:rFonts w:ascii="Arial" w:hAnsi="Arial" w:eastAsia="黑体" w:cs="Arial"/>
      <w:b/>
      <w:bCs/>
      <w:kern w:val="2"/>
      <w:sz w:val="32"/>
      <w:szCs w:val="32"/>
      <w:lang w:val="en-US" w:eastAsia="zh-CN"/>
    </w:rPr>
  </w:style>
  <w:style w:type="character" w:customStyle="1" w:styleId="59">
    <w:name w:val="Heading 3 Char"/>
    <w:basedOn w:val="46"/>
    <w:link w:val="4"/>
    <w:qFormat/>
    <w:uiPriority w:val="99"/>
    <w:rPr>
      <w:b/>
      <w:bCs/>
      <w:kern w:val="2"/>
      <w:sz w:val="32"/>
      <w:szCs w:val="32"/>
    </w:rPr>
  </w:style>
  <w:style w:type="character" w:customStyle="1" w:styleId="60">
    <w:name w:val="Heading 4 Char"/>
    <w:basedOn w:val="46"/>
    <w:link w:val="5"/>
    <w:qFormat/>
    <w:uiPriority w:val="99"/>
    <w:rPr>
      <w:rFonts w:ascii="Arial" w:hAnsi="Arial" w:eastAsia="宋体" w:cs="Arial"/>
      <w:b/>
      <w:bCs/>
      <w:kern w:val="2"/>
      <w:sz w:val="28"/>
      <w:szCs w:val="28"/>
      <w:lang w:val="en-US" w:eastAsia="zh-CN"/>
    </w:rPr>
  </w:style>
  <w:style w:type="character" w:customStyle="1" w:styleId="61">
    <w:name w:val="Heading 5 Char"/>
    <w:basedOn w:val="46"/>
    <w:link w:val="6"/>
    <w:uiPriority w:val="99"/>
    <w:rPr>
      <w:rFonts w:ascii="宋体" w:hAnsi="宋体" w:eastAsia="宋体" w:cs="宋体"/>
      <w:b/>
      <w:bCs/>
      <w:kern w:val="2"/>
      <w:sz w:val="28"/>
      <w:szCs w:val="28"/>
      <w:lang w:val="en-US" w:eastAsia="zh-CN"/>
    </w:rPr>
  </w:style>
  <w:style w:type="character" w:customStyle="1" w:styleId="62">
    <w:name w:val="Heading 6 Char"/>
    <w:basedOn w:val="46"/>
    <w:link w:val="8"/>
    <w:locked/>
    <w:uiPriority w:val="99"/>
    <w:rPr>
      <w:rFonts w:ascii="Arial" w:hAnsi="Arial" w:eastAsia="黑体" w:cs="Arial"/>
      <w:b/>
      <w:bCs/>
      <w:kern w:val="2"/>
      <w:sz w:val="24"/>
      <w:szCs w:val="24"/>
    </w:rPr>
  </w:style>
  <w:style w:type="character" w:customStyle="1" w:styleId="63">
    <w:name w:val="Heading 7 Char"/>
    <w:basedOn w:val="46"/>
    <w:link w:val="9"/>
    <w:qFormat/>
    <w:locked/>
    <w:uiPriority w:val="99"/>
    <w:rPr>
      <w:rFonts w:ascii="Times New Roman" w:hAnsi="Times New Roman" w:eastAsia="宋体" w:cs="Times New Roman"/>
      <w:b/>
      <w:bCs/>
      <w:kern w:val="2"/>
      <w:sz w:val="24"/>
      <w:szCs w:val="24"/>
    </w:rPr>
  </w:style>
  <w:style w:type="character" w:customStyle="1" w:styleId="64">
    <w:name w:val="Heading 8 Char"/>
    <w:basedOn w:val="46"/>
    <w:link w:val="10"/>
    <w:locked/>
    <w:uiPriority w:val="99"/>
    <w:rPr>
      <w:rFonts w:ascii="等线 Light" w:hAnsi="等线 Light" w:eastAsia="等线 Light" w:cs="等线 Light"/>
      <w:sz w:val="24"/>
      <w:szCs w:val="24"/>
    </w:rPr>
  </w:style>
  <w:style w:type="character" w:customStyle="1" w:styleId="65">
    <w:name w:val="Heading 9 Char"/>
    <w:basedOn w:val="46"/>
    <w:link w:val="11"/>
    <w:locked/>
    <w:uiPriority w:val="99"/>
    <w:rPr>
      <w:rFonts w:ascii="Arial" w:hAnsi="Arial" w:eastAsia="黑体" w:cs="Arial"/>
      <w:kern w:val="2"/>
      <w:sz w:val="24"/>
      <w:szCs w:val="24"/>
    </w:rPr>
  </w:style>
  <w:style w:type="character" w:customStyle="1" w:styleId="66">
    <w:name w:val="Document Map Char"/>
    <w:basedOn w:val="46"/>
    <w:link w:val="14"/>
    <w:uiPriority w:val="99"/>
    <w:rPr>
      <w:rFonts w:ascii="宋体" w:hAnsi="宋体" w:eastAsia="宋体" w:cs="宋体"/>
      <w:kern w:val="2"/>
      <w:sz w:val="24"/>
      <w:szCs w:val="24"/>
      <w:lang w:val="en-US" w:eastAsia="zh-CN"/>
    </w:rPr>
  </w:style>
  <w:style w:type="character" w:customStyle="1" w:styleId="67">
    <w:name w:val="Comment Text Char"/>
    <w:basedOn w:val="46"/>
    <w:link w:val="15"/>
    <w:qFormat/>
    <w:uiPriority w:val="99"/>
    <w:rPr>
      <w:sz w:val="24"/>
      <w:szCs w:val="24"/>
    </w:rPr>
  </w:style>
  <w:style w:type="character" w:customStyle="1" w:styleId="68">
    <w:name w:val="Body Text 3 Char"/>
    <w:basedOn w:val="46"/>
    <w:link w:val="16"/>
    <w:locked/>
    <w:uiPriority w:val="99"/>
    <w:rPr>
      <w:rFonts w:ascii="Times New Roman" w:hAnsi="Times New Roman" w:eastAsia="宋体" w:cs="Times New Roman"/>
      <w:sz w:val="16"/>
      <w:szCs w:val="16"/>
    </w:rPr>
  </w:style>
  <w:style w:type="character" w:customStyle="1" w:styleId="69">
    <w:name w:val="Body Text Char"/>
    <w:basedOn w:val="46"/>
    <w:link w:val="17"/>
    <w:locked/>
    <w:uiPriority w:val="99"/>
    <w:rPr>
      <w:rFonts w:ascii="Times New Roman" w:hAnsi="Times New Roman" w:eastAsia="宋体" w:cs="Times New Roman"/>
      <w:sz w:val="24"/>
      <w:szCs w:val="24"/>
    </w:rPr>
  </w:style>
  <w:style w:type="character" w:customStyle="1" w:styleId="70">
    <w:name w:val="Body Text Indent Char"/>
    <w:basedOn w:val="46"/>
    <w:link w:val="18"/>
    <w:qFormat/>
    <w:uiPriority w:val="99"/>
    <w:rPr>
      <w:rFonts w:ascii="宋体" w:hAnsi="宋体" w:eastAsia="宋体" w:cs="宋体"/>
      <w:kern w:val="2"/>
      <w:sz w:val="21"/>
      <w:szCs w:val="21"/>
      <w:lang w:val="en-US" w:eastAsia="zh-CN"/>
    </w:rPr>
  </w:style>
  <w:style w:type="character" w:customStyle="1" w:styleId="71">
    <w:name w:val="Plain Text Char"/>
    <w:basedOn w:val="46"/>
    <w:link w:val="23"/>
    <w:uiPriority w:val="99"/>
    <w:rPr>
      <w:rFonts w:ascii="宋体" w:hAnsi="Courier New" w:eastAsia="宋体" w:cs="宋体"/>
      <w:sz w:val="24"/>
      <w:szCs w:val="24"/>
    </w:rPr>
  </w:style>
  <w:style w:type="character" w:customStyle="1" w:styleId="72">
    <w:name w:val="Date Char"/>
    <w:basedOn w:val="46"/>
    <w:link w:val="25"/>
    <w:qFormat/>
    <w:uiPriority w:val="99"/>
    <w:rPr>
      <w:rFonts w:ascii="宋体" w:hAnsi="宋体" w:eastAsia="宋体" w:cs="宋体"/>
      <w:kern w:val="2"/>
      <w:sz w:val="24"/>
      <w:szCs w:val="24"/>
      <w:lang w:val="en-US" w:eastAsia="zh-CN"/>
    </w:rPr>
  </w:style>
  <w:style w:type="character" w:customStyle="1" w:styleId="73">
    <w:name w:val="Body Text Indent 2 Char"/>
    <w:basedOn w:val="46"/>
    <w:link w:val="26"/>
    <w:qFormat/>
    <w:uiPriority w:val="99"/>
    <w:rPr>
      <w:rFonts w:ascii="宋体" w:hAnsi="宋体" w:eastAsia="宋体" w:cs="宋体"/>
      <w:kern w:val="2"/>
      <w:sz w:val="24"/>
      <w:szCs w:val="24"/>
      <w:lang w:val="en-US" w:eastAsia="zh-CN"/>
    </w:rPr>
  </w:style>
  <w:style w:type="character" w:customStyle="1" w:styleId="74">
    <w:name w:val="Balloon Text Char"/>
    <w:basedOn w:val="46"/>
    <w:link w:val="27"/>
    <w:qFormat/>
    <w:uiPriority w:val="99"/>
    <w:rPr>
      <w:sz w:val="18"/>
      <w:szCs w:val="18"/>
    </w:rPr>
  </w:style>
  <w:style w:type="character" w:customStyle="1" w:styleId="75">
    <w:name w:val="Footer Char"/>
    <w:basedOn w:val="46"/>
    <w:link w:val="28"/>
    <w:qFormat/>
    <w:uiPriority w:val="99"/>
    <w:rPr>
      <w:rFonts w:ascii="宋体" w:hAnsi="宋体" w:eastAsia="宋体" w:cs="宋体"/>
      <w:kern w:val="2"/>
      <w:sz w:val="18"/>
      <w:szCs w:val="18"/>
      <w:lang w:val="en-US" w:eastAsia="zh-CN"/>
    </w:rPr>
  </w:style>
  <w:style w:type="character" w:customStyle="1" w:styleId="76">
    <w:name w:val="Header Char"/>
    <w:basedOn w:val="46"/>
    <w:link w:val="29"/>
    <w:qFormat/>
    <w:uiPriority w:val="99"/>
    <w:rPr>
      <w:rFonts w:ascii="宋体" w:hAnsi="宋体" w:eastAsia="宋体" w:cs="宋体"/>
      <w:kern w:val="2"/>
      <w:sz w:val="18"/>
      <w:szCs w:val="18"/>
      <w:lang w:val="en-US" w:eastAsia="zh-CN"/>
    </w:rPr>
  </w:style>
  <w:style w:type="character" w:customStyle="1" w:styleId="77">
    <w:name w:val="Subtitle Char"/>
    <w:basedOn w:val="46"/>
    <w:link w:val="32"/>
    <w:qFormat/>
    <w:locked/>
    <w:uiPriority w:val="99"/>
    <w:rPr>
      <w:rFonts w:ascii="Arial" w:hAnsi="Arial" w:eastAsia="宋体" w:cs="Arial"/>
      <w:b/>
      <w:bCs/>
      <w:kern w:val="28"/>
      <w:sz w:val="24"/>
      <w:szCs w:val="24"/>
    </w:rPr>
  </w:style>
  <w:style w:type="character" w:customStyle="1" w:styleId="78">
    <w:name w:val="Footnote Text Char"/>
    <w:basedOn w:val="46"/>
    <w:link w:val="34"/>
    <w:qFormat/>
    <w:uiPriority w:val="99"/>
    <w:rPr>
      <w:rFonts w:ascii="宋体" w:hAnsi="宋体" w:eastAsia="宋体" w:cs="宋体"/>
      <w:sz w:val="18"/>
      <w:szCs w:val="18"/>
      <w:lang w:val="en-US" w:eastAsia="zh-CN"/>
    </w:rPr>
  </w:style>
  <w:style w:type="character" w:customStyle="1" w:styleId="79">
    <w:name w:val="Body Text Indent 3 Char"/>
    <w:basedOn w:val="46"/>
    <w:link w:val="36"/>
    <w:qFormat/>
    <w:locked/>
    <w:uiPriority w:val="99"/>
    <w:rPr>
      <w:rFonts w:ascii="Times New Roman" w:hAnsi="Times New Roman" w:eastAsia="宋体" w:cs="Times New Roman"/>
      <w:kern w:val="2"/>
      <w:sz w:val="24"/>
      <w:szCs w:val="24"/>
    </w:rPr>
  </w:style>
  <w:style w:type="character" w:customStyle="1" w:styleId="80">
    <w:name w:val="Body Text 2 Char"/>
    <w:basedOn w:val="46"/>
    <w:link w:val="39"/>
    <w:qFormat/>
    <w:locked/>
    <w:uiPriority w:val="99"/>
    <w:rPr>
      <w:rFonts w:ascii="Times New Roman" w:hAnsi="Times New Roman" w:eastAsia="宋体" w:cs="Times New Roman"/>
      <w:kern w:val="2"/>
      <w:sz w:val="24"/>
      <w:szCs w:val="24"/>
    </w:rPr>
  </w:style>
  <w:style w:type="character" w:customStyle="1" w:styleId="81">
    <w:name w:val="Title Char"/>
    <w:basedOn w:val="46"/>
    <w:link w:val="41"/>
    <w:qFormat/>
    <w:uiPriority w:val="99"/>
    <w:rPr>
      <w:rFonts w:ascii="Cambria" w:hAnsi="Cambria" w:eastAsia="Times New Roman" w:cs="Cambria"/>
      <w:b/>
      <w:bCs/>
      <w:sz w:val="32"/>
      <w:szCs w:val="32"/>
    </w:rPr>
  </w:style>
  <w:style w:type="character" w:customStyle="1" w:styleId="82">
    <w:name w:val="Comment Subject Char"/>
    <w:basedOn w:val="46"/>
    <w:link w:val="42"/>
    <w:qFormat/>
    <w:uiPriority w:val="99"/>
    <w:rPr>
      <w:b/>
      <w:bCs/>
      <w:sz w:val="24"/>
      <w:szCs w:val="24"/>
    </w:rPr>
  </w:style>
  <w:style w:type="character" w:customStyle="1" w:styleId="83">
    <w:name w:val="Body Text First Indent 2 Char"/>
    <w:basedOn w:val="46"/>
    <w:link w:val="43"/>
    <w:qFormat/>
    <w:locked/>
    <w:uiPriority w:val="99"/>
    <w:rPr>
      <w:rFonts w:ascii="仿宋_GB2312" w:hAnsi="Times New Roman" w:eastAsia="仿宋_GB2312" w:cs="仿宋_GB2312"/>
      <w:sz w:val="32"/>
      <w:szCs w:val="32"/>
    </w:rPr>
  </w:style>
  <w:style w:type="character" w:customStyle="1" w:styleId="84">
    <w:name w:val="标题 1 字符"/>
    <w:qFormat/>
    <w:uiPriority w:val="99"/>
    <w:rPr>
      <w:b/>
      <w:bCs/>
      <w:kern w:val="44"/>
      <w:sz w:val="44"/>
      <w:szCs w:val="44"/>
    </w:rPr>
  </w:style>
  <w:style w:type="character" w:customStyle="1" w:styleId="85">
    <w:name w:val="标题 2 字符"/>
    <w:qFormat/>
    <w:uiPriority w:val="99"/>
    <w:rPr>
      <w:rFonts w:ascii="等线 Light" w:hAnsi="等线 Light" w:eastAsia="等线 Light" w:cs="等线 Light"/>
      <w:b/>
      <w:bCs/>
      <w:sz w:val="32"/>
      <w:szCs w:val="32"/>
    </w:rPr>
  </w:style>
  <w:style w:type="character" w:customStyle="1" w:styleId="86">
    <w:name w:val="标题 3 字符"/>
    <w:qFormat/>
    <w:uiPriority w:val="99"/>
    <w:rPr>
      <w:b/>
      <w:bCs/>
      <w:sz w:val="32"/>
      <w:szCs w:val="32"/>
    </w:rPr>
  </w:style>
  <w:style w:type="character" w:customStyle="1" w:styleId="87">
    <w:name w:val="标题 5 字符"/>
    <w:qFormat/>
    <w:uiPriority w:val="99"/>
    <w:rPr>
      <w:b/>
      <w:bCs/>
      <w:sz w:val="28"/>
      <w:szCs w:val="28"/>
    </w:rPr>
  </w:style>
  <w:style w:type="character" w:customStyle="1" w:styleId="88">
    <w:name w:val="标题 8 字符"/>
    <w:qFormat/>
    <w:uiPriority w:val="99"/>
    <w:rPr>
      <w:rFonts w:ascii="等线 Light" w:hAnsi="等线 Light" w:eastAsia="等线 Light" w:cs="等线 Light"/>
      <w:sz w:val="24"/>
      <w:szCs w:val="24"/>
    </w:rPr>
  </w:style>
  <w:style w:type="character" w:customStyle="1" w:styleId="89">
    <w:name w:val="Heading 1 Char1"/>
    <w:link w:val="2"/>
    <w:qFormat/>
    <w:locked/>
    <w:uiPriority w:val="99"/>
    <w:rPr>
      <w:b/>
      <w:bCs/>
      <w:kern w:val="44"/>
      <w:sz w:val="44"/>
      <w:szCs w:val="44"/>
    </w:rPr>
  </w:style>
  <w:style w:type="character" w:customStyle="1" w:styleId="90">
    <w:name w:val="Heading 2 Char1"/>
    <w:link w:val="3"/>
    <w:qFormat/>
    <w:locked/>
    <w:uiPriority w:val="99"/>
    <w:rPr>
      <w:rFonts w:ascii="Cambria" w:hAnsi="Cambria" w:eastAsia="宋体" w:cs="Cambria"/>
      <w:b/>
      <w:bCs/>
      <w:sz w:val="32"/>
      <w:szCs w:val="32"/>
    </w:rPr>
  </w:style>
  <w:style w:type="character" w:customStyle="1" w:styleId="91">
    <w:name w:val="Heading 3 Char2"/>
    <w:link w:val="4"/>
    <w:qFormat/>
    <w:locked/>
    <w:uiPriority w:val="99"/>
    <w:rPr>
      <w:rFonts w:ascii="Times New Roman" w:hAnsi="Times New Roman" w:eastAsia="宋体" w:cs="Times New Roman"/>
      <w:b/>
      <w:bCs/>
      <w:sz w:val="32"/>
      <w:szCs w:val="32"/>
    </w:rPr>
  </w:style>
  <w:style w:type="character" w:customStyle="1" w:styleId="92">
    <w:name w:val="Heading 5 Char1"/>
    <w:link w:val="6"/>
    <w:qFormat/>
    <w:locked/>
    <w:uiPriority w:val="99"/>
    <w:rPr>
      <w:rFonts w:ascii="Times New Roman" w:hAnsi="Times New Roman" w:eastAsia="宋体" w:cs="Times New Roman"/>
      <w:b/>
      <w:bCs/>
      <w:sz w:val="28"/>
      <w:szCs w:val="28"/>
    </w:rPr>
  </w:style>
  <w:style w:type="character" w:customStyle="1" w:styleId="93">
    <w:name w:val="批注文字 字符"/>
    <w:basedOn w:val="46"/>
    <w:qFormat/>
    <w:uiPriority w:val="99"/>
  </w:style>
  <w:style w:type="character" w:customStyle="1" w:styleId="94">
    <w:name w:val="Comment Text Char2"/>
    <w:link w:val="15"/>
    <w:qFormat/>
    <w:locked/>
    <w:uiPriority w:val="99"/>
    <w:rPr>
      <w:rFonts w:ascii="Times New Roman" w:hAnsi="Times New Roman" w:eastAsia="宋体" w:cs="Times New Roman"/>
      <w:sz w:val="24"/>
      <w:szCs w:val="24"/>
    </w:rPr>
  </w:style>
  <w:style w:type="character" w:customStyle="1" w:styleId="95">
    <w:name w:val="正文文本 3 字符"/>
    <w:qFormat/>
    <w:uiPriority w:val="99"/>
    <w:rPr>
      <w:sz w:val="16"/>
      <w:szCs w:val="16"/>
    </w:rPr>
  </w:style>
  <w:style w:type="character" w:customStyle="1" w:styleId="96">
    <w:name w:val="正文文本 字符"/>
    <w:basedOn w:val="46"/>
    <w:qFormat/>
    <w:uiPriority w:val="99"/>
  </w:style>
  <w:style w:type="character" w:customStyle="1" w:styleId="97">
    <w:name w:val="正文文本缩进 字符"/>
    <w:basedOn w:val="46"/>
    <w:qFormat/>
    <w:uiPriority w:val="99"/>
  </w:style>
  <w:style w:type="character" w:customStyle="1" w:styleId="98">
    <w:name w:val="Body Text Indent Char1"/>
    <w:link w:val="18"/>
    <w:qFormat/>
    <w:locked/>
    <w:uiPriority w:val="99"/>
    <w:rPr>
      <w:rFonts w:ascii="仿宋_GB2312" w:hAnsi="Times New Roman" w:eastAsia="仿宋_GB2312" w:cs="仿宋_GB2312"/>
      <w:kern w:val="0"/>
      <w:sz w:val="20"/>
      <w:szCs w:val="20"/>
    </w:rPr>
  </w:style>
  <w:style w:type="paragraph" w:customStyle="1" w:styleId="99">
    <w:name w:val="_Style 37"/>
    <w:basedOn w:val="1"/>
    <w:next w:val="100"/>
    <w:autoRedefine/>
    <w:qFormat/>
    <w:uiPriority w:val="99"/>
    <w:pPr>
      <w:ind w:firstLine="420" w:firstLineChars="200"/>
    </w:pPr>
    <w:rPr>
      <w:rFonts w:ascii="Times New Roman" w:hAnsi="Times New Roman" w:eastAsia="宋体" w:cs="Times New Roman"/>
    </w:rPr>
  </w:style>
  <w:style w:type="paragraph" w:customStyle="1" w:styleId="100">
    <w:name w:val="列表段落"/>
    <w:basedOn w:val="1"/>
    <w:autoRedefine/>
    <w:uiPriority w:val="99"/>
    <w:pPr>
      <w:ind w:firstLine="420" w:firstLineChars="200"/>
    </w:pPr>
  </w:style>
  <w:style w:type="character" w:customStyle="1" w:styleId="101">
    <w:name w:val="纯文本 字符"/>
    <w:uiPriority w:val="99"/>
    <w:rPr>
      <w:rFonts w:ascii="等线" w:hAnsi="Courier New" w:cs="等线"/>
    </w:rPr>
  </w:style>
  <w:style w:type="character" w:customStyle="1" w:styleId="102">
    <w:name w:val="Plain Text Char1"/>
    <w:link w:val="23"/>
    <w:locked/>
    <w:uiPriority w:val="99"/>
    <w:rPr>
      <w:rFonts w:ascii="宋体" w:hAnsi="Courier New" w:eastAsia="宋体" w:cs="宋体"/>
      <w:kern w:val="0"/>
      <w:sz w:val="21"/>
      <w:szCs w:val="21"/>
    </w:rPr>
  </w:style>
  <w:style w:type="character" w:customStyle="1" w:styleId="103">
    <w:name w:val="日期 字符"/>
    <w:basedOn w:val="46"/>
    <w:uiPriority w:val="99"/>
  </w:style>
  <w:style w:type="character" w:customStyle="1" w:styleId="104">
    <w:name w:val="Date Char1"/>
    <w:link w:val="25"/>
    <w:locked/>
    <w:uiPriority w:val="99"/>
    <w:rPr>
      <w:rFonts w:ascii="Times New Roman" w:hAnsi="Times New Roman" w:eastAsia="宋体" w:cs="Times New Roman"/>
      <w:sz w:val="24"/>
      <w:szCs w:val="24"/>
    </w:rPr>
  </w:style>
  <w:style w:type="character" w:customStyle="1" w:styleId="105">
    <w:name w:val="Balloon Text Char1"/>
    <w:link w:val="27"/>
    <w:semiHidden/>
    <w:locked/>
    <w:uiPriority w:val="99"/>
    <w:rPr>
      <w:rFonts w:ascii="Times New Roman" w:hAnsi="Times New Roman" w:eastAsia="宋体" w:cs="Times New Roman"/>
      <w:sz w:val="18"/>
      <w:szCs w:val="18"/>
    </w:rPr>
  </w:style>
  <w:style w:type="character" w:customStyle="1" w:styleId="106">
    <w:name w:val="页脚 字符"/>
    <w:uiPriority w:val="99"/>
    <w:rPr>
      <w:sz w:val="18"/>
      <w:szCs w:val="18"/>
    </w:rPr>
  </w:style>
  <w:style w:type="character" w:customStyle="1" w:styleId="107">
    <w:name w:val="Footer Char1"/>
    <w:link w:val="28"/>
    <w:locked/>
    <w:uiPriority w:val="99"/>
    <w:rPr>
      <w:rFonts w:ascii="Times New Roman" w:hAnsi="Times New Roman" w:eastAsia="宋体" w:cs="Times New Roman"/>
      <w:kern w:val="0"/>
      <w:sz w:val="18"/>
      <w:szCs w:val="18"/>
    </w:rPr>
  </w:style>
  <w:style w:type="character" w:customStyle="1" w:styleId="108">
    <w:name w:val="页眉 字符"/>
    <w:uiPriority w:val="99"/>
    <w:rPr>
      <w:sz w:val="18"/>
      <w:szCs w:val="18"/>
    </w:rPr>
  </w:style>
  <w:style w:type="character" w:customStyle="1" w:styleId="109">
    <w:name w:val="Header Char1"/>
    <w:link w:val="29"/>
    <w:locked/>
    <w:uiPriority w:val="99"/>
    <w:rPr>
      <w:rFonts w:ascii="Times New Roman" w:hAnsi="Times New Roman" w:eastAsia="宋体" w:cs="Times New Roman"/>
      <w:kern w:val="0"/>
      <w:sz w:val="18"/>
      <w:szCs w:val="18"/>
    </w:rPr>
  </w:style>
  <w:style w:type="character" w:customStyle="1" w:styleId="110">
    <w:name w:val="批注主题 字符"/>
    <w:uiPriority w:val="99"/>
    <w:rPr>
      <w:b/>
      <w:bCs/>
    </w:rPr>
  </w:style>
  <w:style w:type="character" w:customStyle="1" w:styleId="111">
    <w:name w:val="Comment Subject Char1"/>
    <w:link w:val="42"/>
    <w:locked/>
    <w:uiPriority w:val="99"/>
    <w:rPr>
      <w:rFonts w:ascii="Times New Roman" w:hAnsi="Times New Roman" w:eastAsia="宋体" w:cs="Times New Roman"/>
      <w:b/>
      <w:bCs/>
      <w:sz w:val="24"/>
      <w:szCs w:val="24"/>
    </w:rPr>
  </w:style>
  <w:style w:type="character" w:customStyle="1" w:styleId="112">
    <w:name w:val="访问过的超链接1"/>
    <w:uiPriority w:val="99"/>
    <w:rPr>
      <w:color w:val="800080"/>
      <w:u w:val="single"/>
    </w:rPr>
  </w:style>
  <w:style w:type="character" w:customStyle="1" w:styleId="113">
    <w:name w:val="纯文本 字符2"/>
    <w:uiPriority w:val="99"/>
    <w:rPr>
      <w:rFonts w:ascii="宋体" w:hAnsi="Courier New" w:eastAsia="宋体" w:cs="宋体"/>
      <w:sz w:val="21"/>
      <w:szCs w:val="21"/>
    </w:rPr>
  </w:style>
  <w:style w:type="character" w:customStyle="1" w:styleId="114">
    <w:name w:val="apple-style-span"/>
    <w:uiPriority w:val="99"/>
  </w:style>
  <w:style w:type="character" w:customStyle="1" w:styleId="115">
    <w:name w:val="标题 2 Char"/>
    <w:uiPriority w:val="99"/>
    <w:rPr>
      <w:rFonts w:ascii="Cambria" w:hAnsi="Cambria" w:eastAsia="宋体" w:cs="Cambria"/>
      <w:b/>
      <w:bCs/>
      <w:kern w:val="2"/>
      <w:sz w:val="32"/>
      <w:szCs w:val="32"/>
    </w:rPr>
  </w:style>
  <w:style w:type="character" w:customStyle="1" w:styleId="116">
    <w:name w:val="纯文本 字符1"/>
    <w:qFormat/>
    <w:uiPriority w:val="99"/>
    <w:rPr>
      <w:rFonts w:ascii="宋体" w:hAnsi="Courier New" w:cs="宋体"/>
    </w:rPr>
  </w:style>
  <w:style w:type="character" w:customStyle="1" w:styleId="117">
    <w:name w:val="标题 8 Char"/>
    <w:uiPriority w:val="99"/>
    <w:rPr>
      <w:rFonts w:ascii="Arial" w:hAnsi="Arial" w:eastAsia="黑体" w:cs="Arial"/>
      <w:kern w:val="2"/>
      <w:sz w:val="24"/>
      <w:szCs w:val="24"/>
    </w:rPr>
  </w:style>
  <w:style w:type="character" w:customStyle="1" w:styleId="118">
    <w:name w:val="纯文本 Char"/>
    <w:uiPriority w:val="99"/>
    <w:rPr>
      <w:rFonts w:ascii="宋体" w:hAnsi="Courier New" w:eastAsia="宋体" w:cs="宋体"/>
      <w:sz w:val="21"/>
      <w:szCs w:val="21"/>
    </w:rPr>
  </w:style>
  <w:style w:type="character" w:customStyle="1" w:styleId="119">
    <w:name w:val="正文文本 Char"/>
    <w:uiPriority w:val="99"/>
    <w:rPr>
      <w:rFonts w:ascii="Times New Roman" w:hAnsi="Times New Roman" w:cs="Times New Roman"/>
      <w:kern w:val="2"/>
      <w:sz w:val="24"/>
      <w:szCs w:val="24"/>
    </w:rPr>
  </w:style>
  <w:style w:type="character" w:customStyle="1" w:styleId="120">
    <w:name w:val="批注文字 字符1"/>
    <w:uiPriority w:val="99"/>
    <w:rPr>
      <w:rFonts w:ascii="Times New Roman" w:hAnsi="Times New Roman" w:cs="Times New Roman"/>
      <w:kern w:val="2"/>
      <w:sz w:val="24"/>
      <w:szCs w:val="24"/>
    </w:rPr>
  </w:style>
  <w:style w:type="character" w:customStyle="1" w:styleId="121">
    <w:name w:val="正文文本 (26) + 间距 0 pt"/>
    <w:uiPriority w:val="99"/>
    <w:rPr>
      <w:rFonts w:ascii="宋体" w:hAnsi="宋体" w:eastAsia="宋体" w:cs="宋体"/>
      <w:color w:val="000000"/>
      <w:spacing w:val="0"/>
      <w:w w:val="100"/>
      <w:position w:val="0"/>
      <w:sz w:val="22"/>
      <w:szCs w:val="22"/>
      <w:u w:val="none"/>
      <w:lang w:val="zh-CN" w:eastAsia="zh-CN"/>
    </w:rPr>
  </w:style>
  <w:style w:type="character" w:customStyle="1" w:styleId="122">
    <w:name w:val="标题 1 字符1"/>
    <w:uiPriority w:val="99"/>
    <w:rPr>
      <w:b/>
      <w:bCs/>
      <w:kern w:val="44"/>
      <w:sz w:val="44"/>
      <w:szCs w:val="44"/>
    </w:rPr>
  </w:style>
  <w:style w:type="character" w:customStyle="1" w:styleId="123">
    <w:name w:val="textcontents"/>
    <w:uiPriority w:val="99"/>
  </w:style>
  <w:style w:type="character" w:customStyle="1" w:styleId="124">
    <w:name w:val="批注文字 Char"/>
    <w:uiPriority w:val="99"/>
    <w:rPr>
      <w:rFonts w:ascii="Times New Roman" w:hAnsi="Times New Roman" w:cs="Times New Roman"/>
      <w:kern w:val="2"/>
      <w:sz w:val="24"/>
      <w:szCs w:val="24"/>
    </w:rPr>
  </w:style>
  <w:style w:type="paragraph" w:customStyle="1" w:styleId="125">
    <w:name w:val="表内文字"/>
    <w:basedOn w:val="1"/>
    <w:autoRedefine/>
    <w:uiPriority w:val="99"/>
    <w:pPr>
      <w:snapToGrid w:val="0"/>
      <w:spacing w:before="50" w:after="50"/>
      <w:jc w:val="center"/>
    </w:pPr>
    <w:rPr>
      <w:rFonts w:ascii="仿宋_GB2312" w:hAnsi="宋体" w:eastAsia="仿宋_GB2312" w:cs="仿宋_GB2312"/>
      <w:b/>
      <w:bCs/>
      <w:color w:val="000000"/>
      <w:sz w:val="32"/>
      <w:szCs w:val="32"/>
    </w:rPr>
  </w:style>
  <w:style w:type="paragraph" w:customStyle="1" w:styleId="126">
    <w:name w:val="默认段落字体 Para Char Char Char Char Char Char Char Char Char1 Char Char Char Char"/>
    <w:basedOn w:val="1"/>
    <w:autoRedefine/>
    <w:uiPriority w:val="99"/>
    <w:rPr>
      <w:rFonts w:ascii="Tahoma" w:hAnsi="Tahoma" w:eastAsia="宋体" w:cs="Tahoma"/>
      <w:sz w:val="24"/>
      <w:szCs w:val="24"/>
    </w:rPr>
  </w:style>
  <w:style w:type="paragraph" w:customStyle="1" w:styleId="127">
    <w:name w:val="Table Paragraph"/>
    <w:basedOn w:val="1"/>
    <w:autoRedefine/>
    <w:uiPriority w:val="99"/>
    <w:pPr>
      <w:jc w:val="left"/>
    </w:pPr>
    <w:rPr>
      <w:rFonts w:ascii="Calibri" w:hAnsi="Calibri" w:eastAsia="宋体" w:cs="Calibri"/>
      <w:kern w:val="0"/>
      <w:sz w:val="22"/>
      <w:szCs w:val="22"/>
      <w:lang w:eastAsia="en-US"/>
    </w:rPr>
  </w:style>
  <w:style w:type="paragraph" w:customStyle="1" w:styleId="128">
    <w:name w:val="Char Char Char Char"/>
    <w:basedOn w:val="1"/>
    <w:autoRedefine/>
    <w:uiPriority w:val="99"/>
    <w:pPr>
      <w:widowControl/>
      <w:spacing w:after="160" w:line="240" w:lineRule="exact"/>
      <w:jc w:val="left"/>
    </w:pPr>
    <w:rPr>
      <w:rFonts w:ascii="Times New Roman" w:hAnsi="Times New Roman" w:eastAsia="宋体" w:cs="Times New Roman"/>
    </w:rPr>
  </w:style>
  <w:style w:type="character" w:customStyle="1" w:styleId="129">
    <w:name w:val="未处理的提及"/>
    <w:uiPriority w:val="99"/>
    <w:rPr>
      <w:color w:val="auto"/>
      <w:shd w:val="clear" w:color="auto" w:fill="auto"/>
    </w:rPr>
  </w:style>
  <w:style w:type="paragraph" w:customStyle="1" w:styleId="130">
    <w:name w:val="TOC 标题1"/>
    <w:basedOn w:val="2"/>
    <w:next w:val="1"/>
    <w:uiPriority w:val="99"/>
    <w:pPr>
      <w:widowControl/>
      <w:spacing w:before="240" w:after="0" w:line="259" w:lineRule="auto"/>
      <w:jc w:val="left"/>
      <w:outlineLvl w:val="9"/>
    </w:pPr>
    <w:rPr>
      <w:rFonts w:ascii="等线 Light" w:hAnsi="等线 Light" w:eastAsia="等线 Light" w:cs="等线 Light"/>
      <w:b w:val="0"/>
      <w:bCs w:val="0"/>
      <w:color w:val="2F5496"/>
      <w:kern w:val="0"/>
      <w:sz w:val="32"/>
      <w:szCs w:val="32"/>
    </w:rPr>
  </w:style>
  <w:style w:type="character" w:customStyle="1" w:styleId="131">
    <w:name w:val="正文2 Char Char"/>
    <w:link w:val="132"/>
    <w:locked/>
    <w:uiPriority w:val="99"/>
    <w:rPr>
      <w:sz w:val="24"/>
      <w:szCs w:val="24"/>
    </w:rPr>
  </w:style>
  <w:style w:type="paragraph" w:customStyle="1" w:styleId="132">
    <w:name w:val="正文2"/>
    <w:basedOn w:val="1"/>
    <w:link w:val="131"/>
    <w:autoRedefine/>
    <w:uiPriority w:val="99"/>
    <w:pPr>
      <w:adjustRightInd w:val="0"/>
      <w:spacing w:before="156" w:line="360" w:lineRule="auto"/>
      <w:ind w:firstLine="510" w:firstLineChars="200"/>
    </w:pPr>
    <w:rPr>
      <w:rFonts w:ascii="Times New Roman" w:hAnsi="Times New Roman" w:eastAsia="宋体" w:cs="Times New Roman"/>
      <w:kern w:val="0"/>
      <w:sz w:val="24"/>
      <w:szCs w:val="24"/>
    </w:rPr>
  </w:style>
  <w:style w:type="paragraph" w:customStyle="1" w:styleId="133">
    <w:name w:val="样式5"/>
    <w:basedOn w:val="1"/>
    <w:autoRedefine/>
    <w:uiPriority w:val="99"/>
    <w:pPr>
      <w:adjustRightInd w:val="0"/>
      <w:spacing w:line="440" w:lineRule="exact"/>
      <w:ind w:left="2" w:firstLine="480" w:firstLineChars="200"/>
    </w:pPr>
    <w:rPr>
      <w:rFonts w:ascii="仿宋_GB2312" w:hAnsi="仿宋" w:eastAsia="仿宋_GB2312" w:cs="仿宋_GB2312"/>
      <w:sz w:val="24"/>
      <w:szCs w:val="24"/>
    </w:rPr>
  </w:style>
  <w:style w:type="paragraph" w:customStyle="1" w:styleId="134">
    <w:name w:val="正文缩进1"/>
    <w:basedOn w:val="1"/>
    <w:next w:val="18"/>
    <w:autoRedefine/>
    <w:uiPriority w:val="99"/>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4"/>
    </w:rPr>
  </w:style>
  <w:style w:type="character" w:customStyle="1" w:styleId="135">
    <w:name w:val="批注文字 字符2"/>
    <w:uiPriority w:val="99"/>
    <w:rPr>
      <w:kern w:val="2"/>
      <w:sz w:val="24"/>
      <w:szCs w:val="24"/>
    </w:rPr>
  </w:style>
  <w:style w:type="character" w:customStyle="1" w:styleId="136">
    <w:name w:val="正文文本 字符1"/>
    <w:uiPriority w:val="99"/>
    <w:rPr>
      <w:kern w:val="2"/>
      <w:sz w:val="24"/>
      <w:szCs w:val="24"/>
    </w:rPr>
  </w:style>
  <w:style w:type="character" w:customStyle="1" w:styleId="137">
    <w:name w:val="纯文本 字符3"/>
    <w:uiPriority w:val="99"/>
    <w:rPr>
      <w:rFonts w:ascii="宋体" w:hAnsi="Courier New" w:cs="宋体"/>
      <w:sz w:val="21"/>
      <w:szCs w:val="21"/>
    </w:rPr>
  </w:style>
  <w:style w:type="paragraph" w:customStyle="1" w:styleId="138">
    <w:name w:val="_Style 94"/>
    <w:basedOn w:val="1"/>
    <w:autoRedefine/>
    <w:uiPriority w:val="99"/>
    <w:rPr>
      <w:rFonts w:ascii="Times New Roman" w:hAnsi="Times New Roman" w:eastAsia="宋体" w:cs="Times New Roman"/>
    </w:rPr>
  </w:style>
  <w:style w:type="paragraph" w:customStyle="1" w:styleId="139">
    <w:name w:val="_Style 95"/>
    <w:basedOn w:val="1"/>
    <w:autoRedefine/>
    <w:uiPriority w:val="99"/>
    <w:rPr>
      <w:rFonts w:ascii="Times New Roman" w:hAnsi="Times New Roman" w:eastAsia="宋体" w:cs="Times New Roman"/>
    </w:rPr>
  </w:style>
  <w:style w:type="paragraph" w:customStyle="1" w:styleId="140">
    <w:name w:val="msonormal"/>
    <w:basedOn w:val="1"/>
    <w:uiPriority w:val="99"/>
    <w:rPr>
      <w:rFonts w:ascii="Calibri" w:hAnsi="Calibri" w:eastAsia="宋体" w:cs="Calibri"/>
      <w:kern w:val="0"/>
      <w:sz w:val="24"/>
      <w:szCs w:val="24"/>
    </w:rPr>
  </w:style>
  <w:style w:type="paragraph" w:customStyle="1" w:styleId="141">
    <w:name w:val="目录 11"/>
    <w:basedOn w:val="1"/>
    <w:next w:val="1"/>
    <w:uiPriority w:val="99"/>
    <w:pPr>
      <w:tabs>
        <w:tab w:val="right" w:leader="dot" w:pos="8869"/>
      </w:tabs>
    </w:pPr>
  </w:style>
  <w:style w:type="paragraph" w:customStyle="1" w:styleId="142">
    <w:name w:val="目录 21"/>
    <w:basedOn w:val="1"/>
    <w:next w:val="1"/>
    <w:uiPriority w:val="99"/>
    <w:pPr>
      <w:tabs>
        <w:tab w:val="right" w:leader="dot" w:pos="8869"/>
      </w:tabs>
      <w:ind w:left="420" w:leftChars="200"/>
    </w:pPr>
  </w:style>
  <w:style w:type="paragraph" w:customStyle="1" w:styleId="143">
    <w:name w:val="目录 31"/>
    <w:basedOn w:val="1"/>
    <w:next w:val="1"/>
    <w:uiPriority w:val="99"/>
    <w:pPr>
      <w:tabs>
        <w:tab w:val="right" w:leader="dot" w:pos="8789"/>
      </w:tabs>
      <w:ind w:left="840" w:leftChars="400"/>
    </w:pPr>
  </w:style>
  <w:style w:type="paragraph" w:customStyle="1" w:styleId="144">
    <w:name w:val="修订1"/>
    <w:hidden/>
    <w:semiHidden/>
    <w:qFormat/>
    <w:uiPriority w:val="99"/>
    <w:rPr>
      <w:rFonts w:ascii="等线" w:hAnsi="等线" w:eastAsia="等线" w:cs="等线"/>
      <w:kern w:val="2"/>
      <w:sz w:val="21"/>
      <w:szCs w:val="21"/>
      <w:lang w:val="en-US" w:eastAsia="zh-CN" w:bidi="ar-SA"/>
    </w:rPr>
  </w:style>
  <w:style w:type="character" w:customStyle="1" w:styleId="145">
    <w:name w:val="日期 Char3"/>
    <w:uiPriority w:val="99"/>
    <w:rPr>
      <w:rFonts w:ascii="Times New Roman" w:hAnsi="Times New Roman" w:cs="Times New Roman"/>
      <w:kern w:val="2"/>
      <w:sz w:val="24"/>
      <w:szCs w:val="24"/>
    </w:rPr>
  </w:style>
  <w:style w:type="paragraph" w:customStyle="1" w:styleId="146">
    <w:name w:val="msonospacing"/>
    <w:basedOn w:val="1"/>
    <w:autoRedefine/>
    <w:uiPriority w:val="99"/>
    <w:rPr>
      <w:rFonts w:ascii="Times New Roman" w:hAnsi="Times New Roman" w:eastAsia="宋体" w:cs="Times New Roman"/>
    </w:rPr>
  </w:style>
  <w:style w:type="character" w:customStyle="1" w:styleId="147">
    <w:name w:val="页脚 Char"/>
    <w:basedOn w:val="46"/>
    <w:uiPriority w:val="99"/>
    <w:rPr>
      <w:lang w:eastAsia="zh-CN"/>
    </w:rPr>
  </w:style>
  <w:style w:type="character" w:customStyle="1" w:styleId="148">
    <w:name w:val="标题 4 Char"/>
    <w:basedOn w:val="46"/>
    <w:uiPriority w:val="99"/>
    <w:rPr>
      <w:rFonts w:ascii="Cambria" w:hAnsi="Cambria" w:eastAsia="宋体" w:cs="Cambria"/>
      <w:b/>
      <w:bCs/>
      <w:kern w:val="2"/>
      <w:sz w:val="28"/>
      <w:szCs w:val="28"/>
    </w:rPr>
  </w:style>
  <w:style w:type="character" w:customStyle="1" w:styleId="149">
    <w:name w:val="标题 1 Char2"/>
    <w:uiPriority w:val="99"/>
    <w:rPr>
      <w:b/>
      <w:bCs/>
      <w:kern w:val="44"/>
      <w:sz w:val="44"/>
      <w:szCs w:val="44"/>
    </w:rPr>
  </w:style>
  <w:style w:type="character" w:customStyle="1" w:styleId="150">
    <w:name w:val="标题 2 Char2"/>
    <w:uiPriority w:val="99"/>
    <w:rPr>
      <w:rFonts w:ascii="Cambria" w:hAnsi="Cambria" w:eastAsia="宋体" w:cs="Cambria"/>
      <w:b/>
      <w:bCs/>
      <w:kern w:val="2"/>
      <w:sz w:val="32"/>
      <w:szCs w:val="32"/>
    </w:rPr>
  </w:style>
  <w:style w:type="character" w:customStyle="1" w:styleId="151">
    <w:name w:val="标题 3 Char2"/>
    <w:uiPriority w:val="99"/>
    <w:rPr>
      <w:b/>
      <w:bCs/>
      <w:kern w:val="2"/>
      <w:sz w:val="32"/>
      <w:szCs w:val="32"/>
    </w:rPr>
  </w:style>
  <w:style w:type="character" w:customStyle="1" w:styleId="152">
    <w:name w:val="Heading 4 Char1"/>
    <w:basedOn w:val="46"/>
    <w:link w:val="5"/>
    <w:locked/>
    <w:uiPriority w:val="99"/>
    <w:rPr>
      <w:rFonts w:ascii="Arial" w:hAnsi="Arial" w:eastAsia="黑体" w:cs="Arial"/>
      <w:b/>
      <w:bCs/>
      <w:kern w:val="2"/>
      <w:sz w:val="24"/>
      <w:szCs w:val="24"/>
    </w:rPr>
  </w:style>
  <w:style w:type="character" w:customStyle="1" w:styleId="153">
    <w:name w:val="标题 5 Char2"/>
    <w:uiPriority w:val="99"/>
    <w:rPr>
      <w:rFonts w:ascii="Times New Roman" w:hAnsi="Times New Roman" w:cs="Times New Roman"/>
      <w:b/>
      <w:bCs/>
      <w:kern w:val="2"/>
      <w:sz w:val="28"/>
      <w:szCs w:val="28"/>
    </w:rPr>
  </w:style>
  <w:style w:type="character" w:customStyle="1" w:styleId="154">
    <w:name w:val="标题 8 Char2"/>
    <w:uiPriority w:val="99"/>
    <w:rPr>
      <w:rFonts w:ascii="等线 Light" w:hAnsi="等线 Light" w:eastAsia="等线 Light" w:cs="等线 Light"/>
      <w:kern w:val="2"/>
      <w:sz w:val="24"/>
      <w:szCs w:val="24"/>
    </w:rPr>
  </w:style>
  <w:style w:type="character" w:customStyle="1" w:styleId="155">
    <w:name w:val="Document Map Char1"/>
    <w:basedOn w:val="46"/>
    <w:link w:val="14"/>
    <w:locked/>
    <w:uiPriority w:val="99"/>
    <w:rPr>
      <w:rFonts w:ascii="Times New Roman" w:hAnsi="Times New Roman" w:eastAsia="宋体" w:cs="Times New Roman"/>
      <w:kern w:val="2"/>
      <w:sz w:val="24"/>
      <w:szCs w:val="24"/>
      <w:shd w:val="clear" w:color="auto" w:fill="000080"/>
    </w:rPr>
  </w:style>
  <w:style w:type="character" w:customStyle="1" w:styleId="156">
    <w:name w:val="批注文字 Char3"/>
    <w:uiPriority w:val="99"/>
    <w:rPr>
      <w:rFonts w:ascii="Times New Roman" w:hAnsi="Times New Roman" w:cs="Times New Roman"/>
      <w:kern w:val="2"/>
      <w:sz w:val="24"/>
      <w:szCs w:val="24"/>
    </w:rPr>
  </w:style>
  <w:style w:type="character" w:customStyle="1" w:styleId="157">
    <w:name w:val="正文文本 3 Char1"/>
    <w:uiPriority w:val="99"/>
    <w:rPr>
      <w:kern w:val="2"/>
      <w:sz w:val="16"/>
      <w:szCs w:val="16"/>
    </w:rPr>
  </w:style>
  <w:style w:type="character" w:customStyle="1" w:styleId="158">
    <w:name w:val="正文文本 Char3"/>
    <w:uiPriority w:val="99"/>
    <w:rPr>
      <w:rFonts w:ascii="Times New Roman" w:hAnsi="Times New Roman" w:cs="Times New Roman"/>
      <w:kern w:val="2"/>
      <w:sz w:val="24"/>
      <w:szCs w:val="24"/>
    </w:rPr>
  </w:style>
  <w:style w:type="character" w:customStyle="1" w:styleId="159">
    <w:name w:val="正文文本缩进 Char2"/>
    <w:uiPriority w:val="99"/>
    <w:rPr>
      <w:rFonts w:ascii="仿宋_GB2312" w:hAnsi="Times New Roman" w:eastAsia="仿宋_GB2312" w:cs="仿宋_GB2312"/>
      <w:sz w:val="20"/>
      <w:szCs w:val="20"/>
    </w:rPr>
  </w:style>
  <w:style w:type="character" w:customStyle="1" w:styleId="160">
    <w:name w:val="纯文本 Char3"/>
    <w:uiPriority w:val="99"/>
    <w:rPr>
      <w:rFonts w:ascii="宋体" w:hAnsi="Courier New" w:eastAsia="宋体" w:cs="宋体"/>
      <w:sz w:val="21"/>
      <w:szCs w:val="21"/>
    </w:rPr>
  </w:style>
  <w:style w:type="character" w:customStyle="1" w:styleId="161">
    <w:name w:val="Body Text Indent 2 Char1"/>
    <w:basedOn w:val="46"/>
    <w:link w:val="26"/>
    <w:locked/>
    <w:uiPriority w:val="99"/>
    <w:rPr>
      <w:rFonts w:ascii="Times New Roman" w:hAnsi="Times New Roman" w:eastAsia="宋体" w:cs="Times New Roman"/>
      <w:kern w:val="2"/>
      <w:sz w:val="24"/>
      <w:szCs w:val="24"/>
    </w:rPr>
  </w:style>
  <w:style w:type="character" w:customStyle="1" w:styleId="162">
    <w:name w:val="批注框文本 Char3"/>
    <w:semiHidden/>
    <w:uiPriority w:val="99"/>
    <w:rPr>
      <w:kern w:val="2"/>
      <w:sz w:val="18"/>
      <w:szCs w:val="18"/>
    </w:rPr>
  </w:style>
  <w:style w:type="character" w:customStyle="1" w:styleId="163">
    <w:name w:val="页脚 Char2"/>
    <w:uiPriority w:val="99"/>
    <w:rPr>
      <w:sz w:val="18"/>
      <w:szCs w:val="18"/>
    </w:rPr>
  </w:style>
  <w:style w:type="character" w:customStyle="1" w:styleId="164">
    <w:name w:val="页眉 Char2"/>
    <w:uiPriority w:val="99"/>
    <w:rPr>
      <w:sz w:val="18"/>
      <w:szCs w:val="18"/>
    </w:rPr>
  </w:style>
  <w:style w:type="character" w:customStyle="1" w:styleId="165">
    <w:name w:val="Footnote Text Char1"/>
    <w:basedOn w:val="46"/>
    <w:link w:val="34"/>
    <w:locked/>
    <w:uiPriority w:val="99"/>
    <w:rPr>
      <w:rFonts w:ascii="Times New Roman" w:hAnsi="Times New Roman" w:eastAsia="宋体" w:cs="Times New Roman"/>
      <w:kern w:val="2"/>
      <w:sz w:val="24"/>
      <w:szCs w:val="24"/>
    </w:rPr>
  </w:style>
  <w:style w:type="character" w:customStyle="1" w:styleId="166">
    <w:name w:val="正文文本缩进 3 Char"/>
    <w:basedOn w:val="46"/>
    <w:uiPriority w:val="99"/>
    <w:rPr>
      <w:kern w:val="2"/>
      <w:sz w:val="16"/>
      <w:szCs w:val="16"/>
    </w:rPr>
  </w:style>
  <w:style w:type="character" w:customStyle="1" w:styleId="167">
    <w:name w:val="标题 Char"/>
    <w:basedOn w:val="46"/>
    <w:uiPriority w:val="99"/>
    <w:rPr>
      <w:rFonts w:ascii="Cambria" w:hAnsi="Cambria" w:eastAsia="宋体" w:cs="Cambria"/>
      <w:b/>
      <w:bCs/>
      <w:kern w:val="2"/>
      <w:sz w:val="32"/>
      <w:szCs w:val="32"/>
    </w:rPr>
  </w:style>
  <w:style w:type="character" w:customStyle="1" w:styleId="168">
    <w:name w:val="Title Char1"/>
    <w:basedOn w:val="46"/>
    <w:link w:val="41"/>
    <w:locked/>
    <w:uiPriority w:val="99"/>
    <w:rPr>
      <w:rFonts w:ascii="Arial" w:hAnsi="Arial" w:eastAsia="宋体" w:cs="Arial"/>
      <w:b/>
      <w:bCs/>
      <w:kern w:val="2"/>
      <w:sz w:val="24"/>
      <w:szCs w:val="24"/>
    </w:rPr>
  </w:style>
  <w:style w:type="character" w:customStyle="1" w:styleId="169">
    <w:name w:val="批注主题 Char3"/>
    <w:uiPriority w:val="99"/>
    <w:rPr>
      <w:rFonts w:ascii="Times New Roman" w:hAnsi="Times New Roman" w:cs="Times New Roman"/>
      <w:b/>
      <w:bCs/>
      <w:kern w:val="2"/>
      <w:sz w:val="24"/>
      <w:szCs w:val="24"/>
    </w:rPr>
  </w:style>
  <w:style w:type="character" w:customStyle="1" w:styleId="170">
    <w:name w:val="正文首行缩进 2 Char"/>
    <w:basedOn w:val="98"/>
    <w:uiPriority w:val="99"/>
    <w:rPr>
      <w:kern w:val="2"/>
      <w:sz w:val="22"/>
      <w:szCs w:val="22"/>
    </w:rPr>
  </w:style>
  <w:style w:type="character" w:customStyle="1" w:styleId="171">
    <w:name w:val="标题 3 Char"/>
    <w:basedOn w:val="46"/>
    <w:uiPriority w:val="99"/>
    <w:rPr>
      <w:b/>
      <w:bCs/>
      <w:kern w:val="2"/>
      <w:sz w:val="32"/>
      <w:szCs w:val="32"/>
    </w:rPr>
  </w:style>
  <w:style w:type="character" w:customStyle="1" w:styleId="172">
    <w:name w:val="标题 5 Char"/>
    <w:basedOn w:val="46"/>
    <w:qFormat/>
    <w:uiPriority w:val="99"/>
    <w:rPr>
      <w:b/>
      <w:bCs/>
      <w:kern w:val="2"/>
      <w:sz w:val="28"/>
      <w:szCs w:val="28"/>
    </w:rPr>
  </w:style>
  <w:style w:type="character" w:customStyle="1" w:styleId="173">
    <w:name w:val="标题 6 字符"/>
    <w:basedOn w:val="46"/>
    <w:uiPriority w:val="99"/>
    <w:rPr>
      <w:rFonts w:ascii="Arial" w:hAnsi="Arial" w:eastAsia="黑体" w:cs="Arial"/>
      <w:b/>
      <w:bCs/>
      <w:sz w:val="24"/>
      <w:szCs w:val="24"/>
    </w:rPr>
  </w:style>
  <w:style w:type="character" w:customStyle="1" w:styleId="174">
    <w:name w:val="标题 7 字符"/>
    <w:basedOn w:val="46"/>
    <w:uiPriority w:val="99"/>
    <w:rPr>
      <w:rFonts w:ascii="宋体" w:hAnsi="宋体" w:eastAsia="宋体" w:cs="宋体"/>
      <w:b/>
      <w:bCs/>
      <w:sz w:val="24"/>
      <w:szCs w:val="24"/>
    </w:rPr>
  </w:style>
  <w:style w:type="character" w:customStyle="1" w:styleId="175">
    <w:name w:val="标题 9 字符"/>
    <w:basedOn w:val="46"/>
    <w:uiPriority w:val="99"/>
    <w:rPr>
      <w:rFonts w:ascii="Arial" w:hAnsi="Arial" w:eastAsia="黑体" w:cs="Arial"/>
      <w:sz w:val="21"/>
      <w:szCs w:val="21"/>
    </w:rPr>
  </w:style>
  <w:style w:type="character" w:customStyle="1" w:styleId="176">
    <w:name w:val="文档结构图 字符"/>
    <w:basedOn w:val="46"/>
    <w:uiPriority w:val="99"/>
    <w:rPr>
      <w:rFonts w:ascii="宋体" w:hAnsi="宋体" w:eastAsia="宋体" w:cs="宋体"/>
      <w:shd w:val="clear" w:color="auto" w:fill="000080"/>
    </w:rPr>
  </w:style>
  <w:style w:type="character" w:customStyle="1" w:styleId="177">
    <w:name w:val="正文文本 3 Char"/>
    <w:basedOn w:val="46"/>
    <w:uiPriority w:val="99"/>
    <w:rPr>
      <w:kern w:val="2"/>
      <w:sz w:val="16"/>
      <w:szCs w:val="16"/>
    </w:rPr>
  </w:style>
  <w:style w:type="character" w:customStyle="1" w:styleId="178">
    <w:name w:val="正文文本缩进 Char"/>
    <w:basedOn w:val="46"/>
    <w:uiPriority w:val="99"/>
    <w:rPr>
      <w:kern w:val="2"/>
      <w:sz w:val="24"/>
      <w:szCs w:val="24"/>
    </w:rPr>
  </w:style>
  <w:style w:type="character" w:customStyle="1" w:styleId="179">
    <w:name w:val="纯文本 字符5"/>
    <w:basedOn w:val="46"/>
    <w:uiPriority w:val="99"/>
    <w:rPr>
      <w:rFonts w:ascii="宋体" w:hAnsi="Courier New" w:eastAsia="宋体" w:cs="宋体"/>
      <w:kern w:val="2"/>
      <w:sz w:val="21"/>
      <w:szCs w:val="21"/>
    </w:rPr>
  </w:style>
  <w:style w:type="character" w:customStyle="1" w:styleId="180">
    <w:name w:val="日期 Char"/>
    <w:basedOn w:val="46"/>
    <w:uiPriority w:val="99"/>
    <w:rPr>
      <w:kern w:val="2"/>
      <w:sz w:val="24"/>
      <w:szCs w:val="24"/>
    </w:rPr>
  </w:style>
  <w:style w:type="character" w:customStyle="1" w:styleId="181">
    <w:name w:val="正文文本缩进 2 字符"/>
    <w:basedOn w:val="46"/>
    <w:uiPriority w:val="99"/>
    <w:rPr>
      <w:rFonts w:ascii="宋体" w:hAnsi="宋体" w:eastAsia="宋体" w:cs="宋体"/>
      <w:sz w:val="21"/>
      <w:szCs w:val="21"/>
    </w:rPr>
  </w:style>
  <w:style w:type="character" w:customStyle="1" w:styleId="182">
    <w:name w:val="批注框文本 Char"/>
    <w:basedOn w:val="46"/>
    <w:uiPriority w:val="99"/>
    <w:rPr>
      <w:kern w:val="2"/>
      <w:sz w:val="18"/>
      <w:szCs w:val="18"/>
    </w:rPr>
  </w:style>
  <w:style w:type="character" w:customStyle="1" w:styleId="183">
    <w:name w:val="页眉 Char"/>
    <w:basedOn w:val="46"/>
    <w:uiPriority w:val="99"/>
    <w:rPr>
      <w:rFonts w:ascii="Calibri" w:hAnsi="Calibri" w:eastAsia="宋体" w:cs="Calibri"/>
      <w:kern w:val="2"/>
      <w:sz w:val="18"/>
      <w:szCs w:val="18"/>
      <w:lang w:val="en-US" w:eastAsia="zh-CN"/>
    </w:rPr>
  </w:style>
  <w:style w:type="character" w:customStyle="1" w:styleId="184">
    <w:name w:val="副标题 字符"/>
    <w:basedOn w:val="46"/>
    <w:uiPriority w:val="99"/>
    <w:rPr>
      <w:rFonts w:ascii="Cambria" w:hAnsi="Cambria" w:eastAsia="Times New Roman" w:cs="Cambria"/>
      <w:b/>
      <w:bCs/>
      <w:sz w:val="32"/>
      <w:szCs w:val="32"/>
    </w:rPr>
  </w:style>
  <w:style w:type="character" w:customStyle="1" w:styleId="185">
    <w:name w:val="脚注文本 字符"/>
    <w:basedOn w:val="46"/>
    <w:uiPriority w:val="99"/>
    <w:rPr>
      <w:kern w:val="2"/>
      <w:sz w:val="18"/>
      <w:szCs w:val="18"/>
    </w:rPr>
  </w:style>
  <w:style w:type="character" w:customStyle="1" w:styleId="186">
    <w:name w:val="正文文本 2 字符"/>
    <w:basedOn w:val="46"/>
    <w:uiPriority w:val="99"/>
    <w:rPr>
      <w:rFonts w:ascii="宋体" w:hAnsi="宋体" w:eastAsia="宋体" w:cs="宋体"/>
      <w:sz w:val="21"/>
      <w:szCs w:val="21"/>
    </w:rPr>
  </w:style>
  <w:style w:type="character" w:customStyle="1" w:styleId="187">
    <w:name w:val="批注主题 Char"/>
    <w:uiPriority w:val="99"/>
    <w:rPr>
      <w:b/>
      <w:bCs/>
      <w:kern w:val="2"/>
      <w:sz w:val="24"/>
      <w:szCs w:val="24"/>
    </w:rPr>
  </w:style>
  <w:style w:type="character" w:customStyle="1" w:styleId="188">
    <w:name w:val="标题 1 Char"/>
    <w:basedOn w:val="46"/>
    <w:uiPriority w:val="99"/>
    <w:rPr>
      <w:rFonts w:ascii="Times New Roman" w:hAnsi="Times New Roman" w:eastAsia="宋体" w:cs="Times New Roman"/>
      <w:b/>
      <w:bCs/>
      <w:kern w:val="44"/>
      <w:sz w:val="44"/>
      <w:szCs w:val="44"/>
      <w:lang w:val="en-US" w:eastAsia="zh-CN"/>
    </w:rPr>
  </w:style>
  <w:style w:type="character" w:customStyle="1" w:styleId="189">
    <w:name w:val="副标题 字符1"/>
    <w:basedOn w:val="46"/>
    <w:uiPriority w:val="99"/>
    <w:rPr>
      <w:rFonts w:ascii="Calibri" w:hAnsi="Calibri" w:eastAsia="宋体" w:cs="Calibri"/>
      <w:b/>
      <w:bCs/>
      <w:kern w:val="28"/>
      <w:sz w:val="32"/>
      <w:szCs w:val="32"/>
    </w:rPr>
  </w:style>
  <w:style w:type="character" w:customStyle="1" w:styleId="190">
    <w:name w:val="正文文本 Char2"/>
    <w:basedOn w:val="46"/>
    <w:uiPriority w:val="99"/>
    <w:rPr>
      <w:kern w:val="2"/>
      <w:sz w:val="22"/>
      <w:szCs w:val="22"/>
    </w:rPr>
  </w:style>
  <w:style w:type="character" w:customStyle="1" w:styleId="191">
    <w:name w:val="Char Char18"/>
    <w:basedOn w:val="46"/>
    <w:uiPriority w:val="99"/>
    <w:rPr>
      <w:sz w:val="20"/>
      <w:szCs w:val="20"/>
    </w:rPr>
  </w:style>
  <w:style w:type="character" w:customStyle="1" w:styleId="192">
    <w:name w:val="明显引用 Char1"/>
    <w:basedOn w:val="46"/>
    <w:uiPriority w:val="99"/>
    <w:rPr>
      <w:b/>
      <w:bCs/>
      <w:i/>
      <w:iCs/>
      <w:color w:val="auto"/>
      <w:sz w:val="20"/>
      <w:szCs w:val="20"/>
    </w:rPr>
  </w:style>
  <w:style w:type="character" w:customStyle="1" w:styleId="193">
    <w:name w:val="Comment Text Char3"/>
    <w:basedOn w:val="46"/>
    <w:uiPriority w:val="99"/>
    <w:rPr>
      <w:kern w:val="2"/>
      <w:sz w:val="24"/>
      <w:szCs w:val="24"/>
    </w:rPr>
  </w:style>
  <w:style w:type="character" w:customStyle="1" w:styleId="194">
    <w:name w:val="明显引用 字符1"/>
    <w:basedOn w:val="46"/>
    <w:uiPriority w:val="99"/>
    <w:rPr>
      <w:i/>
      <w:iCs/>
      <w:color w:val="auto"/>
      <w:kern w:val="2"/>
      <w:sz w:val="24"/>
      <w:szCs w:val="24"/>
    </w:rPr>
  </w:style>
  <w:style w:type="character" w:customStyle="1" w:styleId="195">
    <w:name w:val="Char Char15"/>
    <w:basedOn w:val="46"/>
    <w:uiPriority w:val="99"/>
    <w:rPr>
      <w:sz w:val="20"/>
      <w:szCs w:val="20"/>
    </w:rPr>
  </w:style>
  <w:style w:type="character" w:customStyle="1" w:styleId="196">
    <w:name w:val="不明显强调1"/>
    <w:basedOn w:val="46"/>
    <w:uiPriority w:val="99"/>
    <w:rPr>
      <w:i/>
      <w:iCs/>
      <w:color w:val="808080"/>
    </w:rPr>
  </w:style>
  <w:style w:type="character" w:customStyle="1" w:styleId="197">
    <w:name w:val="标题 9 Char1"/>
    <w:basedOn w:val="46"/>
    <w:uiPriority w:val="99"/>
    <w:rPr>
      <w:rFonts w:ascii="Cambria" w:hAnsi="Cambria" w:eastAsia="Times New Roman" w:cs="Cambria"/>
      <w:kern w:val="2"/>
      <w:sz w:val="21"/>
      <w:szCs w:val="21"/>
    </w:rPr>
  </w:style>
  <w:style w:type="character" w:customStyle="1" w:styleId="198">
    <w:name w:val="Char Char14"/>
    <w:basedOn w:val="46"/>
    <w:uiPriority w:val="99"/>
    <w:rPr>
      <w:sz w:val="20"/>
      <w:szCs w:val="20"/>
    </w:rPr>
  </w:style>
  <w:style w:type="character" w:customStyle="1" w:styleId="199">
    <w:name w:val="Char Char5"/>
    <w:basedOn w:val="46"/>
    <w:uiPriority w:val="99"/>
    <w:rPr>
      <w:sz w:val="20"/>
      <w:szCs w:val="20"/>
    </w:rPr>
  </w:style>
  <w:style w:type="character" w:customStyle="1" w:styleId="200">
    <w:name w:val="引用 Char1"/>
    <w:basedOn w:val="46"/>
    <w:uiPriority w:val="99"/>
    <w:rPr>
      <w:i/>
      <w:iCs/>
      <w:color w:val="000000"/>
      <w:sz w:val="20"/>
      <w:szCs w:val="20"/>
    </w:rPr>
  </w:style>
  <w:style w:type="character" w:customStyle="1" w:styleId="201">
    <w:name w:val="标题 Char3"/>
    <w:basedOn w:val="46"/>
    <w:uiPriority w:val="99"/>
    <w:rPr>
      <w:rFonts w:ascii="Cambria" w:hAnsi="Cambria" w:eastAsia="Times New Roman" w:cs="Cambria"/>
      <w:b/>
      <w:bCs/>
      <w:kern w:val="2"/>
      <w:sz w:val="32"/>
      <w:szCs w:val="32"/>
    </w:rPr>
  </w:style>
  <w:style w:type="character" w:customStyle="1" w:styleId="202">
    <w:name w:val="页眉 Char1"/>
    <w:basedOn w:val="46"/>
    <w:uiPriority w:val="99"/>
    <w:rPr>
      <w:kern w:val="2"/>
      <w:sz w:val="18"/>
      <w:szCs w:val="18"/>
    </w:rPr>
  </w:style>
  <w:style w:type="character" w:customStyle="1" w:styleId="203">
    <w:name w:val="Footnote Text Char2"/>
    <w:basedOn w:val="46"/>
    <w:uiPriority w:val="99"/>
    <w:rPr>
      <w:kern w:val="2"/>
      <w:sz w:val="18"/>
      <w:szCs w:val="18"/>
    </w:rPr>
  </w:style>
  <w:style w:type="character" w:customStyle="1" w:styleId="204">
    <w:name w:val="Comment Subject Char2"/>
    <w:basedOn w:val="46"/>
    <w:uiPriority w:val="99"/>
    <w:rPr>
      <w:b/>
      <w:bCs/>
      <w:kern w:val="2"/>
      <w:sz w:val="24"/>
      <w:szCs w:val="24"/>
    </w:rPr>
  </w:style>
  <w:style w:type="character" w:customStyle="1" w:styleId="205">
    <w:name w:val="标题 3 Char1"/>
    <w:basedOn w:val="46"/>
    <w:uiPriority w:val="99"/>
    <w:rPr>
      <w:rFonts w:ascii="黑体" w:hAnsi="宋体" w:eastAsia="黑体" w:cs="黑体"/>
      <w:b/>
      <w:bCs/>
      <w:kern w:val="2"/>
      <w:sz w:val="32"/>
      <w:szCs w:val="32"/>
    </w:rPr>
  </w:style>
  <w:style w:type="character" w:customStyle="1" w:styleId="206">
    <w:name w:val="标题 4 Char1"/>
    <w:basedOn w:val="46"/>
    <w:uiPriority w:val="99"/>
    <w:rPr>
      <w:rFonts w:ascii="Arial" w:hAnsi="Arial" w:cs="Arial"/>
      <w:b/>
      <w:bCs/>
      <w:kern w:val="2"/>
      <w:sz w:val="28"/>
      <w:szCs w:val="28"/>
    </w:rPr>
  </w:style>
  <w:style w:type="character" w:customStyle="1" w:styleId="207">
    <w:name w:val="不明显参考1"/>
    <w:basedOn w:val="46"/>
    <w:uiPriority w:val="99"/>
    <w:rPr>
      <w:smallCaps/>
      <w:color w:val="auto"/>
      <w:u w:val="single"/>
    </w:rPr>
  </w:style>
  <w:style w:type="character" w:customStyle="1" w:styleId="208">
    <w:name w:val="msointenseemphasis"/>
    <w:basedOn w:val="46"/>
    <w:uiPriority w:val="99"/>
    <w:rPr>
      <w:b/>
      <w:bCs/>
      <w:i/>
      <w:iCs/>
      <w:color w:val="auto"/>
      <w:sz w:val="20"/>
      <w:szCs w:val="20"/>
    </w:rPr>
  </w:style>
  <w:style w:type="character" w:customStyle="1" w:styleId="209">
    <w:name w:val="Char Char3"/>
    <w:basedOn w:val="46"/>
    <w:uiPriority w:val="99"/>
    <w:rPr>
      <w:sz w:val="20"/>
      <w:szCs w:val="20"/>
    </w:rPr>
  </w:style>
  <w:style w:type="character" w:customStyle="1" w:styleId="210">
    <w:name w:val="Char Char1811"/>
    <w:basedOn w:val="46"/>
    <w:uiPriority w:val="99"/>
    <w:rPr>
      <w:b/>
      <w:bCs/>
      <w:sz w:val="20"/>
      <w:szCs w:val="20"/>
    </w:rPr>
  </w:style>
  <w:style w:type="character" w:customStyle="1" w:styleId="211">
    <w:name w:val="Char Char1"/>
    <w:basedOn w:val="46"/>
    <w:uiPriority w:val="99"/>
    <w:rPr>
      <w:b/>
      <w:bCs/>
      <w:sz w:val="20"/>
      <w:szCs w:val="20"/>
    </w:rPr>
  </w:style>
  <w:style w:type="character" w:customStyle="1" w:styleId="212">
    <w:name w:val="批注主题 Char1"/>
    <w:basedOn w:val="46"/>
    <w:uiPriority w:val="99"/>
    <w:rPr>
      <w:b/>
      <w:bCs/>
      <w:sz w:val="20"/>
      <w:szCs w:val="20"/>
    </w:rPr>
  </w:style>
  <w:style w:type="character" w:customStyle="1" w:styleId="213">
    <w:name w:val="脚注文本 字符1"/>
    <w:basedOn w:val="46"/>
    <w:uiPriority w:val="99"/>
    <w:rPr>
      <w:kern w:val="2"/>
      <w:sz w:val="18"/>
      <w:szCs w:val="18"/>
    </w:rPr>
  </w:style>
  <w:style w:type="character" w:customStyle="1" w:styleId="214">
    <w:name w:val="Footer Char2"/>
    <w:basedOn w:val="46"/>
    <w:uiPriority w:val="99"/>
    <w:rPr>
      <w:kern w:val="2"/>
      <w:sz w:val="18"/>
      <w:szCs w:val="18"/>
    </w:rPr>
  </w:style>
  <w:style w:type="character" w:customStyle="1" w:styleId="215">
    <w:name w:val="批注主题 Char2"/>
    <w:basedOn w:val="46"/>
    <w:uiPriority w:val="99"/>
    <w:rPr>
      <w:b/>
      <w:bCs/>
      <w:kern w:val="2"/>
      <w:sz w:val="24"/>
      <w:szCs w:val="24"/>
    </w:rPr>
  </w:style>
  <w:style w:type="character" w:customStyle="1" w:styleId="216">
    <w:name w:val="正文缩进 Char"/>
    <w:basedOn w:val="46"/>
    <w:uiPriority w:val="99"/>
    <w:rPr>
      <w:sz w:val="20"/>
      <w:szCs w:val="20"/>
    </w:rPr>
  </w:style>
  <w:style w:type="character" w:customStyle="1" w:styleId="217">
    <w:name w:val="批注框文本 Char1"/>
    <w:basedOn w:val="46"/>
    <w:uiPriority w:val="99"/>
    <w:rPr>
      <w:sz w:val="20"/>
      <w:szCs w:val="20"/>
    </w:rPr>
  </w:style>
  <w:style w:type="character" w:customStyle="1" w:styleId="218">
    <w:name w:val="页脚 Char1"/>
    <w:basedOn w:val="46"/>
    <w:uiPriority w:val="99"/>
    <w:rPr>
      <w:kern w:val="2"/>
      <w:sz w:val="18"/>
      <w:szCs w:val="18"/>
    </w:rPr>
  </w:style>
  <w:style w:type="character" w:customStyle="1" w:styleId="219">
    <w:name w:val="标题 7 Char1"/>
    <w:basedOn w:val="46"/>
    <w:uiPriority w:val="99"/>
    <w:rPr>
      <w:rFonts w:ascii="Calibri" w:hAnsi="Calibri" w:cs="Calibri"/>
      <w:b/>
      <w:bCs/>
      <w:kern w:val="2"/>
      <w:sz w:val="24"/>
      <w:szCs w:val="24"/>
    </w:rPr>
  </w:style>
  <w:style w:type="character" w:customStyle="1" w:styleId="220">
    <w:name w:val="Char Char19"/>
    <w:basedOn w:val="46"/>
    <w:uiPriority w:val="99"/>
    <w:rPr>
      <w:b/>
      <w:bCs/>
      <w:sz w:val="20"/>
      <w:szCs w:val="20"/>
    </w:rPr>
  </w:style>
  <w:style w:type="character" w:customStyle="1" w:styleId="221">
    <w:name w:val="Heading 3 Char1"/>
    <w:basedOn w:val="46"/>
    <w:uiPriority w:val="99"/>
    <w:rPr>
      <w:rFonts w:ascii="宋体" w:hAnsi="宋体" w:eastAsia="宋体" w:cs="宋体"/>
      <w:b/>
      <w:bCs/>
      <w:kern w:val="2"/>
      <w:sz w:val="32"/>
      <w:szCs w:val="32"/>
      <w:lang w:val="en-US" w:eastAsia="zh-CN"/>
    </w:rPr>
  </w:style>
  <w:style w:type="character" w:customStyle="1" w:styleId="222">
    <w:name w:val="Balloon Text Char2"/>
    <w:basedOn w:val="46"/>
    <w:uiPriority w:val="99"/>
    <w:rPr>
      <w:kern w:val="2"/>
      <w:sz w:val="2"/>
      <w:szCs w:val="2"/>
    </w:rPr>
  </w:style>
  <w:style w:type="character" w:customStyle="1" w:styleId="223">
    <w:name w:val="Char Char22"/>
    <w:basedOn w:val="46"/>
    <w:uiPriority w:val="99"/>
    <w:rPr>
      <w:sz w:val="20"/>
      <w:szCs w:val="20"/>
    </w:rPr>
  </w:style>
  <w:style w:type="character" w:customStyle="1" w:styleId="224">
    <w:name w:val="p12"/>
    <w:basedOn w:val="46"/>
    <w:uiPriority w:val="99"/>
  </w:style>
  <w:style w:type="character" w:customStyle="1" w:styleId="225">
    <w:name w:val="Char Char6"/>
    <w:basedOn w:val="46"/>
    <w:uiPriority w:val="99"/>
    <w:rPr>
      <w:sz w:val="20"/>
      <w:szCs w:val="20"/>
    </w:rPr>
  </w:style>
  <w:style w:type="character" w:customStyle="1" w:styleId="226">
    <w:name w:val="标题 5 Char1"/>
    <w:basedOn w:val="46"/>
    <w:uiPriority w:val="99"/>
    <w:rPr>
      <w:b/>
      <w:bCs/>
      <w:kern w:val="2"/>
      <w:sz w:val="28"/>
      <w:szCs w:val="28"/>
    </w:rPr>
  </w:style>
  <w:style w:type="character" w:customStyle="1" w:styleId="227">
    <w:name w:val="Para head"/>
    <w:basedOn w:val="46"/>
    <w:uiPriority w:val="99"/>
    <w:rPr>
      <w:sz w:val="20"/>
      <w:szCs w:val="20"/>
    </w:rPr>
  </w:style>
  <w:style w:type="character" w:customStyle="1" w:styleId="228">
    <w:name w:val="标题 2 Char1"/>
    <w:basedOn w:val="46"/>
    <w:uiPriority w:val="99"/>
    <w:rPr>
      <w:rFonts w:ascii="Cambria" w:hAnsi="Cambria" w:eastAsia="Times New Roman" w:cs="Cambria"/>
      <w:b/>
      <w:bCs/>
      <w:kern w:val="2"/>
      <w:sz w:val="32"/>
      <w:szCs w:val="32"/>
    </w:rPr>
  </w:style>
  <w:style w:type="character" w:customStyle="1" w:styleId="229">
    <w:name w:val="明显参考1"/>
    <w:basedOn w:val="46"/>
    <w:uiPriority w:val="99"/>
    <w:rPr>
      <w:b/>
      <w:bCs/>
      <w:smallCaps/>
      <w:color w:val="auto"/>
      <w:spacing w:val="5"/>
      <w:u w:val="single"/>
    </w:rPr>
  </w:style>
  <w:style w:type="character" w:customStyle="1" w:styleId="230">
    <w:name w:val="标题 8 Char1"/>
    <w:basedOn w:val="46"/>
    <w:uiPriority w:val="99"/>
    <w:rPr>
      <w:rFonts w:ascii="等线 Light" w:hAnsi="等线 Light" w:eastAsia="等线 Light" w:cs="等线 Light"/>
      <w:kern w:val="2"/>
      <w:sz w:val="24"/>
      <w:szCs w:val="24"/>
    </w:rPr>
  </w:style>
  <w:style w:type="character" w:customStyle="1" w:styleId="231">
    <w:name w:val="批注文字 Char1"/>
    <w:basedOn w:val="46"/>
    <w:uiPriority w:val="99"/>
    <w:rPr>
      <w:kern w:val="2"/>
      <w:sz w:val="24"/>
      <w:szCs w:val="24"/>
    </w:rPr>
  </w:style>
  <w:style w:type="character" w:customStyle="1" w:styleId="232">
    <w:name w:val="正文文本 Char1"/>
    <w:basedOn w:val="46"/>
    <w:uiPriority w:val="99"/>
    <w:rPr>
      <w:kern w:val="2"/>
      <w:sz w:val="24"/>
      <w:szCs w:val="24"/>
    </w:rPr>
  </w:style>
  <w:style w:type="character" w:customStyle="1" w:styleId="233">
    <w:name w:val="纯文本 Char1"/>
    <w:basedOn w:val="46"/>
    <w:uiPriority w:val="99"/>
    <w:rPr>
      <w:rFonts w:ascii="宋体" w:hAnsi="Courier New" w:eastAsia="宋体" w:cs="宋体"/>
      <w:sz w:val="21"/>
      <w:szCs w:val="21"/>
    </w:rPr>
  </w:style>
  <w:style w:type="character" w:customStyle="1" w:styleId="234">
    <w:name w:val="文档结构图 字符1"/>
    <w:basedOn w:val="46"/>
    <w:uiPriority w:val="99"/>
    <w:rPr>
      <w:rFonts w:ascii="宋体" w:hAnsi="宋体" w:eastAsia="宋体" w:cs="宋体"/>
      <w:kern w:val="2"/>
      <w:sz w:val="18"/>
      <w:szCs w:val="18"/>
    </w:rPr>
  </w:style>
  <w:style w:type="character" w:customStyle="1" w:styleId="235">
    <w:name w:val="纯文本 Char2"/>
    <w:basedOn w:val="46"/>
    <w:uiPriority w:val="99"/>
    <w:rPr>
      <w:rFonts w:ascii="宋体" w:hAnsi="Courier New" w:eastAsia="宋体" w:cs="宋体"/>
      <w:kern w:val="2"/>
      <w:sz w:val="24"/>
      <w:szCs w:val="24"/>
    </w:rPr>
  </w:style>
  <w:style w:type="character" w:customStyle="1" w:styleId="236">
    <w:name w:val="Char Char2"/>
    <w:basedOn w:val="46"/>
    <w:uiPriority w:val="99"/>
    <w:rPr>
      <w:sz w:val="20"/>
      <w:szCs w:val="20"/>
    </w:rPr>
  </w:style>
  <w:style w:type="character" w:customStyle="1" w:styleId="237">
    <w:name w:val="文档结构图 Char2"/>
    <w:basedOn w:val="46"/>
    <w:uiPriority w:val="99"/>
    <w:rPr>
      <w:kern w:val="2"/>
      <w:sz w:val="24"/>
      <w:szCs w:val="24"/>
      <w:shd w:val="clear" w:color="auto" w:fill="000080"/>
    </w:rPr>
  </w:style>
  <w:style w:type="character" w:customStyle="1" w:styleId="238">
    <w:name w:val="Char Char4"/>
    <w:basedOn w:val="46"/>
    <w:uiPriority w:val="99"/>
    <w:rPr>
      <w:sz w:val="20"/>
      <w:szCs w:val="20"/>
    </w:rPr>
  </w:style>
  <w:style w:type="character" w:customStyle="1" w:styleId="239">
    <w:name w:val="Char Char12"/>
    <w:basedOn w:val="46"/>
    <w:uiPriority w:val="99"/>
    <w:rPr>
      <w:sz w:val="20"/>
      <w:szCs w:val="20"/>
    </w:rPr>
  </w:style>
  <w:style w:type="character" w:customStyle="1" w:styleId="240">
    <w:name w:val="标题 6 Char1"/>
    <w:basedOn w:val="46"/>
    <w:uiPriority w:val="99"/>
    <w:rPr>
      <w:rFonts w:ascii="Cambria" w:hAnsi="Cambria" w:eastAsia="Times New Roman" w:cs="Cambria"/>
      <w:b/>
      <w:bCs/>
      <w:kern w:val="2"/>
      <w:sz w:val="24"/>
      <w:szCs w:val="24"/>
    </w:rPr>
  </w:style>
  <w:style w:type="character" w:customStyle="1" w:styleId="241">
    <w:name w:val="msointensereference"/>
    <w:basedOn w:val="46"/>
    <w:uiPriority w:val="99"/>
    <w:rPr>
      <w:b/>
      <w:bCs/>
      <w:color w:val="auto"/>
      <w:sz w:val="20"/>
      <w:szCs w:val="20"/>
      <w:u w:val="single"/>
    </w:rPr>
  </w:style>
  <w:style w:type="character" w:customStyle="1" w:styleId="242">
    <w:name w:val="明显强调1"/>
    <w:basedOn w:val="46"/>
    <w:qFormat/>
    <w:uiPriority w:val="99"/>
    <w:rPr>
      <w:b/>
      <w:bCs/>
      <w:i/>
      <w:iCs/>
      <w:color w:val="auto"/>
    </w:rPr>
  </w:style>
  <w:style w:type="character" w:customStyle="1" w:styleId="243">
    <w:name w:val="正文文本缩进 Char1"/>
    <w:basedOn w:val="46"/>
    <w:uiPriority w:val="99"/>
    <w:rPr>
      <w:rFonts w:ascii="宋体" w:hAnsi="宋体" w:eastAsia="宋体" w:cs="宋体"/>
      <w:kern w:val="2"/>
      <w:sz w:val="21"/>
      <w:szCs w:val="21"/>
    </w:rPr>
  </w:style>
  <w:style w:type="character" w:customStyle="1" w:styleId="244">
    <w:name w:val="Subtitle Char1"/>
    <w:basedOn w:val="46"/>
    <w:uiPriority w:val="99"/>
    <w:rPr>
      <w:rFonts w:ascii="Cambria" w:hAnsi="Cambria" w:eastAsia="Times New Roman" w:cs="Cambria"/>
      <w:b/>
      <w:bCs/>
      <w:kern w:val="28"/>
      <w:sz w:val="32"/>
      <w:szCs w:val="32"/>
    </w:rPr>
  </w:style>
  <w:style w:type="character" w:customStyle="1" w:styleId="245">
    <w:name w:val="Char Char91"/>
    <w:basedOn w:val="46"/>
    <w:uiPriority w:val="99"/>
    <w:rPr>
      <w:rFonts w:ascii="宋体" w:hAnsi="宋体" w:eastAsia="宋体" w:cs="宋体"/>
      <w:b/>
      <w:bCs/>
      <w:kern w:val="44"/>
      <w:sz w:val="44"/>
      <w:szCs w:val="44"/>
      <w:lang w:val="en-US" w:eastAsia="zh-CN"/>
    </w:rPr>
  </w:style>
  <w:style w:type="paragraph" w:customStyle="1" w:styleId="246">
    <w:name w:val="正文_3"/>
    <w:basedOn w:val="247"/>
    <w:autoRedefine/>
    <w:uiPriority w:val="99"/>
    <w:rPr>
      <w:rFonts w:ascii="Times New Roman" w:hAnsi="Times New Roman" w:cs="Times New Roman"/>
    </w:rPr>
  </w:style>
  <w:style w:type="paragraph" w:customStyle="1" w:styleId="247">
    <w:name w:val="正文_4"/>
    <w:basedOn w:val="1"/>
    <w:autoRedefine/>
    <w:uiPriority w:val="99"/>
    <w:rPr>
      <w:rFonts w:ascii="Calibri" w:hAnsi="Calibri" w:eastAsia="宋体" w:cs="Calibri"/>
    </w:rPr>
  </w:style>
  <w:style w:type="character" w:customStyle="1" w:styleId="248">
    <w:name w:val="批注文字 Char2"/>
    <w:basedOn w:val="46"/>
    <w:uiPriority w:val="99"/>
    <w:rPr>
      <w:kern w:val="2"/>
      <w:sz w:val="24"/>
      <w:szCs w:val="24"/>
    </w:rPr>
  </w:style>
  <w:style w:type="character" w:customStyle="1" w:styleId="249">
    <w:name w:val="Title Char2"/>
    <w:basedOn w:val="46"/>
    <w:uiPriority w:val="99"/>
    <w:rPr>
      <w:rFonts w:ascii="Cambria" w:hAnsi="Cambria" w:eastAsia="Times New Roman" w:cs="Cambria"/>
      <w:b/>
      <w:bCs/>
      <w:kern w:val="2"/>
      <w:sz w:val="32"/>
      <w:szCs w:val="32"/>
    </w:rPr>
  </w:style>
  <w:style w:type="character" w:customStyle="1" w:styleId="250">
    <w:name w:val="引用 Char2"/>
    <w:basedOn w:val="46"/>
    <w:uiPriority w:val="99"/>
    <w:rPr>
      <w:i/>
      <w:iCs/>
      <w:color w:val="000000"/>
    </w:rPr>
  </w:style>
  <w:style w:type="character" w:customStyle="1" w:styleId="251">
    <w:name w:val="Char Char"/>
    <w:basedOn w:val="46"/>
    <w:uiPriority w:val="99"/>
    <w:rPr>
      <w:b/>
      <w:bCs/>
      <w:sz w:val="20"/>
      <w:szCs w:val="20"/>
    </w:rPr>
  </w:style>
  <w:style w:type="character" w:customStyle="1" w:styleId="252">
    <w:name w:val="Char Char7"/>
    <w:basedOn w:val="46"/>
    <w:uiPriority w:val="99"/>
    <w:rPr>
      <w:sz w:val="20"/>
      <w:szCs w:val="20"/>
    </w:rPr>
  </w:style>
  <w:style w:type="character" w:customStyle="1" w:styleId="253">
    <w:name w:val="Char Char24"/>
    <w:basedOn w:val="46"/>
    <w:uiPriority w:val="99"/>
    <w:rPr>
      <w:sz w:val="20"/>
      <w:szCs w:val="20"/>
    </w:rPr>
  </w:style>
  <w:style w:type="character" w:customStyle="1" w:styleId="254">
    <w:name w:val="Comment Text Char1"/>
    <w:basedOn w:val="46"/>
    <w:uiPriority w:val="99"/>
    <w:rPr>
      <w:sz w:val="24"/>
      <w:szCs w:val="24"/>
    </w:rPr>
  </w:style>
  <w:style w:type="character" w:customStyle="1" w:styleId="255">
    <w:name w:val="明显引用 Char"/>
    <w:basedOn w:val="46"/>
    <w:uiPriority w:val="99"/>
    <w:rPr>
      <w:i/>
      <w:iCs/>
      <w:color w:val="auto"/>
      <w:kern w:val="2"/>
      <w:sz w:val="24"/>
      <w:szCs w:val="24"/>
    </w:rPr>
  </w:style>
  <w:style w:type="character" w:customStyle="1" w:styleId="256">
    <w:name w:val="Body Text Char1"/>
    <w:basedOn w:val="46"/>
    <w:uiPriority w:val="99"/>
    <w:rPr>
      <w:kern w:val="2"/>
      <w:sz w:val="24"/>
      <w:szCs w:val="24"/>
    </w:rPr>
  </w:style>
  <w:style w:type="character" w:customStyle="1" w:styleId="257">
    <w:name w:val="明显引用 Char2"/>
    <w:basedOn w:val="46"/>
    <w:uiPriority w:val="99"/>
    <w:rPr>
      <w:b/>
      <w:bCs/>
      <w:i/>
      <w:iCs/>
      <w:color w:val="auto"/>
    </w:rPr>
  </w:style>
  <w:style w:type="character" w:customStyle="1" w:styleId="258">
    <w:name w:val="标题 Char_0"/>
    <w:basedOn w:val="46"/>
    <w:uiPriority w:val="99"/>
    <w:rPr>
      <w:kern w:val="2"/>
      <w:sz w:val="24"/>
      <w:szCs w:val="24"/>
    </w:rPr>
  </w:style>
  <w:style w:type="character" w:customStyle="1" w:styleId="259">
    <w:name w:val="Char Char23"/>
    <w:basedOn w:val="46"/>
    <w:uiPriority w:val="99"/>
    <w:rPr>
      <w:b/>
      <w:bCs/>
      <w:sz w:val="20"/>
      <w:szCs w:val="20"/>
    </w:rPr>
  </w:style>
  <w:style w:type="character" w:customStyle="1" w:styleId="260">
    <w:name w:val="标题 字符1"/>
    <w:basedOn w:val="46"/>
    <w:uiPriority w:val="99"/>
    <w:rPr>
      <w:rFonts w:ascii="Cambria" w:hAnsi="Cambria" w:eastAsia="宋体" w:cs="Cambria"/>
      <w:b/>
      <w:bCs/>
      <w:kern w:val="2"/>
      <w:sz w:val="32"/>
      <w:szCs w:val="32"/>
    </w:rPr>
  </w:style>
  <w:style w:type="character" w:customStyle="1" w:styleId="261">
    <w:name w:val="标题4 Char Char"/>
    <w:basedOn w:val="46"/>
    <w:uiPriority w:val="99"/>
    <w:rPr>
      <w:rFonts w:ascii="Arial" w:hAnsi="Arial" w:cs="Arial"/>
      <w:b/>
      <w:bCs/>
      <w:sz w:val="32"/>
      <w:szCs w:val="32"/>
    </w:rPr>
  </w:style>
  <w:style w:type="character" w:customStyle="1" w:styleId="262">
    <w:name w:val="Char Char9"/>
    <w:basedOn w:val="46"/>
    <w:uiPriority w:val="99"/>
    <w:rPr>
      <w:sz w:val="20"/>
      <w:szCs w:val="20"/>
    </w:rPr>
  </w:style>
  <w:style w:type="character" w:customStyle="1" w:styleId="263">
    <w:name w:val="Plain Text Char2"/>
    <w:basedOn w:val="46"/>
    <w:uiPriority w:val="99"/>
    <w:rPr>
      <w:rFonts w:ascii="宋体" w:hAnsi="Courier New" w:eastAsia="宋体" w:cs="宋体"/>
      <w:kern w:val="2"/>
      <w:sz w:val="21"/>
      <w:szCs w:val="21"/>
    </w:rPr>
  </w:style>
  <w:style w:type="character" w:customStyle="1" w:styleId="264">
    <w:name w:val="hover1"/>
    <w:basedOn w:val="46"/>
    <w:uiPriority w:val="99"/>
    <w:rPr>
      <w:color w:val="auto"/>
    </w:rPr>
  </w:style>
  <w:style w:type="character" w:customStyle="1" w:styleId="265">
    <w:name w:val="正文文本缩进 2 Char1"/>
    <w:basedOn w:val="46"/>
    <w:uiPriority w:val="99"/>
    <w:rPr>
      <w:kern w:val="2"/>
      <w:sz w:val="24"/>
      <w:szCs w:val="24"/>
    </w:rPr>
  </w:style>
  <w:style w:type="character" w:customStyle="1" w:styleId="266">
    <w:name w:val="msosubtleemphasis"/>
    <w:basedOn w:val="46"/>
    <w:uiPriority w:val="99"/>
    <w:rPr>
      <w:i/>
      <w:iCs/>
      <w:color w:val="808080"/>
      <w:sz w:val="20"/>
      <w:szCs w:val="20"/>
    </w:rPr>
  </w:style>
  <w:style w:type="character" w:customStyle="1" w:styleId="267">
    <w:name w:val="msosubtlereference"/>
    <w:basedOn w:val="46"/>
    <w:uiPriority w:val="99"/>
    <w:rPr>
      <w:color w:val="auto"/>
      <w:sz w:val="20"/>
      <w:szCs w:val="20"/>
      <w:u w:val="single"/>
    </w:rPr>
  </w:style>
  <w:style w:type="character" w:customStyle="1" w:styleId="268">
    <w:name w:val="msobooktitle"/>
    <w:basedOn w:val="46"/>
    <w:uiPriority w:val="99"/>
    <w:rPr>
      <w:b/>
      <w:bCs/>
      <w:sz w:val="20"/>
      <w:szCs w:val="20"/>
    </w:rPr>
  </w:style>
  <w:style w:type="character" w:customStyle="1" w:styleId="269">
    <w:name w:val="引用 Char3"/>
    <w:basedOn w:val="46"/>
    <w:uiPriority w:val="99"/>
    <w:rPr>
      <w:i/>
      <w:iCs/>
      <w:color w:val="000000"/>
      <w:kern w:val="2"/>
      <w:sz w:val="24"/>
      <w:szCs w:val="24"/>
    </w:rPr>
  </w:style>
  <w:style w:type="character" w:customStyle="1" w:styleId="270">
    <w:name w:val="脚注文本 Char1"/>
    <w:basedOn w:val="46"/>
    <w:uiPriority w:val="99"/>
    <w:rPr>
      <w:sz w:val="18"/>
      <w:szCs w:val="18"/>
    </w:rPr>
  </w:style>
  <w:style w:type="character" w:customStyle="1" w:styleId="271">
    <w:name w:val="hover"/>
    <w:basedOn w:val="46"/>
    <w:uiPriority w:val="99"/>
  </w:style>
  <w:style w:type="character" w:customStyle="1" w:styleId="272">
    <w:name w:val="书籍标题1"/>
    <w:basedOn w:val="46"/>
    <w:uiPriority w:val="99"/>
    <w:rPr>
      <w:b/>
      <w:bCs/>
      <w:smallCaps/>
      <w:spacing w:val="5"/>
    </w:rPr>
  </w:style>
  <w:style w:type="character" w:customStyle="1" w:styleId="273">
    <w:name w:val="Body Text Indent 2 Char2"/>
    <w:basedOn w:val="46"/>
    <w:uiPriority w:val="99"/>
    <w:rPr>
      <w:kern w:val="2"/>
      <w:sz w:val="24"/>
      <w:szCs w:val="24"/>
    </w:rPr>
  </w:style>
  <w:style w:type="character" w:customStyle="1" w:styleId="274">
    <w:name w:val="批注文字 Char Char"/>
    <w:basedOn w:val="46"/>
    <w:uiPriority w:val="99"/>
    <w:rPr>
      <w:sz w:val="20"/>
      <w:szCs w:val="20"/>
    </w:rPr>
  </w:style>
  <w:style w:type="character" w:customStyle="1" w:styleId="275">
    <w:name w:val="标题 1 Char1"/>
    <w:basedOn w:val="46"/>
    <w:uiPriority w:val="99"/>
    <w:rPr>
      <w:rFonts w:ascii="黑体" w:hAnsi="宋体" w:eastAsia="黑体" w:cs="黑体"/>
      <w:b/>
      <w:bCs/>
      <w:kern w:val="44"/>
      <w:sz w:val="44"/>
      <w:szCs w:val="44"/>
    </w:rPr>
  </w:style>
  <w:style w:type="character" w:customStyle="1" w:styleId="276">
    <w:name w:val="Char Char16"/>
    <w:basedOn w:val="46"/>
    <w:uiPriority w:val="99"/>
    <w:rPr>
      <w:b/>
      <w:bCs/>
      <w:sz w:val="20"/>
      <w:szCs w:val="20"/>
    </w:rPr>
  </w:style>
  <w:style w:type="character" w:customStyle="1" w:styleId="277">
    <w:name w:val="标题5 Char Char"/>
    <w:basedOn w:val="46"/>
    <w:uiPriority w:val="99"/>
    <w:rPr>
      <w:b/>
      <w:bCs/>
      <w:sz w:val="20"/>
      <w:szCs w:val="20"/>
    </w:rPr>
  </w:style>
  <w:style w:type="character" w:customStyle="1" w:styleId="278">
    <w:name w:val="Char Char17"/>
    <w:basedOn w:val="46"/>
    <w:uiPriority w:val="99"/>
    <w:rPr>
      <w:sz w:val="20"/>
      <w:szCs w:val="20"/>
    </w:rPr>
  </w:style>
  <w:style w:type="character" w:customStyle="1" w:styleId="279">
    <w:name w:val="副标题 Char1"/>
    <w:basedOn w:val="46"/>
    <w:uiPriority w:val="99"/>
    <w:rPr>
      <w:b/>
      <w:bCs/>
      <w:sz w:val="20"/>
      <w:szCs w:val="20"/>
    </w:rPr>
  </w:style>
  <w:style w:type="character" w:customStyle="1" w:styleId="280">
    <w:name w:val="c-icon32"/>
    <w:basedOn w:val="46"/>
    <w:uiPriority w:val="99"/>
  </w:style>
  <w:style w:type="character" w:customStyle="1" w:styleId="281">
    <w:name w:val="普通文字 Char Char4"/>
    <w:basedOn w:val="46"/>
    <w:uiPriority w:val="99"/>
    <w:rPr>
      <w:sz w:val="20"/>
      <w:szCs w:val="20"/>
    </w:rPr>
  </w:style>
  <w:style w:type="character" w:customStyle="1" w:styleId="282">
    <w:name w:val="Char Char10"/>
    <w:basedOn w:val="46"/>
    <w:uiPriority w:val="99"/>
    <w:rPr>
      <w:sz w:val="20"/>
      <w:szCs w:val="20"/>
    </w:rPr>
  </w:style>
  <w:style w:type="character" w:customStyle="1" w:styleId="283">
    <w:name w:val="Char Char11"/>
    <w:basedOn w:val="46"/>
    <w:uiPriority w:val="99"/>
    <w:rPr>
      <w:sz w:val="20"/>
      <w:szCs w:val="20"/>
    </w:rPr>
  </w:style>
  <w:style w:type="character" w:customStyle="1" w:styleId="284">
    <w:name w:val="Char Char21"/>
    <w:basedOn w:val="46"/>
    <w:uiPriority w:val="99"/>
    <w:rPr>
      <w:b/>
      <w:bCs/>
      <w:sz w:val="20"/>
      <w:szCs w:val="20"/>
    </w:rPr>
  </w:style>
  <w:style w:type="character" w:customStyle="1" w:styleId="285">
    <w:name w:val="Char Char8"/>
    <w:basedOn w:val="46"/>
    <w:uiPriority w:val="99"/>
    <w:rPr>
      <w:sz w:val="20"/>
      <w:szCs w:val="20"/>
    </w:rPr>
  </w:style>
  <w:style w:type="character" w:customStyle="1" w:styleId="286">
    <w:name w:val="日期 Char1"/>
    <w:basedOn w:val="46"/>
    <w:uiPriority w:val="99"/>
    <w:rPr>
      <w:sz w:val="20"/>
      <w:szCs w:val="20"/>
    </w:rPr>
  </w:style>
  <w:style w:type="character" w:customStyle="1" w:styleId="287">
    <w:name w:val="Char Char13"/>
    <w:basedOn w:val="46"/>
    <w:uiPriority w:val="99"/>
    <w:rPr>
      <w:b/>
      <w:bCs/>
      <w:sz w:val="20"/>
      <w:szCs w:val="20"/>
    </w:rPr>
  </w:style>
  <w:style w:type="character" w:customStyle="1" w:styleId="288">
    <w:name w:val="明显引用 Char3"/>
    <w:basedOn w:val="46"/>
    <w:uiPriority w:val="99"/>
    <w:rPr>
      <w:b/>
      <w:bCs/>
      <w:i/>
      <w:iCs/>
      <w:color w:val="auto"/>
      <w:kern w:val="2"/>
      <w:sz w:val="24"/>
      <w:szCs w:val="24"/>
    </w:rPr>
  </w:style>
  <w:style w:type="character" w:customStyle="1" w:styleId="289">
    <w:name w:val="引用 Char"/>
    <w:basedOn w:val="46"/>
    <w:uiPriority w:val="99"/>
    <w:rPr>
      <w:i/>
      <w:iCs/>
      <w:color w:val="auto"/>
      <w:kern w:val="2"/>
      <w:sz w:val="24"/>
      <w:szCs w:val="24"/>
    </w:rPr>
  </w:style>
  <w:style w:type="character" w:customStyle="1" w:styleId="290">
    <w:name w:val="日期 Char2"/>
    <w:basedOn w:val="46"/>
    <w:uiPriority w:val="99"/>
    <w:rPr>
      <w:kern w:val="2"/>
      <w:sz w:val="24"/>
      <w:szCs w:val="24"/>
    </w:rPr>
  </w:style>
  <w:style w:type="character" w:customStyle="1" w:styleId="291">
    <w:name w:val="正文文本缩进 2 字符1"/>
    <w:basedOn w:val="46"/>
    <w:uiPriority w:val="99"/>
    <w:rPr>
      <w:kern w:val="2"/>
      <w:sz w:val="24"/>
      <w:szCs w:val="24"/>
    </w:rPr>
  </w:style>
  <w:style w:type="character" w:customStyle="1" w:styleId="292">
    <w:name w:val="Date Char2"/>
    <w:basedOn w:val="46"/>
    <w:uiPriority w:val="99"/>
    <w:rPr>
      <w:kern w:val="2"/>
      <w:sz w:val="24"/>
      <w:szCs w:val="24"/>
    </w:rPr>
  </w:style>
  <w:style w:type="character" w:customStyle="1" w:styleId="293">
    <w:name w:val="文档结构图 Char1"/>
    <w:basedOn w:val="46"/>
    <w:uiPriority w:val="99"/>
    <w:rPr>
      <w:sz w:val="20"/>
      <w:szCs w:val="20"/>
    </w:rPr>
  </w:style>
  <w:style w:type="character" w:customStyle="1" w:styleId="294">
    <w:name w:val="Char Char20"/>
    <w:basedOn w:val="46"/>
    <w:uiPriority w:val="99"/>
    <w:rPr>
      <w:b/>
      <w:bCs/>
      <w:sz w:val="20"/>
      <w:szCs w:val="20"/>
    </w:rPr>
  </w:style>
  <w:style w:type="character" w:customStyle="1" w:styleId="295">
    <w:name w:val="Header Char2"/>
    <w:basedOn w:val="46"/>
    <w:uiPriority w:val="99"/>
    <w:rPr>
      <w:kern w:val="2"/>
      <w:sz w:val="18"/>
      <w:szCs w:val="18"/>
    </w:rPr>
  </w:style>
  <w:style w:type="character" w:customStyle="1" w:styleId="296">
    <w:name w:val="标题 Char2"/>
    <w:basedOn w:val="46"/>
    <w:uiPriority w:val="99"/>
    <w:rPr>
      <w:rFonts w:ascii="Cambria" w:hAnsi="Cambria" w:eastAsia="宋体" w:cs="Cambria"/>
      <w:b/>
      <w:bCs/>
      <w:sz w:val="32"/>
      <w:szCs w:val="32"/>
    </w:rPr>
  </w:style>
  <w:style w:type="character" w:customStyle="1" w:styleId="297">
    <w:name w:val="批注框文本 Char2"/>
    <w:basedOn w:val="46"/>
    <w:uiPriority w:val="99"/>
    <w:rPr>
      <w:kern w:val="2"/>
      <w:sz w:val="18"/>
      <w:szCs w:val="18"/>
    </w:rPr>
  </w:style>
  <w:style w:type="character" w:customStyle="1" w:styleId="298">
    <w:name w:val="Char Char181"/>
    <w:basedOn w:val="46"/>
    <w:uiPriority w:val="99"/>
    <w:rPr>
      <w:b/>
      <w:bCs/>
      <w:kern w:val="44"/>
      <w:sz w:val="44"/>
      <w:szCs w:val="44"/>
    </w:rPr>
  </w:style>
  <w:style w:type="character" w:customStyle="1" w:styleId="299">
    <w:name w:val="Intense Quote Char1"/>
    <w:basedOn w:val="46"/>
    <w:uiPriority w:val="99"/>
    <w:rPr>
      <w:b/>
      <w:bCs/>
      <w:i/>
      <w:iCs/>
      <w:color w:val="auto"/>
      <w:kern w:val="2"/>
      <w:sz w:val="24"/>
      <w:szCs w:val="24"/>
    </w:rPr>
  </w:style>
  <w:style w:type="character" w:customStyle="1" w:styleId="300">
    <w:name w:val="Document Map Char2"/>
    <w:basedOn w:val="46"/>
    <w:uiPriority w:val="99"/>
    <w:rPr>
      <w:kern w:val="2"/>
      <w:sz w:val="2"/>
      <w:szCs w:val="2"/>
    </w:rPr>
  </w:style>
  <w:style w:type="character" w:customStyle="1" w:styleId="301">
    <w:name w:val="Body Text Indent Char2"/>
    <w:basedOn w:val="46"/>
    <w:uiPriority w:val="99"/>
    <w:rPr>
      <w:kern w:val="2"/>
      <w:sz w:val="24"/>
      <w:szCs w:val="24"/>
    </w:rPr>
  </w:style>
  <w:style w:type="character" w:customStyle="1" w:styleId="302">
    <w:name w:val="批注框文本 字符1"/>
    <w:basedOn w:val="46"/>
    <w:uiPriority w:val="99"/>
    <w:rPr>
      <w:kern w:val="2"/>
      <w:sz w:val="18"/>
      <w:szCs w:val="18"/>
    </w:rPr>
  </w:style>
  <w:style w:type="character" w:customStyle="1" w:styleId="303">
    <w:name w:val="引用 字符1"/>
    <w:basedOn w:val="46"/>
    <w:uiPriority w:val="99"/>
    <w:rPr>
      <w:i/>
      <w:iCs/>
      <w:color w:val="auto"/>
      <w:kern w:val="2"/>
      <w:sz w:val="24"/>
      <w:szCs w:val="24"/>
    </w:rPr>
  </w:style>
  <w:style w:type="character" w:customStyle="1" w:styleId="304">
    <w:name w:val="Quote Char1"/>
    <w:basedOn w:val="46"/>
    <w:uiPriority w:val="99"/>
    <w:rPr>
      <w:i/>
      <w:iCs/>
      <w:color w:val="000000"/>
      <w:kern w:val="2"/>
      <w:sz w:val="24"/>
      <w:szCs w:val="24"/>
    </w:rPr>
  </w:style>
  <w:style w:type="paragraph" w:customStyle="1" w:styleId="305">
    <w:name w:val="正文1"/>
    <w:autoRedefine/>
    <w:uiPriority w:val="99"/>
    <w:rPr>
      <w:rFonts w:ascii="Times New Roman" w:hAnsi="Times New Roman" w:eastAsia="宋体" w:cs="Times New Roman"/>
      <w:kern w:val="0"/>
      <w:sz w:val="24"/>
      <w:szCs w:val="24"/>
      <w:lang w:val="en-US" w:eastAsia="zh-CN" w:bidi="ar-SA"/>
    </w:rPr>
  </w:style>
  <w:style w:type="paragraph" w:customStyle="1" w:styleId="306">
    <w:name w:val="正文_2"/>
    <w:basedOn w:val="246"/>
    <w:autoRedefine/>
    <w:uiPriority w:val="99"/>
  </w:style>
  <w:style w:type="paragraph" w:customStyle="1" w:styleId="307">
    <w:name w:val="正文_0"/>
    <w:autoRedefine/>
    <w:uiPriority w:val="99"/>
    <w:pPr>
      <w:widowControl w:val="0"/>
      <w:jc w:val="both"/>
    </w:pPr>
    <w:rPr>
      <w:rFonts w:ascii="Times New Roman" w:hAnsi="Times New Roman" w:eastAsia="宋体" w:cs="Times New Roman"/>
      <w:kern w:val="2"/>
      <w:sz w:val="21"/>
      <w:szCs w:val="21"/>
      <w:lang w:val="en-US" w:eastAsia="zh-CN" w:bidi="ar-SA"/>
    </w:rPr>
  </w:style>
  <w:style w:type="table" w:customStyle="1" w:styleId="308">
    <w:name w:val="Table Normal1"/>
    <w:semiHidden/>
    <w:uiPriority w:val="99"/>
    <w:rPr>
      <w:rFonts w:ascii="Arial" w:hAnsi="Arial" w:cs="Arial"/>
      <w:color w:val="000000"/>
      <w:kern w:val="0"/>
      <w:sz w:val="20"/>
      <w:szCs w:val="20"/>
    </w:rPr>
    <w:tblPr>
      <w:tblCellMar>
        <w:top w:w="0" w:type="dxa"/>
        <w:left w:w="0" w:type="dxa"/>
        <w:bottom w:w="0" w:type="dxa"/>
        <w:right w:w="0" w:type="dxa"/>
      </w:tblCellMar>
    </w:tblPr>
  </w:style>
  <w:style w:type="paragraph" w:styleId="309">
    <w:name w:val="List Paragraph"/>
    <w:basedOn w:val="1"/>
    <w:autoRedefine/>
    <w:qFormat/>
    <w:uiPriority w:val="99"/>
    <w:pPr>
      <w:ind w:firstLine="420" w:firstLineChars="200"/>
    </w:pPr>
  </w:style>
  <w:style w:type="table" w:customStyle="1" w:styleId="310">
    <w:name w:val="Table Normal11"/>
    <w:semiHidden/>
    <w:uiPriority w:val="99"/>
    <w:rPr>
      <w:rFonts w:ascii="Arial" w:hAnsi="Arial" w:cs="Arial"/>
      <w:color w:val="000000"/>
      <w:kern w:val="0"/>
      <w:szCs w:val="21"/>
    </w:rPr>
    <w:tblPr>
      <w:tblCellMar>
        <w:top w:w="0" w:type="dxa"/>
        <w:left w:w="0" w:type="dxa"/>
        <w:bottom w:w="0" w:type="dxa"/>
        <w:right w:w="0" w:type="dxa"/>
      </w:tblCellMar>
    </w:tblPr>
  </w:style>
  <w:style w:type="paragraph" w:customStyle="1" w:styleId="311">
    <w:name w:val="修订2"/>
    <w:autoRedefine/>
    <w:hidden/>
    <w:semiHidden/>
    <w:uiPriority w:val="99"/>
    <w:rPr>
      <w:rFonts w:ascii="等线" w:hAnsi="等线" w:eastAsia="等线" w:cs="等线"/>
      <w:kern w:val="2"/>
      <w:sz w:val="21"/>
      <w:szCs w:val="21"/>
      <w:lang w:val="en-US" w:eastAsia="zh-CN" w:bidi="ar-SA"/>
    </w:rPr>
  </w:style>
  <w:style w:type="paragraph" w:customStyle="1" w:styleId="312">
    <w:name w:val="列表段落1"/>
    <w:basedOn w:val="1"/>
    <w:autoRedefine/>
    <w:uiPriority w:val="99"/>
    <w:pPr>
      <w:ind w:firstLine="420" w:firstLineChars="200"/>
    </w:pPr>
  </w:style>
  <w:style w:type="character" w:customStyle="1" w:styleId="313">
    <w:name w:val="未处理的提及1"/>
    <w:uiPriority w:val="99"/>
    <w:rPr>
      <w:color w:val="auto"/>
      <w:shd w:val="clear" w:color="auto" w:fill="auto"/>
    </w:rPr>
  </w:style>
  <w:style w:type="paragraph" w:customStyle="1" w:styleId="314">
    <w:name w:val="Default"/>
    <w:uiPriority w:val="99"/>
    <w:pPr>
      <w:widowControl w:val="0"/>
      <w:autoSpaceDE w:val="0"/>
      <w:autoSpaceDN w:val="0"/>
      <w:adjustRightInd w:val="0"/>
    </w:pPr>
    <w:rPr>
      <w:rFonts w:ascii="宋体" w:hAnsi="等线" w:eastAsia="宋体" w:cs="宋体"/>
      <w:color w:val="000000"/>
      <w:kern w:val="0"/>
      <w:sz w:val="24"/>
      <w:szCs w:val="24"/>
      <w:lang w:val="en-US" w:eastAsia="zh-CN" w:bidi="ar-SA"/>
    </w:rPr>
  </w:style>
  <w:style w:type="paragraph" w:customStyle="1" w:styleId="315">
    <w:name w:val="Body text|1"/>
    <w:basedOn w:val="1"/>
    <w:autoRedefine/>
    <w:uiPriority w:val="99"/>
    <w:pPr>
      <w:spacing w:line="360" w:lineRule="auto"/>
      <w:ind w:firstLine="400"/>
    </w:pPr>
    <w:rPr>
      <w:rFonts w:ascii="宋体" w:hAnsi="宋体" w:eastAsia="宋体" w:cs="宋体"/>
      <w:lang w:val="zh-CN"/>
    </w:rPr>
  </w:style>
  <w:style w:type="paragraph" w:customStyle="1" w:styleId="316">
    <w:name w:val="Other|1"/>
    <w:basedOn w:val="1"/>
    <w:autoRedefine/>
    <w:uiPriority w:val="99"/>
    <w:pPr>
      <w:spacing w:line="360" w:lineRule="auto"/>
      <w:ind w:firstLine="400"/>
    </w:pPr>
    <w:rPr>
      <w:rFonts w:ascii="宋体" w:hAnsi="宋体" w:eastAsia="宋体" w:cs="宋体"/>
      <w:sz w:val="20"/>
      <w:szCs w:val="20"/>
      <w:lang w:val="zh-CN"/>
    </w:rPr>
  </w:style>
  <w:style w:type="paragraph" w:customStyle="1" w:styleId="317">
    <w:name w:val="标题 2_0"/>
    <w:basedOn w:val="306"/>
    <w:next w:val="306"/>
    <w:autoRedefine/>
    <w:uiPriority w:val="99"/>
    <w:pPr>
      <w:keepLines/>
      <w:spacing w:before="240" w:after="120" w:line="416" w:lineRule="auto"/>
      <w:jc w:val="center"/>
      <w:outlineLvl w:val="1"/>
    </w:pPr>
    <w:rPr>
      <w:rFonts w:ascii="宋体" w:hAnsi="宋体" w:eastAsia="黑体" w:cs="宋体"/>
      <w:b/>
      <w:bCs/>
      <w:sz w:val="36"/>
      <w:szCs w:val="36"/>
    </w:rPr>
  </w:style>
  <w:style w:type="paragraph" w:customStyle="1" w:styleId="318">
    <w:name w:val="标题 3_1"/>
    <w:basedOn w:val="306"/>
    <w:next w:val="306"/>
    <w:autoRedefine/>
    <w:uiPriority w:val="99"/>
    <w:pPr>
      <w:keepNext/>
      <w:keepLines/>
      <w:spacing w:before="240" w:after="120"/>
      <w:outlineLvl w:val="2"/>
    </w:pPr>
    <w:rPr>
      <w:b/>
      <w:bCs/>
      <w:sz w:val="32"/>
      <w:szCs w:val="32"/>
    </w:rPr>
  </w:style>
  <w:style w:type="paragraph" w:customStyle="1" w:styleId="319">
    <w:name w:val="Body text|1_1"/>
    <w:basedOn w:val="306"/>
    <w:autoRedefine/>
    <w:uiPriority w:val="99"/>
    <w:pPr>
      <w:spacing w:line="360" w:lineRule="auto"/>
      <w:ind w:firstLine="400"/>
    </w:pPr>
    <w:rPr>
      <w:rFonts w:ascii="宋体" w:hAnsi="宋体" w:cs="宋体"/>
      <w:sz w:val="20"/>
      <w:szCs w:val="20"/>
      <w:lang w:val="zh-CN"/>
    </w:rPr>
  </w:style>
  <w:style w:type="paragraph" w:customStyle="1" w:styleId="320">
    <w:name w:val="Body text|2_0"/>
    <w:basedOn w:val="306"/>
    <w:autoRedefine/>
    <w:uiPriority w:val="99"/>
    <w:pPr>
      <w:spacing w:after="30"/>
      <w:ind w:firstLine="420"/>
    </w:pPr>
    <w:rPr>
      <w:sz w:val="20"/>
      <w:szCs w:val="20"/>
    </w:rPr>
  </w:style>
  <w:style w:type="paragraph" w:customStyle="1" w:styleId="321">
    <w:name w:val="Other|1_1"/>
    <w:basedOn w:val="306"/>
    <w:autoRedefine/>
    <w:uiPriority w:val="99"/>
    <w:pPr>
      <w:spacing w:line="360" w:lineRule="auto"/>
      <w:ind w:firstLine="400"/>
    </w:pPr>
    <w:rPr>
      <w:rFonts w:ascii="宋体" w:hAnsi="宋体" w:cs="宋体"/>
      <w:sz w:val="20"/>
      <w:szCs w:val="20"/>
      <w:lang w:val="zh-CN"/>
    </w:rPr>
  </w:style>
  <w:style w:type="paragraph" w:customStyle="1" w:styleId="322">
    <w:name w:val="Body text|1_2"/>
    <w:basedOn w:val="246"/>
    <w:autoRedefine/>
    <w:uiPriority w:val="99"/>
    <w:pPr>
      <w:spacing w:line="360" w:lineRule="auto"/>
      <w:ind w:firstLine="400"/>
    </w:pPr>
    <w:rPr>
      <w:rFonts w:ascii="宋体" w:hAnsi="宋体" w:cs="宋体"/>
      <w:sz w:val="20"/>
      <w:szCs w:val="20"/>
      <w:lang w:val="zh-CN"/>
    </w:rPr>
  </w:style>
  <w:style w:type="paragraph" w:customStyle="1" w:styleId="323">
    <w:name w:val="Header or footer|1"/>
    <w:basedOn w:val="1"/>
    <w:autoRedefine/>
    <w:uiPriority w:val="99"/>
    <w:pPr>
      <w:jc w:val="center"/>
    </w:pPr>
    <w:rPr>
      <w:sz w:val="17"/>
      <w:szCs w:val="17"/>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141</Pages>
  <Words>25293</Words>
  <Characters>27110</Characters>
  <Lines>0</Lines>
  <Paragraphs>0</Paragraphs>
  <TotalTime>31</TotalTime>
  <ScaleCrop>false</ScaleCrop>
  <LinksUpToDate>false</LinksUpToDate>
  <CharactersWithSpaces>27279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2023-09-06T08:37:00Z</dcterms:created>
  <dc:creator>NTKO</dc:creator>
  <cp:lastModifiedBy>WPS_1760321322</cp:lastModifiedBy>
  <cp:lastPrinted>2022-08-18T07:44:00Z</cp:lastPrinted>
  <dcterms:modified xsi:type="dcterms:W3CDTF">2026-03-23T02:27:02Z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D8D157FC362745AC834D1660472D65EA_13</vt:lpwstr>
  </property>
  <property fmtid="{D5CDD505-2E9C-101B-9397-08002B2CF9AE}" pid="4" name="KSOTemplateDocerSaveRecord">
    <vt:lpwstr>eyJoZGlkIjoiN2FjYjI5OTY0NDBlNjdhYzI1NWFmYjUxMDAyMzY0MzEiLCJ1c2VySWQiOiIxNzU1Mjk3MDM0In0=</vt:lpwstr>
  </property>
</Properties>
</file>