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F0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48"/>
          <w:szCs w:val="48"/>
          <w:highlight w:val="none"/>
        </w:rPr>
      </w:pPr>
      <w:r>
        <w:rPr>
          <w:rFonts w:hint="eastAsia" w:ascii="宋体" w:hAnsi="宋体" w:eastAsia="宋体" w:cs="宋体"/>
          <w:b/>
          <w:bCs/>
          <w:color w:val="auto"/>
          <w:sz w:val="48"/>
          <w:szCs w:val="48"/>
          <w:highlight w:val="none"/>
          <w:lang w:eastAsia="zh-CN"/>
        </w:rPr>
        <w:t>广西中正融创项目工程技术服务有限公司</w:t>
      </w:r>
    </w:p>
    <w:p w14:paraId="07DCE1EB">
      <w:pPr>
        <w:widowControl w:val="0"/>
        <w:autoSpaceDE/>
        <w:autoSpaceDN/>
        <w:adjustRightInd/>
        <w:spacing w:line="0" w:lineRule="atLeast"/>
        <w:ind w:firstLine="1044" w:firstLineChars="325"/>
        <w:jc w:val="center"/>
        <w:rPr>
          <w:rFonts w:hint="eastAsia" w:ascii="宋体" w:hAnsi="宋体" w:eastAsia="宋体" w:cs="宋体"/>
          <w:b/>
          <w:color w:val="auto"/>
          <w:kern w:val="2"/>
          <w:sz w:val="32"/>
          <w:highlight w:val="none"/>
          <w:lang w:val="en-US" w:eastAsia="zh-CN" w:bidi="ar-SA"/>
        </w:rPr>
      </w:pPr>
    </w:p>
    <w:p w14:paraId="4619F604">
      <w:pPr>
        <w:pStyle w:val="47"/>
        <w:ind w:left="0" w:leftChars="0" w:firstLine="0" w:firstLineChars="0"/>
        <w:rPr>
          <w:rFonts w:hint="eastAsia" w:ascii="宋体" w:hAnsi="宋体" w:eastAsia="宋体" w:cs="宋体"/>
          <w:b/>
          <w:color w:val="auto"/>
          <w:kern w:val="2"/>
          <w:sz w:val="32"/>
          <w:highlight w:val="none"/>
          <w:lang w:val="en-US" w:eastAsia="zh-CN" w:bidi="ar-SA"/>
        </w:rPr>
      </w:pPr>
    </w:p>
    <w:p w14:paraId="3B4D00BA">
      <w:pPr>
        <w:pStyle w:val="2"/>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 xml:space="preserve">           </w:t>
      </w:r>
    </w:p>
    <w:p w14:paraId="6E146FF3">
      <w:pPr>
        <w:pStyle w:val="2"/>
        <w:rPr>
          <w:rFonts w:hint="eastAsia" w:ascii="宋体" w:hAnsi="宋体" w:eastAsia="宋体" w:cs="宋体"/>
          <w:b/>
          <w:bCs/>
          <w:color w:val="auto"/>
          <w:sz w:val="52"/>
          <w:szCs w:val="52"/>
          <w:highlight w:val="none"/>
          <w:lang w:val="en-US" w:eastAsia="zh-CN"/>
        </w:rPr>
      </w:pPr>
    </w:p>
    <w:p w14:paraId="7635DAEE">
      <w:pPr>
        <w:rPr>
          <w:rFonts w:hint="eastAsia"/>
          <w:lang w:val="en-US" w:eastAsia="zh-CN"/>
        </w:rPr>
      </w:pPr>
    </w:p>
    <w:p w14:paraId="790A6662">
      <w:pPr>
        <w:widowControl w:val="0"/>
        <w:autoSpaceDE/>
        <w:autoSpaceDN/>
        <w:adjustRightInd/>
        <w:spacing w:line="0" w:lineRule="atLeast"/>
        <w:jc w:val="both"/>
        <w:outlineLvl w:val="9"/>
        <w:rPr>
          <w:rFonts w:hint="eastAsia" w:ascii="宋体" w:hAnsi="宋体" w:eastAsia="宋体" w:cs="宋体"/>
          <w:b/>
          <w:color w:val="auto"/>
          <w:kern w:val="2"/>
          <w:sz w:val="32"/>
          <w:highlight w:val="none"/>
          <w:lang w:val="en-US" w:eastAsia="zh-CN" w:bidi="ar-SA"/>
        </w:rPr>
      </w:pPr>
    </w:p>
    <w:p w14:paraId="0A8868C0">
      <w:pPr>
        <w:widowControl w:val="0"/>
        <w:autoSpaceDE/>
        <w:autoSpaceDN/>
        <w:adjustRightInd/>
        <w:spacing w:line="0" w:lineRule="atLeast"/>
        <w:jc w:val="both"/>
        <w:outlineLvl w:val="9"/>
        <w:rPr>
          <w:rFonts w:hint="eastAsia" w:ascii="宋体" w:hAnsi="宋体" w:eastAsia="宋体" w:cs="宋体"/>
          <w:b/>
          <w:color w:val="auto"/>
          <w:kern w:val="2"/>
          <w:sz w:val="32"/>
          <w:highlight w:val="none"/>
          <w:lang w:val="en-US" w:eastAsia="zh-CN" w:bidi="ar-SA"/>
        </w:rPr>
      </w:pPr>
    </w:p>
    <w:p w14:paraId="51F0A4FE">
      <w:pPr>
        <w:widowControl w:val="0"/>
        <w:autoSpaceDE/>
        <w:autoSpaceDN/>
        <w:adjustRightInd/>
        <w:spacing w:line="0" w:lineRule="atLeast"/>
        <w:jc w:val="center"/>
        <w:outlineLvl w:val="9"/>
        <w:rPr>
          <w:rFonts w:hint="eastAsia" w:ascii="宋体" w:hAnsi="宋体" w:eastAsia="宋体" w:cs="宋体"/>
          <w:b/>
          <w:color w:val="auto"/>
          <w:kern w:val="2"/>
          <w:sz w:val="84"/>
          <w:szCs w:val="84"/>
          <w:highlight w:val="none"/>
          <w:lang w:val="en-US" w:eastAsia="zh-CN" w:bidi="ar-SA"/>
        </w:rPr>
      </w:pPr>
      <w:bookmarkStart w:id="0" w:name="_Toc604"/>
      <w:r>
        <w:rPr>
          <w:rFonts w:hint="eastAsia" w:ascii="宋体" w:hAnsi="宋体" w:eastAsia="宋体" w:cs="宋体"/>
          <w:b/>
          <w:bCs/>
          <w:color w:val="auto"/>
          <w:spacing w:val="32"/>
          <w:kern w:val="2"/>
          <w:sz w:val="84"/>
          <w:szCs w:val="84"/>
          <w:highlight w:val="none"/>
          <w:lang w:val="en-US" w:eastAsia="zh-CN" w:bidi="ar-SA"/>
        </w:rPr>
        <w:t>竞争性磋商文件</w:t>
      </w:r>
      <w:bookmarkEnd w:id="0"/>
    </w:p>
    <w:p w14:paraId="35F4DD15">
      <w:pPr>
        <w:pStyle w:val="2"/>
        <w:rPr>
          <w:rFonts w:hint="eastAsia" w:ascii="宋体" w:hAnsi="宋体" w:eastAsia="宋体" w:cs="宋体"/>
          <w:b/>
          <w:color w:val="auto"/>
          <w:kern w:val="2"/>
          <w:sz w:val="32"/>
          <w:szCs w:val="32"/>
          <w:highlight w:val="none"/>
          <w:lang w:val="en-US" w:eastAsia="zh-CN" w:bidi="ar-SA"/>
        </w:rPr>
      </w:pPr>
    </w:p>
    <w:p w14:paraId="60ACEBAB">
      <w:pPr>
        <w:widowControl w:val="0"/>
        <w:tabs>
          <w:tab w:val="left" w:pos="2537"/>
        </w:tabs>
        <w:autoSpaceDE/>
        <w:autoSpaceDN/>
        <w:adjustRightInd/>
        <w:spacing w:line="0" w:lineRule="atLeast"/>
        <w:jc w:val="both"/>
        <w:outlineLvl w:val="9"/>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ab/>
      </w:r>
      <w:bookmarkStart w:id="1" w:name="_Toc6623"/>
    </w:p>
    <w:p w14:paraId="755250FC">
      <w:pPr>
        <w:pStyle w:val="2"/>
        <w:rPr>
          <w:rFonts w:hint="eastAsia" w:ascii="宋体" w:hAnsi="宋体" w:eastAsia="宋体" w:cs="宋体"/>
          <w:b/>
          <w:color w:val="auto"/>
          <w:kern w:val="2"/>
          <w:sz w:val="32"/>
          <w:szCs w:val="32"/>
          <w:highlight w:val="none"/>
          <w:lang w:val="en-US" w:eastAsia="zh-CN" w:bidi="ar-SA"/>
        </w:rPr>
      </w:pPr>
    </w:p>
    <w:p w14:paraId="22DDE7C9">
      <w:pPr>
        <w:rPr>
          <w:rFonts w:hint="eastAsia" w:ascii="宋体" w:hAnsi="宋体" w:eastAsia="宋体" w:cs="宋体"/>
          <w:b/>
          <w:color w:val="auto"/>
          <w:kern w:val="2"/>
          <w:sz w:val="32"/>
          <w:szCs w:val="32"/>
          <w:highlight w:val="none"/>
          <w:lang w:val="en-US" w:eastAsia="zh-CN" w:bidi="ar-SA"/>
        </w:rPr>
      </w:pPr>
    </w:p>
    <w:p w14:paraId="1B3755C8">
      <w:pPr>
        <w:pStyle w:val="2"/>
        <w:rPr>
          <w:rFonts w:hint="eastAsia"/>
          <w:lang w:val="en-US" w:eastAsia="zh-CN"/>
        </w:rPr>
      </w:pPr>
    </w:p>
    <w:p w14:paraId="15CD2364">
      <w:pPr>
        <w:widowControl w:val="0"/>
        <w:tabs>
          <w:tab w:val="left" w:pos="2537"/>
        </w:tabs>
        <w:autoSpaceDE/>
        <w:autoSpaceDN/>
        <w:adjustRightInd/>
        <w:spacing w:line="0" w:lineRule="atLeast"/>
        <w:jc w:val="both"/>
        <w:outlineLvl w:val="9"/>
        <w:rPr>
          <w:rFonts w:hint="eastAsia" w:ascii="宋体" w:hAnsi="宋体" w:eastAsia="宋体" w:cs="宋体"/>
          <w:b/>
          <w:color w:val="auto"/>
          <w:kern w:val="2"/>
          <w:sz w:val="32"/>
          <w:szCs w:val="32"/>
          <w:highlight w:val="none"/>
          <w:lang w:val="en-US" w:eastAsia="zh-CN" w:bidi="ar-SA"/>
        </w:rPr>
      </w:pPr>
    </w:p>
    <w:bookmarkEnd w:id="1"/>
    <w:p w14:paraId="432502A5">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项目编号：BSZC2025-C3-210119-GXZZ</w:t>
      </w:r>
    </w:p>
    <w:p w14:paraId="3256C05F">
      <w:pPr>
        <w:keepNext w:val="0"/>
        <w:keepLines w:val="0"/>
        <w:pageBreakBefore w:val="0"/>
        <w:widowControl w:val="0"/>
        <w:kinsoku/>
        <w:wordWrap/>
        <w:overflowPunct/>
        <w:topLinePunct w:val="0"/>
        <w:autoSpaceDE/>
        <w:autoSpaceDN/>
        <w:bidi w:val="0"/>
        <w:adjustRightInd/>
        <w:snapToGrid/>
        <w:spacing w:line="240" w:lineRule="auto"/>
        <w:ind w:left="2102" w:leftChars="284" w:hanging="1506" w:hangingChars="500"/>
        <w:jc w:val="both"/>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项目名称：百色市田阳区2座中型水库、2座小（Ⅰ）型水库水权交易水资源特许经营项目实施方案编制服务</w:t>
      </w:r>
    </w:p>
    <w:p w14:paraId="1EB37918">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采 购 人：</w:t>
      </w:r>
      <w:r>
        <w:rPr>
          <w:rFonts w:hint="eastAsia" w:ascii="宋体" w:hAnsi="宋体" w:eastAsia="宋体" w:cs="宋体"/>
          <w:b/>
          <w:bCs/>
          <w:color w:val="auto"/>
          <w:sz w:val="30"/>
          <w:szCs w:val="30"/>
          <w:highlight w:val="none"/>
          <w:lang w:val="en-US" w:eastAsia="zh-CN"/>
        </w:rPr>
        <w:t>百色市田阳区</w:t>
      </w:r>
      <w:r>
        <w:rPr>
          <w:rFonts w:hint="eastAsia" w:ascii="宋体" w:hAnsi="宋体" w:eastAsia="宋体" w:cs="宋体"/>
          <w:b/>
          <w:bCs/>
          <w:color w:val="auto"/>
          <w:sz w:val="30"/>
          <w:szCs w:val="30"/>
          <w:highlight w:val="none"/>
          <w:lang w:eastAsia="zh-CN"/>
        </w:rPr>
        <w:t>水利局</w:t>
      </w:r>
    </w:p>
    <w:p w14:paraId="7BE7D06E">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eastAsia="zh-CN"/>
        </w:rPr>
        <w:t>采购代理机构：广西中正融创项目工程技术服务有限公司</w:t>
      </w:r>
    </w:p>
    <w:p w14:paraId="12542B14">
      <w:pPr>
        <w:spacing w:line="400" w:lineRule="exact"/>
        <w:jc w:val="center"/>
        <w:rPr>
          <w:rFonts w:hint="eastAsia" w:ascii="宋体" w:hAnsi="宋体" w:eastAsia="宋体" w:cs="宋体"/>
          <w:b/>
          <w:color w:val="auto"/>
          <w:sz w:val="30"/>
          <w:szCs w:val="30"/>
          <w:highlight w:val="none"/>
          <w:lang w:eastAsia="zh-CN"/>
        </w:rPr>
      </w:pPr>
    </w:p>
    <w:p w14:paraId="650B6BBA">
      <w:pPr>
        <w:spacing w:line="4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30"/>
          <w:szCs w:val="30"/>
          <w:highlight w:val="none"/>
          <w:lang w:eastAsia="zh-CN"/>
        </w:rPr>
        <w:t>二〇二</w:t>
      </w: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十二</w:t>
      </w:r>
      <w:r>
        <w:rPr>
          <w:rFonts w:hint="eastAsia" w:ascii="宋体" w:hAnsi="宋体" w:eastAsia="宋体" w:cs="宋体"/>
          <w:b/>
          <w:color w:val="auto"/>
          <w:sz w:val="30"/>
          <w:szCs w:val="30"/>
          <w:highlight w:val="none"/>
          <w:lang w:eastAsia="zh-CN"/>
        </w:rPr>
        <w:t>月</w:t>
      </w:r>
    </w:p>
    <w:p w14:paraId="17051FA0">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52D8DF98">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BB7E08C">
      <w:pPr>
        <w:spacing w:line="400" w:lineRule="exact"/>
        <w:jc w:val="center"/>
        <w:rPr>
          <w:rFonts w:hint="eastAsia" w:ascii="宋体" w:hAnsi="宋体" w:eastAsia="宋体" w:cs="宋体"/>
          <w:b/>
          <w:color w:val="auto"/>
          <w:sz w:val="44"/>
          <w:szCs w:val="44"/>
          <w:highlight w:val="none"/>
        </w:rPr>
      </w:pPr>
    </w:p>
    <w:p w14:paraId="42F45A40">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55D54E">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w:t>
      </w:r>
      <w:r>
        <w:rPr>
          <w:rStyle w:val="42"/>
          <w:rFonts w:hint="eastAsia" w:ascii="宋体" w:hAnsi="宋体" w:eastAsia="宋体" w:cs="宋体"/>
          <w:color w:val="auto"/>
          <w:highlight w:val="none"/>
          <w:lang w:val="en-US" w:eastAsia="zh-CN"/>
        </w:rPr>
        <w:t>二</w:t>
      </w:r>
      <w:r>
        <w:rPr>
          <w:rStyle w:val="42"/>
          <w:rFonts w:hint="eastAsia" w:ascii="宋体" w:hAnsi="宋体" w:eastAsia="宋体" w:cs="宋体"/>
          <w:color w:val="auto"/>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CEE745">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"_Toc80886928"</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供应商须知前附表</w:t>
      </w:r>
      <w:bookmarkStart w:id="2" w:name="_Hlt80888559"/>
      <w:r>
        <w:rPr>
          <w:rFonts w:hint="eastAsia" w:ascii="宋体" w:hAnsi="宋体" w:eastAsia="宋体" w:cs="宋体"/>
          <w:color w:val="auto"/>
          <w:highlight w:val="none"/>
        </w:rPr>
        <w:tab/>
      </w:r>
      <w:bookmarkEnd w:id="2"/>
      <w:r>
        <w:rPr>
          <w:rFonts w:hint="eastAsia" w:ascii="宋体" w:hAnsi="宋体" w:cs="宋体"/>
          <w:color w:val="auto"/>
          <w:highlight w:val="none"/>
          <w:lang w:val="en-US"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C1DF3A">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"_Toc80886929"</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17A25D">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"_Toc80886930"</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B29294">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370A02">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"_Toc80886932"</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68411D">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"_Toc80886933"</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81E6E3">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"_Toc80886934"</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6BCFAF">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D7BC87">
      <w:pPr>
        <w:pStyle w:val="20"/>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七、其他事项</w:t>
      </w:r>
      <w:bookmarkStart w:id="226" w:name="_GoBack"/>
      <w:bookmarkEnd w:id="226"/>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060993">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w:t>
      </w:r>
      <w:r>
        <w:rPr>
          <w:rStyle w:val="42"/>
          <w:rFonts w:hint="eastAsia" w:ascii="宋体" w:hAnsi="宋体" w:cs="宋体"/>
          <w:color w:val="auto"/>
          <w:highlight w:val="none"/>
          <w:lang w:val="en-US" w:eastAsia="zh-CN"/>
        </w:rPr>
        <w:t>三</w:t>
      </w:r>
      <w:r>
        <w:rPr>
          <w:rStyle w:val="42"/>
          <w:rFonts w:hint="eastAsia" w:ascii="宋体" w:hAnsi="宋体" w:eastAsia="宋体" w:cs="宋体"/>
          <w:color w:val="auto"/>
          <w:highlight w:val="none"/>
        </w:rPr>
        <w:t>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088971">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第四章  评审程序、评审方法和评审标准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14:paraId="3257B76E">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"_Toc80886938"</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951845">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"_Toc80886939"</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0D6FF5">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"_Toc80886940"</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第三节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BDDF84">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第五章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3DDA71">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"_Toc80886942"</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E86C9E">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"_Toc80886943"</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AE29A3">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"_Toc80886944"</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第三节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63BD86">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第四节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62F92A">
      <w:pPr>
        <w:pStyle w:val="30"/>
        <w:keepNext w:val="0"/>
        <w:keepLines w:val="0"/>
        <w:pageBreakBefore w:val="0"/>
        <w:widowControl w:val="0"/>
        <w:tabs>
          <w:tab w:val="right" w:leader="dot" w:pos="8869"/>
          <w:tab w:val="clear" w:pos="8296"/>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第五节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A734A2">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第六章 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1C0C11">
      <w:pPr>
        <w:pStyle w:val="26"/>
        <w:keepNext w:val="0"/>
        <w:keepLines w:val="0"/>
        <w:pageBreakBefore w:val="0"/>
        <w:widowControl w:val="0"/>
        <w:tabs>
          <w:tab w:val="right" w:leader="dot" w:pos="8869"/>
        </w:tabs>
        <w:kinsoku/>
        <w:wordWrap/>
        <w:overflowPunct/>
        <w:topLinePunct w:val="0"/>
        <w:autoSpaceDE/>
        <w:autoSpaceDN/>
        <w:bidi w:val="0"/>
        <w:adjustRightInd/>
        <w:snapToGrid/>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"_Toc80886951"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第七章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C7438B">
      <w:pPr>
        <w:pStyle w:val="30"/>
        <w:jc w:val="right"/>
        <w:rPr>
          <w:rFonts w:hint="eastAsia" w:ascii="宋体" w:hAnsi="宋体" w:eastAsia="宋体" w:cs="宋体"/>
          <w:color w:val="auto"/>
          <w:sz w:val="28"/>
          <w:szCs w:val="28"/>
          <w:highlight w:val="none"/>
        </w:rPr>
      </w:pPr>
      <w:r>
        <w:rPr>
          <w:rFonts w:hint="eastAsia" w:ascii="宋体" w:hAnsi="宋体" w:eastAsia="宋体" w:cs="宋体"/>
          <w:b/>
          <w:color w:val="auto"/>
          <w:sz w:val="30"/>
          <w:szCs w:val="30"/>
          <w:highlight w:val="none"/>
        </w:rPr>
        <w:fldChar w:fldCharType="end"/>
      </w:r>
    </w:p>
    <w:p w14:paraId="0B9032B2">
      <w:pPr>
        <w:spacing w:line="400" w:lineRule="exact"/>
        <w:jc w:val="left"/>
        <w:rPr>
          <w:rFonts w:hint="eastAsia" w:ascii="宋体" w:hAnsi="宋体" w:eastAsia="宋体" w:cs="宋体"/>
          <w:b/>
          <w:color w:val="auto"/>
          <w:sz w:val="32"/>
          <w:szCs w:val="32"/>
          <w:highlight w:val="none"/>
        </w:rPr>
      </w:pPr>
    </w:p>
    <w:p w14:paraId="58B31EA9">
      <w:pPr>
        <w:spacing w:line="400" w:lineRule="exact"/>
        <w:jc w:val="center"/>
        <w:rPr>
          <w:rFonts w:hint="eastAsia" w:ascii="宋体" w:hAnsi="宋体" w:eastAsia="宋体" w:cs="宋体"/>
          <w:b/>
          <w:color w:val="auto"/>
          <w:sz w:val="32"/>
          <w:szCs w:val="32"/>
          <w:highlight w:val="none"/>
        </w:rPr>
      </w:pPr>
    </w:p>
    <w:p w14:paraId="3202A6A3">
      <w:pPr>
        <w:spacing w:line="400" w:lineRule="exact"/>
        <w:jc w:val="center"/>
        <w:rPr>
          <w:rFonts w:hint="eastAsia" w:ascii="宋体" w:hAnsi="宋体" w:eastAsia="宋体" w:cs="宋体"/>
          <w:b/>
          <w:color w:val="auto"/>
          <w:sz w:val="32"/>
          <w:szCs w:val="32"/>
          <w:highlight w:val="none"/>
        </w:rPr>
      </w:pPr>
    </w:p>
    <w:p w14:paraId="0DA835D6">
      <w:pPr>
        <w:spacing w:line="400" w:lineRule="exact"/>
        <w:jc w:val="center"/>
        <w:rPr>
          <w:rFonts w:hint="eastAsia" w:ascii="宋体" w:hAnsi="宋体" w:eastAsia="宋体" w:cs="宋体"/>
          <w:b/>
          <w:color w:val="auto"/>
          <w:sz w:val="32"/>
          <w:szCs w:val="32"/>
          <w:highlight w:val="none"/>
        </w:rPr>
      </w:pPr>
    </w:p>
    <w:p w14:paraId="6F86E443">
      <w:pPr>
        <w:spacing w:line="400" w:lineRule="exact"/>
        <w:jc w:val="center"/>
        <w:rPr>
          <w:rFonts w:hint="eastAsia" w:ascii="宋体" w:hAnsi="宋体" w:eastAsia="宋体" w:cs="宋体"/>
          <w:b/>
          <w:color w:val="auto"/>
          <w:sz w:val="32"/>
          <w:szCs w:val="32"/>
          <w:highlight w:val="none"/>
        </w:rPr>
      </w:pPr>
    </w:p>
    <w:p w14:paraId="1E4603EC">
      <w:pPr>
        <w:spacing w:line="400" w:lineRule="exact"/>
        <w:rPr>
          <w:rFonts w:hint="eastAsia" w:ascii="宋体" w:hAnsi="宋体" w:eastAsia="宋体" w:cs="宋体"/>
          <w:b/>
          <w:color w:val="auto"/>
          <w:sz w:val="32"/>
          <w:szCs w:val="32"/>
          <w:highlight w:val="none"/>
        </w:rPr>
        <w:sectPr>
          <w:headerReference r:id="rId3" w:type="first"/>
          <w:footerReference r:id="rId5" w:type="first"/>
          <w:footerReference r:id="rId4" w:type="default"/>
          <w:pgSz w:w="11906" w:h="16838"/>
          <w:pgMar w:top="1440" w:right="1080" w:bottom="1440" w:left="1080" w:header="851" w:footer="992" w:gutter="0"/>
          <w:pgNumType w:start="0"/>
          <w:cols w:space="720" w:num="1"/>
          <w:titlePg/>
          <w:docGrid w:type="lines" w:linePitch="312" w:charSpace="0"/>
        </w:sectPr>
      </w:pPr>
    </w:p>
    <w:p w14:paraId="61839572">
      <w:pPr>
        <w:pStyle w:val="3"/>
        <w:numPr>
          <w:ilvl w:val="0"/>
          <w:numId w:val="1"/>
        </w:numPr>
        <w:spacing w:line="400" w:lineRule="exact"/>
        <w:jc w:val="center"/>
        <w:rPr>
          <w:rFonts w:hint="eastAsia" w:ascii="宋体" w:hAnsi="宋体" w:eastAsia="宋体" w:cs="宋体"/>
          <w:color w:val="auto"/>
          <w:sz w:val="44"/>
          <w:szCs w:val="44"/>
          <w:highlight w:val="none"/>
        </w:rPr>
      </w:pPr>
      <w:bookmarkStart w:id="3" w:name="_Toc80886925"/>
      <w:r>
        <w:rPr>
          <w:rFonts w:hint="eastAsia" w:ascii="宋体" w:hAnsi="宋体" w:eastAsia="宋体" w:cs="宋体"/>
          <w:color w:val="auto"/>
          <w:sz w:val="44"/>
          <w:szCs w:val="44"/>
          <w:highlight w:val="none"/>
        </w:rPr>
        <w:t>竞争性磋商公告</w:t>
      </w:r>
      <w:bookmarkEnd w:id="3"/>
      <w:bookmarkStart w:id="4" w:name="_Toc35393623"/>
      <w:bookmarkStart w:id="5" w:name="_Toc35393629"/>
      <w:bookmarkStart w:id="6" w:name="_Toc28359089"/>
      <w:bookmarkStart w:id="7" w:name="_Toc35393798"/>
      <w:bookmarkStart w:id="8" w:name="_Toc44229878"/>
      <w:bookmarkStart w:id="9" w:name="_Toc28359081"/>
      <w:bookmarkStart w:id="10" w:name="_Toc28359012"/>
      <w:bookmarkStart w:id="11" w:name="_Toc28359004"/>
      <w:bookmarkStart w:id="12" w:name="_Toc35393792"/>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lang w:val="en-US" w:eastAsia="zh-CN"/>
        </w:rPr>
        <w:t>远程异地评标</w:t>
      </w:r>
      <w:r>
        <w:rPr>
          <w:rFonts w:hint="eastAsia" w:ascii="宋体" w:hAnsi="宋体" w:eastAsia="宋体" w:cs="宋体"/>
          <w:color w:val="auto"/>
          <w:sz w:val="44"/>
          <w:szCs w:val="44"/>
          <w:highlight w:val="none"/>
          <w:lang w:eastAsia="zh-CN"/>
        </w:rPr>
        <w:t>）</w:t>
      </w:r>
    </w:p>
    <w:p w14:paraId="1F2ACF93">
      <w:pPr>
        <w:rPr>
          <w:rFonts w:hint="eastAsia" w:ascii="宋体" w:hAnsi="宋体" w:eastAsia="宋体" w:cs="宋体"/>
          <w:color w:val="auto"/>
          <w:highlight w:val="none"/>
        </w:rPr>
      </w:pPr>
    </w:p>
    <w:p w14:paraId="24469C51">
      <w:pPr>
        <w:numPr>
          <w:ilvl w:val="0"/>
          <w:numId w:val="0"/>
        </w:numPr>
        <w:rPr>
          <w:rFonts w:hint="eastAsia" w:ascii="宋体" w:hAnsi="宋体" w:eastAsia="宋体" w:cs="宋体"/>
          <w:color w:val="auto"/>
          <w:highlight w:val="none"/>
        </w:rPr>
      </w:pPr>
    </w:p>
    <w:p w14:paraId="2AD9034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6C4C14">
      <w:pPr>
        <w:pStyle w:val="3"/>
        <w:spacing w:line="400" w:lineRule="exact"/>
        <w:ind w:firstLine="402" w:firstLineChars="200"/>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0"/>
          <w:highlight w:val="none"/>
        </w:rPr>
        <mc:AlternateContent>
          <mc:Choice Requires="wps">
            <w:drawing>
              <wp:inline distT="0" distB="0" distL="114300" distR="114300">
                <wp:extent cx="5893435" cy="1253490"/>
                <wp:effectExtent l="4445" t="5080" r="7620" b="17780"/>
                <wp:docPr id="1" name="文本框 119"/>
                <wp:cNvGraphicFramePr/>
                <a:graphic xmlns:a="http://schemas.openxmlformats.org/drawingml/2006/main">
                  <a:graphicData uri="http://schemas.microsoft.com/office/word/2010/wordprocessingShape">
                    <wps:wsp>
                      <wps:cNvSpPr txBox="1"/>
                      <wps:spPr>
                        <a:xfrm>
                          <a:off x="0" y="0"/>
                          <a:ext cx="5893435" cy="1253490"/>
                        </a:xfrm>
                        <a:prstGeom prst="rect">
                          <a:avLst/>
                        </a:prstGeom>
                        <a:noFill/>
                        <a:ln w="6096" cap="flat" cmpd="sng">
                          <a:solidFill>
                            <a:srgbClr val="000000"/>
                          </a:solidFill>
                          <a:prstDash val="solid"/>
                          <a:miter/>
                          <a:headEnd type="none" w="med" len="med"/>
                          <a:tailEnd type="none" w="med" len="med"/>
                        </a:ln>
                      </wps:spPr>
                      <wps:txbx>
                        <w:txbxContent>
                          <w:p w14:paraId="2B304B9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21"/>
                                <w:szCs w:val="21"/>
                              </w:rPr>
                            </w:pPr>
                            <w:r>
                              <w:rPr>
                                <w:sz w:val="21"/>
                                <w:szCs w:val="21"/>
                              </w:rPr>
                              <w:t>项目概况</w:t>
                            </w:r>
                          </w:p>
                          <w:p w14:paraId="75E19AA0">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r>
                              <w:rPr>
                                <w:rFonts w:hint="eastAsia"/>
                                <w:sz w:val="21"/>
                                <w:szCs w:val="21"/>
                                <w:u w:val="single"/>
                                <w:lang w:eastAsia="zh-CN"/>
                              </w:rPr>
                              <w:t>百色市田阳区2座中型水库、2座小（Ⅰ）型水库水权交易水资源特许经营项目实施方案编制服务</w:t>
                            </w:r>
                            <w:r>
                              <w:rPr>
                                <w:rFonts w:hint="eastAsia"/>
                                <w:sz w:val="21"/>
                                <w:szCs w:val="21"/>
                                <w:u w:val="single"/>
                              </w:rPr>
                              <w:t xml:space="preserve"> </w:t>
                            </w:r>
                            <w:r>
                              <w:rPr>
                                <w:sz w:val="21"/>
                                <w:szCs w:val="21"/>
                              </w:rPr>
                              <w:t>采购项目的潜在供应商应</w:t>
                            </w:r>
                            <w:r>
                              <w:rPr>
                                <w:color w:val="auto"/>
                                <w:sz w:val="21"/>
                                <w:szCs w:val="21"/>
                              </w:rPr>
                              <w:t>在</w:t>
                            </w:r>
                            <w:r>
                              <w:rPr>
                                <w:rFonts w:hint="eastAsia"/>
                                <w:color w:val="auto"/>
                                <w:sz w:val="21"/>
                                <w:szCs w:val="21"/>
                                <w:u w:val="single"/>
                                <w:lang w:eastAsia="zh-CN"/>
                              </w:rPr>
                              <w:t>广西政府采购云平台 (https://www.gcy.zfcg.gxzf.gov.cn/)</w:t>
                            </w:r>
                            <w:r>
                              <w:rPr>
                                <w:sz w:val="21"/>
                                <w:szCs w:val="21"/>
                              </w:rPr>
                              <w:t>获取竞争性</w:t>
                            </w:r>
                            <w:r>
                              <w:rPr>
                                <w:rFonts w:hint="eastAsia"/>
                                <w:sz w:val="21"/>
                                <w:szCs w:val="21"/>
                                <w:lang w:eastAsia="zh-CN"/>
                              </w:rPr>
                              <w:t>磋商</w:t>
                            </w:r>
                            <w:r>
                              <w:rPr>
                                <w:spacing w:val="-8"/>
                                <w:sz w:val="21"/>
                                <w:szCs w:val="21"/>
                              </w:rPr>
                              <w:t>文件，并</w:t>
                            </w:r>
                            <w:r>
                              <w:rPr>
                                <w:sz w:val="21"/>
                                <w:szCs w:val="21"/>
                              </w:rPr>
                              <w:t>于</w:t>
                            </w:r>
                            <w:r>
                              <w:rPr>
                                <w:rFonts w:hint="eastAsia"/>
                                <w:sz w:val="21"/>
                                <w:szCs w:val="21"/>
                                <w:lang w:val="en-US" w:eastAsia="zh-CN"/>
                              </w:rPr>
                              <w:t>2025</w:t>
                            </w:r>
                            <w:r>
                              <w:rPr>
                                <w:sz w:val="21"/>
                                <w:szCs w:val="21"/>
                              </w:rPr>
                              <w:t>年</w:t>
                            </w:r>
                            <w:r>
                              <w:rPr>
                                <w:rFonts w:hint="eastAsia"/>
                                <w:sz w:val="21"/>
                                <w:szCs w:val="21"/>
                                <w:lang w:val="en-US" w:eastAsia="zh-CN"/>
                              </w:rPr>
                              <w:t>12</w:t>
                            </w:r>
                            <w:r>
                              <w:rPr>
                                <w:sz w:val="21"/>
                                <w:szCs w:val="21"/>
                              </w:rPr>
                              <w:t>月</w:t>
                            </w:r>
                            <w:r>
                              <w:rPr>
                                <w:rFonts w:hint="eastAsia"/>
                                <w:sz w:val="21"/>
                                <w:szCs w:val="21"/>
                                <w:lang w:val="en-US" w:eastAsia="zh-CN"/>
                              </w:rPr>
                              <w:t>18日09</w:t>
                            </w:r>
                            <w:r>
                              <w:rPr>
                                <w:sz w:val="21"/>
                                <w:szCs w:val="21"/>
                              </w:rPr>
                              <w:t>点</w:t>
                            </w:r>
                            <w:r>
                              <w:rPr>
                                <w:rFonts w:hint="eastAsia"/>
                                <w:sz w:val="21"/>
                                <w:szCs w:val="21"/>
                                <w:lang w:val="en-US" w:eastAsia="zh-CN"/>
                              </w:rPr>
                              <w:t>30</w:t>
                            </w:r>
                            <w:r>
                              <w:rPr>
                                <w:sz w:val="21"/>
                                <w:szCs w:val="21"/>
                              </w:rPr>
                              <w:t>分（北京时间）前提交响应文件。</w:t>
                            </w:r>
                          </w:p>
                          <w:p w14:paraId="584EE01B">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p>
                        </w:txbxContent>
                      </wps:txbx>
                      <wps:bodyPr vert="horz" wrap="square" lIns="0" tIns="0" rIns="0" bIns="0" anchor="t" upright="1"/>
                    </wps:wsp>
                  </a:graphicData>
                </a:graphic>
              </wp:inline>
            </w:drawing>
          </mc:Choice>
          <mc:Fallback>
            <w:pict>
              <v:shape id="文本框 119" o:spid="_x0000_s1026" o:spt="202" type="#_x0000_t202" style="height:98.7pt;width:464.05pt;" filled="f" stroked="t" coordsize="21600,21600" o:gfxdata="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xd7ILUAAAABQEAAA8AAAAAAAAAAQAgAAAAIgAAAGRycy9kb3ducmV2LnhtbFBLAQIU&#10;ABQAAAAIAIdO4kBUH7cTMAIAAFkEAAAOAAAAAAAAAAEAIAAAACMBAABkcnMvZTJvRG9jLnhtbFBL&#10;BQYAAAAABgAGAFkBAADFBQAAAAA=&#10;">
                <v:fill on="f" focussize="0,0"/>
                <v:stroke weight="0.48pt" color="#000000" joinstyle="miter"/>
                <v:imagedata o:title=""/>
                <o:lock v:ext="edit" aspectratio="f"/>
                <v:textbox inset="0mm,0mm,0mm,0mm">
                  <w:txbxContent>
                    <w:p w14:paraId="2B304B9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21"/>
                          <w:szCs w:val="21"/>
                        </w:rPr>
                      </w:pPr>
                      <w:r>
                        <w:rPr>
                          <w:sz w:val="21"/>
                          <w:szCs w:val="21"/>
                        </w:rPr>
                        <w:t>项目概况</w:t>
                      </w:r>
                    </w:p>
                    <w:p w14:paraId="75E19AA0">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r>
                        <w:rPr>
                          <w:rFonts w:hint="eastAsia"/>
                          <w:sz w:val="21"/>
                          <w:szCs w:val="21"/>
                          <w:u w:val="single"/>
                          <w:lang w:eastAsia="zh-CN"/>
                        </w:rPr>
                        <w:t>百色市田阳区2座中型水库、2座小（Ⅰ）型水库水权交易水资源特许经营项目实施方案编制服务</w:t>
                      </w:r>
                      <w:r>
                        <w:rPr>
                          <w:rFonts w:hint="eastAsia"/>
                          <w:sz w:val="21"/>
                          <w:szCs w:val="21"/>
                          <w:u w:val="single"/>
                        </w:rPr>
                        <w:t xml:space="preserve"> </w:t>
                      </w:r>
                      <w:r>
                        <w:rPr>
                          <w:sz w:val="21"/>
                          <w:szCs w:val="21"/>
                        </w:rPr>
                        <w:t>采购项目的潜在供应商应</w:t>
                      </w:r>
                      <w:r>
                        <w:rPr>
                          <w:color w:val="auto"/>
                          <w:sz w:val="21"/>
                          <w:szCs w:val="21"/>
                        </w:rPr>
                        <w:t>在</w:t>
                      </w:r>
                      <w:r>
                        <w:rPr>
                          <w:rFonts w:hint="eastAsia"/>
                          <w:color w:val="auto"/>
                          <w:sz w:val="21"/>
                          <w:szCs w:val="21"/>
                          <w:u w:val="single"/>
                          <w:lang w:eastAsia="zh-CN"/>
                        </w:rPr>
                        <w:t>广西政府采购云平台 (https://www.gcy.zfcg.gxzf.gov.cn/)</w:t>
                      </w:r>
                      <w:r>
                        <w:rPr>
                          <w:sz w:val="21"/>
                          <w:szCs w:val="21"/>
                        </w:rPr>
                        <w:t>获取竞争性</w:t>
                      </w:r>
                      <w:r>
                        <w:rPr>
                          <w:rFonts w:hint="eastAsia"/>
                          <w:sz w:val="21"/>
                          <w:szCs w:val="21"/>
                          <w:lang w:eastAsia="zh-CN"/>
                        </w:rPr>
                        <w:t>磋商</w:t>
                      </w:r>
                      <w:r>
                        <w:rPr>
                          <w:spacing w:val="-8"/>
                          <w:sz w:val="21"/>
                          <w:szCs w:val="21"/>
                        </w:rPr>
                        <w:t>文件，并</w:t>
                      </w:r>
                      <w:r>
                        <w:rPr>
                          <w:sz w:val="21"/>
                          <w:szCs w:val="21"/>
                        </w:rPr>
                        <w:t>于</w:t>
                      </w:r>
                      <w:r>
                        <w:rPr>
                          <w:rFonts w:hint="eastAsia"/>
                          <w:sz w:val="21"/>
                          <w:szCs w:val="21"/>
                          <w:lang w:val="en-US" w:eastAsia="zh-CN"/>
                        </w:rPr>
                        <w:t>2025</w:t>
                      </w:r>
                      <w:r>
                        <w:rPr>
                          <w:sz w:val="21"/>
                          <w:szCs w:val="21"/>
                        </w:rPr>
                        <w:t>年</w:t>
                      </w:r>
                      <w:r>
                        <w:rPr>
                          <w:rFonts w:hint="eastAsia"/>
                          <w:sz w:val="21"/>
                          <w:szCs w:val="21"/>
                          <w:lang w:val="en-US" w:eastAsia="zh-CN"/>
                        </w:rPr>
                        <w:t>12</w:t>
                      </w:r>
                      <w:r>
                        <w:rPr>
                          <w:sz w:val="21"/>
                          <w:szCs w:val="21"/>
                        </w:rPr>
                        <w:t>月</w:t>
                      </w:r>
                      <w:r>
                        <w:rPr>
                          <w:rFonts w:hint="eastAsia"/>
                          <w:sz w:val="21"/>
                          <w:szCs w:val="21"/>
                          <w:lang w:val="en-US" w:eastAsia="zh-CN"/>
                        </w:rPr>
                        <w:t>18日09</w:t>
                      </w:r>
                      <w:r>
                        <w:rPr>
                          <w:sz w:val="21"/>
                          <w:szCs w:val="21"/>
                        </w:rPr>
                        <w:t>点</w:t>
                      </w:r>
                      <w:r>
                        <w:rPr>
                          <w:rFonts w:hint="eastAsia"/>
                          <w:sz w:val="21"/>
                          <w:szCs w:val="21"/>
                          <w:lang w:val="en-US" w:eastAsia="zh-CN"/>
                        </w:rPr>
                        <w:t>30</w:t>
                      </w:r>
                      <w:r>
                        <w:rPr>
                          <w:sz w:val="21"/>
                          <w:szCs w:val="21"/>
                        </w:rPr>
                        <w:t>分（北京时间）前提交响应文件。</w:t>
                      </w:r>
                    </w:p>
                    <w:p w14:paraId="584EE01B">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p>
                  </w:txbxContent>
                </v:textbox>
                <w10:wrap type="none"/>
                <w10:anchorlock/>
              </v:shape>
            </w:pict>
          </mc:Fallback>
        </mc:AlternateContent>
      </w:r>
    </w:p>
    <w:bookmarkEnd w:id="4"/>
    <w:bookmarkEnd w:id="5"/>
    <w:bookmarkEnd w:id="6"/>
    <w:bookmarkEnd w:id="7"/>
    <w:bookmarkEnd w:id="8"/>
    <w:bookmarkEnd w:id="9"/>
    <w:bookmarkEnd w:id="10"/>
    <w:bookmarkEnd w:id="11"/>
    <w:bookmarkEnd w:id="12"/>
    <w:p w14:paraId="2E9D2D00">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p>
    <w:p w14:paraId="7009E2D6">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项目编号：BSZC2025-C3-210119-GXZZ</w:t>
      </w:r>
      <w:r>
        <w:rPr>
          <w:rFonts w:hint="eastAsia" w:ascii="宋体" w:hAnsi="宋体" w:eastAsia="宋体" w:cs="宋体"/>
          <w:color w:val="auto"/>
          <w:highlight w:val="none"/>
          <w:lang w:val="en-US" w:eastAsia="zh-CN"/>
        </w:rPr>
        <w:t>(采购计划书编号：TYZC2025-C3-01374）</w:t>
      </w:r>
    </w:p>
    <w:p w14:paraId="24D800E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百色市田阳区2座中型水库、2座小（Ⅰ）型水库水权交易水资源特许经营项目实施方案编制服务</w:t>
      </w:r>
      <w:r>
        <w:rPr>
          <w:rFonts w:hint="eastAsia" w:ascii="宋体" w:hAnsi="宋体" w:eastAsia="宋体" w:cs="宋体"/>
          <w:color w:val="auto"/>
          <w:highlight w:val="none"/>
        </w:rPr>
        <w:t xml:space="preserve"> </w:t>
      </w:r>
    </w:p>
    <w:p w14:paraId="32B9E87C">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采购方式：竞争性磋商 </w:t>
      </w:r>
    </w:p>
    <w:p w14:paraId="3BB39034">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725800.00</w:t>
      </w:r>
      <w:r>
        <w:rPr>
          <w:rFonts w:hint="eastAsia" w:ascii="宋体" w:hAnsi="宋体" w:eastAsia="宋体" w:cs="宋体"/>
          <w:color w:val="auto"/>
          <w:highlight w:val="none"/>
        </w:rPr>
        <w:t>元</w:t>
      </w:r>
    </w:p>
    <w:p w14:paraId="68E996D2">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725800.00</w:t>
      </w:r>
      <w:r>
        <w:rPr>
          <w:rFonts w:hint="eastAsia" w:ascii="宋体" w:hAnsi="宋体" w:eastAsia="宋体" w:cs="宋体"/>
          <w:color w:val="auto"/>
          <w:highlight w:val="none"/>
        </w:rPr>
        <w:t>元</w:t>
      </w:r>
    </w:p>
    <w:p w14:paraId="21E2DB6B">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采购需求：</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百色市田阳区2座中型水库、2座小（Ⅰ）型水库水权交易水资源特许经营项目实施方案编制服务（详见采购需求）</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w:t>
      </w:r>
    </w:p>
    <w:p w14:paraId="21745235">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w:t>
      </w:r>
      <w:r>
        <w:rPr>
          <w:rFonts w:hint="eastAsia" w:ascii="宋体" w:hAnsi="宋体" w:eastAsia="宋体" w:cs="宋体"/>
          <w:color w:val="auto"/>
          <w:highlight w:val="none"/>
          <w:lang w:val="en-US" w:eastAsia="zh-CN"/>
        </w:rPr>
        <w:t>行</w:t>
      </w:r>
      <w:r>
        <w:rPr>
          <w:rFonts w:hint="eastAsia" w:ascii="宋体" w:hAnsi="宋体" w:eastAsia="宋体" w:cs="宋体"/>
          <w:color w:val="auto"/>
          <w:highlight w:val="none"/>
        </w:rPr>
        <w:t>期限：</w:t>
      </w:r>
      <w:r>
        <w:rPr>
          <w:rFonts w:hint="eastAsia" w:ascii="宋体" w:hAnsi="宋体" w:eastAsia="宋体" w:cs="宋体"/>
          <w:color w:val="auto"/>
          <w:highlight w:val="none"/>
          <w:lang w:val="en-US" w:eastAsia="zh-CN"/>
        </w:rPr>
        <w:t>详见竞争性磋商文件。</w:t>
      </w:r>
    </w:p>
    <w:p w14:paraId="6242F479">
      <w:pPr>
        <w:pageBreakBefore w:val="0"/>
        <w:tabs>
          <w:tab w:val="left" w:pos="7966"/>
        </w:tabs>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本项目是否接受联合体响应：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否</w:t>
      </w:r>
      <w:r>
        <w:rPr>
          <w:rFonts w:hint="eastAsia" w:ascii="宋体" w:hAnsi="宋体" w:eastAsia="宋体" w:cs="宋体"/>
          <w:b/>
          <w:color w:val="auto"/>
          <w:szCs w:val="21"/>
          <w:highlight w:val="none"/>
          <w:lang w:eastAsia="zh-CN"/>
        </w:rPr>
        <w:tab/>
      </w:r>
    </w:p>
    <w:p w14:paraId="440457F7">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p>
    <w:p w14:paraId="03FC7CC3">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1.满足《中华人民共和国政府采购法》第二十二条规定</w:t>
      </w:r>
      <w:r>
        <w:rPr>
          <w:rFonts w:hint="eastAsia" w:ascii="宋体" w:hAnsi="宋体" w:cs="宋体"/>
          <w:color w:val="auto"/>
          <w:highlight w:val="none"/>
          <w:lang w:eastAsia="zh-CN"/>
        </w:rPr>
        <w:t>。</w:t>
      </w:r>
    </w:p>
    <w:p w14:paraId="2CF32BFD">
      <w:pPr>
        <w:pageBreakBefore w:val="0"/>
        <w:numPr>
          <w:ilvl w:val="0"/>
          <w:numId w:val="0"/>
        </w:numPr>
        <w:kinsoku/>
        <w:wordWrap/>
        <w:overflowPunct/>
        <w:topLinePunct w:val="0"/>
        <w:bidi w:val="0"/>
        <w:adjustRightInd/>
        <w:spacing w:line="360" w:lineRule="auto"/>
        <w:ind w:left="420"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落实政府采购政策需满足的资格要求：本项目未预留份额专门面向中小企业采购</w:t>
      </w:r>
      <w:r>
        <w:rPr>
          <w:rFonts w:hint="eastAsia" w:ascii="宋体" w:hAnsi="宋体" w:cs="宋体"/>
          <w:color w:val="auto"/>
          <w:highlight w:val="none"/>
          <w:lang w:eastAsia="zh-CN"/>
        </w:rPr>
        <w:t>。</w:t>
      </w:r>
    </w:p>
    <w:p w14:paraId="72EAB135">
      <w:pPr>
        <w:pageBreakBefore w:val="0"/>
        <w:kinsoku/>
        <w:wordWrap/>
        <w:overflowPunct/>
        <w:topLinePunct w:val="0"/>
        <w:bidi w:val="0"/>
        <w:adjustRightInd/>
        <w:spacing w:line="360" w:lineRule="auto"/>
        <w:ind w:left="42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本项目的特定资格要求：</w:t>
      </w:r>
      <w:r>
        <w:rPr>
          <w:rFonts w:hint="eastAsia" w:ascii="宋体" w:hAnsi="宋体" w:eastAsia="宋体" w:cs="宋体"/>
          <w:color w:val="auto"/>
          <w:highlight w:val="none"/>
          <w:lang w:val="en-US" w:eastAsia="zh-CN"/>
        </w:rPr>
        <w:t>无。</w:t>
      </w:r>
    </w:p>
    <w:p w14:paraId="6564E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8B6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kern w:val="2"/>
          <w:sz w:val="21"/>
          <w:szCs w:val="21"/>
          <w:highlight w:val="none"/>
          <w:lang w:val="en-US" w:eastAsia="zh-CN" w:bidi="ar-SA"/>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6336145">
      <w:pPr>
        <w:pageBreakBefore w:val="0"/>
        <w:numPr>
          <w:ilvl w:val="0"/>
          <w:numId w:val="0"/>
        </w:numPr>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kern w:val="2"/>
          <w:sz w:val="21"/>
          <w:szCs w:val="24"/>
          <w:lang w:val="en-US" w:eastAsia="zh-CN" w:bidi="ar-SA"/>
        </w:rPr>
        <w:t>三、</w:t>
      </w:r>
      <w:r>
        <w:rPr>
          <w:rFonts w:hint="eastAsia" w:ascii="宋体" w:hAnsi="宋体" w:eastAsia="宋体" w:cs="宋体"/>
          <w:b/>
          <w:bCs/>
          <w:color w:val="auto"/>
          <w:highlight w:val="none"/>
        </w:rPr>
        <w:t>获取采购文件</w:t>
      </w:r>
    </w:p>
    <w:p w14:paraId="44E9650E">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时间：202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日，每天上午00:00至12:00，下午12:00至23:59（北京时间，法定节假日除外）</w:t>
      </w:r>
    </w:p>
    <w:p w14:paraId="02BC5296">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地点（网址）：广西政府采购云平台 (https://www.gcy.zfcg.gxzf.gov.cn/) </w:t>
      </w:r>
    </w:p>
    <w:p w14:paraId="79D97772">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eastAsia="zh-CN"/>
        </w:rPr>
        <w:t>方式：</w:t>
      </w:r>
      <w:r>
        <w:rPr>
          <w:rFonts w:hint="eastAsia" w:ascii="宋体" w:hAnsi="宋体" w:eastAsia="宋体" w:cs="宋体"/>
          <w:b w:val="0"/>
          <w:bCs w:val="0"/>
          <w:color w:val="auto"/>
          <w:sz w:val="21"/>
          <w:szCs w:val="21"/>
          <w:highlight w:val="none"/>
        </w:rPr>
        <w:t>本项目采用不记名方式自行下载竞争性</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文件。供应商均可于</w:t>
      </w:r>
      <w:r>
        <w:rPr>
          <w:rFonts w:hint="eastAsia" w:ascii="宋体" w:hAnsi="宋体" w:eastAsia="宋体" w:cs="宋体"/>
          <w:b w:val="0"/>
          <w:bCs w:val="0"/>
          <w:color w:val="auto"/>
          <w:sz w:val="21"/>
          <w:szCs w:val="21"/>
          <w:highlight w:val="none"/>
          <w:lang w:eastAsia="zh-CN"/>
        </w:rPr>
        <w:t>报名截止时间前</w:t>
      </w:r>
      <w:r>
        <w:rPr>
          <w:rFonts w:hint="eastAsia" w:ascii="宋体" w:hAnsi="宋体" w:eastAsia="宋体" w:cs="宋体"/>
          <w:b w:val="0"/>
          <w:bCs w:val="0"/>
          <w:color w:val="auto"/>
          <w:sz w:val="21"/>
          <w:szCs w:val="21"/>
          <w:highlight w:val="none"/>
        </w:rPr>
        <w:t>通过CA登录““</w:t>
      </w:r>
      <w:r>
        <w:rPr>
          <w:rFonts w:hint="eastAsia" w:ascii="宋体" w:hAnsi="宋体" w:eastAsia="宋体" w:cs="宋体"/>
          <w:b w:val="0"/>
          <w:bCs w:val="0"/>
          <w:color w:val="auto"/>
          <w:sz w:val="21"/>
          <w:szCs w:val="21"/>
          <w:highlight w:val="none"/>
          <w:lang w:val="en-US" w:eastAsia="zh-CN"/>
        </w:rPr>
        <w:t>广西政府采购</w:t>
      </w:r>
      <w:r>
        <w:rPr>
          <w:rFonts w:hint="eastAsia" w:ascii="宋体" w:hAnsi="宋体" w:eastAsia="宋体" w:cs="宋体"/>
          <w:b w:val="0"/>
          <w:bCs w:val="0"/>
          <w:color w:val="auto"/>
          <w:sz w:val="21"/>
          <w:szCs w:val="21"/>
          <w:highlight w:val="none"/>
        </w:rPr>
        <w:t>云”平台（</w:t>
      </w:r>
      <w:r>
        <w:rPr>
          <w:rFonts w:hint="eastAsia" w:ascii="宋体" w:hAnsi="宋体" w:eastAsia="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）”投标客户端在线自行下载采购文件；未注册的供应商可在”</w:t>
      </w:r>
      <w:r>
        <w:rPr>
          <w:rFonts w:hint="eastAsia" w:ascii="宋体" w:hAnsi="宋体" w:eastAsia="宋体" w:cs="宋体"/>
          <w:b w:val="0"/>
          <w:bCs w:val="0"/>
          <w:color w:val="auto"/>
          <w:sz w:val="21"/>
          <w:szCs w:val="21"/>
          <w:highlight w:val="none"/>
          <w:lang w:eastAsia="zh-CN"/>
        </w:rPr>
        <w:t>广西政府采购云</w:t>
      </w:r>
      <w:r>
        <w:rPr>
          <w:rFonts w:hint="eastAsia" w:ascii="宋体" w:hAnsi="宋体" w:eastAsia="宋体" w:cs="宋体"/>
          <w:b w:val="0"/>
          <w:bCs w:val="0"/>
          <w:color w:val="auto"/>
          <w:sz w:val="21"/>
          <w:szCs w:val="21"/>
          <w:highlight w:val="none"/>
        </w:rPr>
        <w:t>” 网上招投标系统完成注册后再进行文件下载。提示：供应商只有在“</w:t>
      </w:r>
      <w:r>
        <w:rPr>
          <w:rFonts w:hint="eastAsia" w:ascii="宋体" w:hAnsi="宋体" w:eastAsia="宋体" w:cs="宋体"/>
          <w:b w:val="0"/>
          <w:bCs w:val="0"/>
          <w:color w:val="auto"/>
          <w:sz w:val="21"/>
          <w:szCs w:val="21"/>
          <w:highlight w:val="none"/>
          <w:lang w:eastAsia="zh-CN"/>
        </w:rPr>
        <w:t>广西政府采购云</w:t>
      </w:r>
      <w:r>
        <w:rPr>
          <w:rFonts w:hint="eastAsia" w:ascii="宋体" w:hAnsi="宋体" w:eastAsia="宋体" w:cs="宋体"/>
          <w:b w:val="0"/>
          <w:bCs w:val="0"/>
          <w:color w:val="auto"/>
          <w:sz w:val="21"/>
          <w:szCs w:val="21"/>
          <w:highlight w:val="none"/>
        </w:rPr>
        <w:t>” 网上招投标系统完成获取采购文件申请并下载了采购文件后才视作依法获取采购文件（法律法规所指的供应商获取采购文件时间以供应商完成获取采购文件申请后下载采购文件的时间为准）。竞争性</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文件免费向供应商提供。</w:t>
      </w:r>
    </w:p>
    <w:p w14:paraId="5F17B9C3">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售价（元）：0 </w:t>
      </w:r>
    </w:p>
    <w:p w14:paraId="03607813">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四、响应文件提交 </w:t>
      </w:r>
    </w:p>
    <w:p w14:paraId="73813D7B">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首次响应文件递交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eastAsia="zh-CN"/>
        </w:rPr>
        <w:t>时</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eastAsia="zh-CN"/>
        </w:rPr>
        <w:t>分</w:t>
      </w:r>
      <w:r>
        <w:rPr>
          <w:rFonts w:hint="eastAsia" w:ascii="宋体" w:hAnsi="宋体" w:eastAsia="宋体" w:cs="宋体"/>
          <w:bCs/>
          <w:color w:val="auto"/>
          <w:sz w:val="21"/>
          <w:szCs w:val="21"/>
          <w:highlight w:val="none"/>
        </w:rPr>
        <w:t>（北京时间）</w:t>
      </w:r>
    </w:p>
    <w:p w14:paraId="58E73DBF">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color w:val="auto"/>
          <w:sz w:val="21"/>
          <w:szCs w:val="21"/>
          <w:highlight w:val="none"/>
        </w:rPr>
        <w:t>本项目为全流程电子化项目，</w:t>
      </w:r>
      <w:r>
        <w:rPr>
          <w:rFonts w:hint="eastAsia" w:ascii="宋体" w:hAnsi="宋体" w:eastAsia="宋体" w:cs="宋体"/>
          <w:color w:val="auto"/>
          <w:sz w:val="21"/>
          <w:szCs w:val="21"/>
          <w:highlight w:val="none"/>
          <w:lang w:val="en-US" w:eastAsia="zh-CN"/>
        </w:rPr>
        <w:t>竞标人必须在响应文件递交截止时间前通过CA登录“广西政府采购云” 网上招投标系统将电子响应文件加密后上传完成，实行在线竞标响应。（本项目不要求竞标人到达开标现场，但竞标人应派法定代表人或委托代理人准时在线出席电子开评标会议，</w:t>
      </w:r>
      <w:r>
        <w:rPr>
          <w:rFonts w:hint="eastAsia" w:ascii="宋体" w:hAnsi="宋体" w:eastAsia="宋体" w:cs="宋体"/>
          <w:color w:val="auto"/>
          <w:highlight w:val="none"/>
          <w:lang w:val="en-US" w:eastAsia="zh-CN"/>
        </w:rPr>
        <w:t>随时关注开评标进度，如在开评标过程中有电子询标，应在规定的时间内对电子询标函进行澄清回复）</w:t>
      </w:r>
      <w:r>
        <w:rPr>
          <w:rFonts w:hint="eastAsia" w:ascii="宋体" w:hAnsi="宋体" w:eastAsia="宋体" w:cs="宋体"/>
          <w:color w:val="auto"/>
          <w:highlight w:val="none"/>
        </w:rPr>
        <w:t>。 </w:t>
      </w:r>
    </w:p>
    <w:p w14:paraId="2F86D1EC">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五、响应文件开启 </w:t>
      </w:r>
    </w:p>
    <w:p w14:paraId="41D0C9C8">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分（北京时间）</w:t>
      </w:r>
    </w:p>
    <w:p w14:paraId="1F359401">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lang w:val="en-US" w:eastAsia="zh-CN"/>
        </w:rPr>
        <w:t>广西政府采购</w:t>
      </w:r>
      <w:r>
        <w:rPr>
          <w:rFonts w:hint="eastAsia" w:ascii="宋体" w:hAnsi="宋体" w:eastAsia="宋体" w:cs="宋体"/>
          <w:color w:val="auto"/>
          <w:sz w:val="21"/>
          <w:szCs w:val="21"/>
          <w:highlight w:val="none"/>
          <w:lang w:eastAsia="zh-CN"/>
        </w:rPr>
        <w:t>云”平台（https://www.gcy.zfcg.gxzf.gov.cn/）电子开标大厅开标。</w:t>
      </w:r>
    </w:p>
    <w:p w14:paraId="5E10C5D0">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六、公告期限</w:t>
      </w:r>
    </w:p>
    <w:p w14:paraId="0B891A10">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14BD0B64">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七、其他补充事宜 </w:t>
      </w:r>
    </w:p>
    <w:p w14:paraId="2CDE2442">
      <w:pPr>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13" w:name="_Hlk37429674"/>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en-US" w:eastAsia="zh-CN"/>
        </w:rPr>
        <w:t>根据“2021年自治区优化营商环境要求，鼓励免收投标保证金”，本项目无需缴纳磋商保证金</w:t>
      </w:r>
      <w:r>
        <w:rPr>
          <w:rFonts w:hint="eastAsia" w:ascii="宋体" w:hAnsi="宋体" w:eastAsia="宋体" w:cs="宋体"/>
          <w:b w:val="0"/>
          <w:bCs w:val="0"/>
          <w:color w:val="auto"/>
          <w:sz w:val="21"/>
          <w:szCs w:val="21"/>
          <w:highlight w:val="none"/>
          <w:lang w:val="en-US" w:eastAsia="zh-CN"/>
        </w:rPr>
        <w:t>。</w:t>
      </w:r>
    </w:p>
    <w:p w14:paraId="4C5FD4A5">
      <w:pPr>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网上公告媒体查询：中国政府采购网（http://www.ccgp.gov.cn）、广西壮族自治区政府采购网（http://zfcg.gxzf.gov.cn/）。</w:t>
      </w:r>
    </w:p>
    <w:p w14:paraId="4AE4603E">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本项目需要落实的政府采购政策</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关于进一步加大政府采购支持中小企业力度的通知》财库【2022】19号、《政府采购促进中小企业发展管理办法》的通知（财库〔2020〕46号）、《财政部、司法部关于政府采购支持监狱企业发展有关问题的通知》（财库[2014]68号）《三部门联合发布关于促进残疾人就业政府采购政策的通知》（财库〔2017〕141号）。</w:t>
      </w:r>
      <w:bookmarkEnd w:id="13"/>
    </w:p>
    <w:p w14:paraId="5D062759">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7A73585">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5、关于全流程电子标的注意事项</w:t>
      </w:r>
    </w:p>
    <w:p w14:paraId="5CD056D4">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snapToGrid/>
          <w:color w:val="auto"/>
          <w:kern w:val="0"/>
          <w:sz w:val="21"/>
          <w:szCs w:val="21"/>
          <w:highlight w:val="none"/>
        </w:rPr>
        <w:t>（</w:t>
      </w:r>
      <w:r>
        <w:rPr>
          <w:rFonts w:hint="eastAsia" w:ascii="宋体" w:hAnsi="宋体" w:eastAsia="宋体" w:cs="宋体"/>
          <w:snapToGrid/>
          <w:color w:val="auto"/>
          <w:kern w:val="0"/>
          <w:sz w:val="21"/>
          <w:szCs w:val="21"/>
          <w:highlight w:val="none"/>
          <w:lang w:val="en-US" w:eastAsia="zh-CN"/>
        </w:rPr>
        <w:t>1</w:t>
      </w:r>
      <w:r>
        <w:rPr>
          <w:rFonts w:hint="eastAsia" w:ascii="宋体" w:hAnsi="宋体" w:eastAsia="宋体" w:cs="宋体"/>
          <w:snapToGrid/>
          <w:color w:val="auto"/>
          <w:kern w:val="0"/>
          <w:sz w:val="21"/>
          <w:szCs w:val="21"/>
          <w:highlight w:val="none"/>
        </w:rPr>
        <w:t>）本项目</w:t>
      </w:r>
      <w:r>
        <w:rPr>
          <w:rFonts w:hint="eastAsia" w:ascii="宋体" w:hAnsi="宋体" w:cs="宋体"/>
          <w:snapToGrid/>
          <w:color w:val="auto"/>
          <w:kern w:val="0"/>
          <w:sz w:val="21"/>
          <w:szCs w:val="21"/>
          <w:highlight w:val="none"/>
          <w:lang w:val="en-US" w:eastAsia="zh-CN"/>
        </w:rPr>
        <w:t>实行</w:t>
      </w:r>
      <w:r>
        <w:rPr>
          <w:rFonts w:hint="eastAsia" w:ascii="宋体" w:hAnsi="宋体" w:eastAsia="宋体" w:cs="宋体"/>
          <w:snapToGrid/>
          <w:color w:val="auto"/>
          <w:kern w:val="0"/>
          <w:sz w:val="21"/>
          <w:szCs w:val="21"/>
          <w:highlight w:val="none"/>
        </w:rPr>
        <w:t>电子</w:t>
      </w:r>
      <w:r>
        <w:rPr>
          <w:rFonts w:hint="eastAsia" w:ascii="宋体" w:hAnsi="宋体" w:cs="宋体"/>
          <w:snapToGrid/>
          <w:color w:val="auto"/>
          <w:kern w:val="0"/>
          <w:sz w:val="21"/>
          <w:szCs w:val="21"/>
          <w:highlight w:val="none"/>
          <w:lang w:val="en-US" w:eastAsia="zh-CN"/>
        </w:rPr>
        <w:t>投标</w:t>
      </w:r>
      <w:r>
        <w:rPr>
          <w:rFonts w:hint="eastAsia" w:ascii="宋体" w:hAnsi="宋体" w:eastAsia="宋体" w:cs="宋体"/>
          <w:snapToGrid/>
          <w:color w:val="auto"/>
          <w:kern w:val="0"/>
          <w:sz w:val="21"/>
          <w:szCs w:val="21"/>
          <w:highlight w:val="none"/>
        </w:rPr>
        <w:t>，通过“广西政府采购云”</w:t>
      </w:r>
      <w:r>
        <w:rPr>
          <w:rFonts w:hint="eastAsia" w:ascii="宋体" w:hAnsi="宋体" w:eastAsia="宋体" w:cs="宋体"/>
          <w:color w:val="auto"/>
          <w:sz w:val="21"/>
          <w:szCs w:val="21"/>
          <w:highlight w:val="none"/>
        </w:rPr>
        <w:t>平台</w:t>
      </w:r>
      <w:r>
        <w:rPr>
          <w:rFonts w:hint="eastAsia" w:ascii="宋体" w:hAnsi="宋体" w:eastAsia="宋体" w:cs="宋体"/>
          <w:snapToGrid/>
          <w:color w:val="auto"/>
          <w:kern w:val="0"/>
          <w:sz w:val="21"/>
          <w:szCs w:val="21"/>
          <w:highlight w:val="none"/>
        </w:rPr>
        <w:t>实行在线电子响应，供应商应先安装“</w:t>
      </w:r>
      <w:r>
        <w:rPr>
          <w:rFonts w:hint="eastAsia" w:ascii="宋体" w:hAnsi="宋体" w:eastAsia="宋体" w:cs="宋体"/>
          <w:snapToGrid/>
          <w:color w:val="auto"/>
          <w:kern w:val="0"/>
          <w:sz w:val="21"/>
          <w:szCs w:val="21"/>
          <w:highlight w:val="none"/>
          <w:lang w:val="en-US" w:eastAsia="zh-CN"/>
        </w:rPr>
        <w:t>广西</w:t>
      </w:r>
      <w:r>
        <w:rPr>
          <w:rFonts w:hint="eastAsia" w:ascii="宋体" w:hAnsi="宋体" w:eastAsia="宋体" w:cs="宋体"/>
          <w:snapToGrid/>
          <w:color w:val="auto"/>
          <w:kern w:val="0"/>
          <w:sz w:val="21"/>
          <w:szCs w:val="21"/>
          <w:highlight w:val="none"/>
        </w:rPr>
        <w:t>政采云电子投标客户端”（请自行前往</w:t>
      </w:r>
      <w:r>
        <w:rPr>
          <w:rFonts w:hint="eastAsia" w:ascii="宋体" w:hAnsi="宋体" w:eastAsia="宋体" w:cs="宋体"/>
          <w:snapToGrid/>
          <w:color w:val="auto"/>
          <w:kern w:val="0"/>
          <w:sz w:val="21"/>
          <w:szCs w:val="21"/>
          <w:highlight w:val="none"/>
          <w:lang w:val="en-US" w:eastAsia="zh-CN"/>
        </w:rPr>
        <w:t>广西政府采购网-办事服务-下载专区</w:t>
      </w:r>
      <w:r>
        <w:rPr>
          <w:rFonts w:hint="eastAsia" w:ascii="宋体" w:hAnsi="宋体" w:eastAsia="宋体" w:cs="宋体"/>
          <w:snapToGrid/>
          <w:color w:val="auto"/>
          <w:kern w:val="0"/>
          <w:sz w:val="21"/>
          <w:szCs w:val="21"/>
          <w:highlight w:val="none"/>
        </w:rPr>
        <w:t>进行下载），</w:t>
      </w:r>
      <w:r>
        <w:rPr>
          <w:rFonts w:hint="eastAsia" w:ascii="宋体" w:hAnsi="宋体" w:eastAsia="宋体" w:cs="宋体"/>
          <w:color w:val="auto"/>
          <w:kern w:val="0"/>
          <w:szCs w:val="21"/>
          <w:highlight w:val="none"/>
        </w:rPr>
        <w:t>并按照本项目采购文件和“</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”平台的要求编制、加密后在投标截止时间前通过网络上传至“</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”平台提交电子版响应文件时，请填写参加远程采购活动经办人联系方式</w:t>
      </w:r>
      <w:r>
        <w:rPr>
          <w:rFonts w:hint="eastAsia" w:ascii="宋体" w:hAnsi="宋体" w:eastAsia="宋体" w:cs="宋体"/>
          <w:b/>
          <w:color w:val="auto"/>
          <w:szCs w:val="21"/>
          <w:highlight w:val="none"/>
          <w:lang w:eastAsia="zh-CN"/>
        </w:rPr>
        <w:t>。</w:t>
      </w:r>
    </w:p>
    <w:p w14:paraId="072BD715">
      <w:pPr>
        <w:pageBreakBefore w:val="0"/>
        <w:widowControl/>
        <w:kinsoku/>
        <w:wordWrap/>
        <w:overflowPunct/>
        <w:topLinePunct w:val="0"/>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3E299B95">
      <w:pPr>
        <w:pageBreakBefore w:val="0"/>
        <w:widowControl/>
        <w:kinsoku/>
        <w:wordWrap/>
        <w:overflowPunct/>
        <w:topLinePunct w:val="0"/>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w:t>
      </w:r>
      <w:r>
        <w:rPr>
          <w:rFonts w:hint="eastAsia" w:ascii="宋体" w:hAnsi="宋体" w:eastAsia="宋体" w:cs="宋体"/>
          <w:color w:val="auto"/>
          <w:szCs w:val="21"/>
          <w:highlight w:val="none"/>
          <w:lang w:eastAsia="zh-CN"/>
        </w:rPr>
        <w:t>补</w:t>
      </w:r>
      <w:r>
        <w:rPr>
          <w:rFonts w:hint="eastAsia" w:ascii="宋体" w:hAnsi="宋体" w:eastAsia="宋体" w:cs="宋体"/>
          <w:bCs/>
          <w:color w:val="auto"/>
          <w:szCs w:val="21"/>
          <w:highlight w:val="none"/>
          <w:u w:val="none"/>
        </w:rPr>
        <w:t>充、修改或者撤回响应文件。补充或者修改响应文件的，应当先行撤回原文件，补充、修改后重新</w:t>
      </w:r>
      <w:r>
        <w:rPr>
          <w:rFonts w:hint="eastAsia" w:ascii="宋体" w:hAnsi="宋体" w:eastAsia="宋体" w:cs="宋体"/>
          <w:color w:val="auto"/>
          <w:szCs w:val="21"/>
          <w:highlight w:val="none"/>
        </w:rPr>
        <w:t>使用电子签章，妥善保管CA数字证书并使用有效的CA数字证书参与整个采购活动。</w:t>
      </w:r>
    </w:p>
    <w:p w14:paraId="54FF6AD8">
      <w:pPr>
        <w:pageBreakBefore w:val="0"/>
        <w:kinsoku/>
        <w:wordWrap/>
        <w:overflowPunct/>
        <w:topLinePunct w:val="0"/>
        <w:bidi w:val="0"/>
        <w:adjustRightInd/>
        <w:spacing w:line="360" w:lineRule="auto"/>
        <w:ind w:firstLine="422" w:firstLineChars="200"/>
        <w:textAlignment w:val="auto"/>
        <w:rPr>
          <w:rFonts w:hint="eastAsia" w:ascii="宋体" w:hAnsi="宋体" w:eastAsia="宋体" w:cs="宋体"/>
          <w:b/>
          <w:bCs w:val="0"/>
          <w:color w:val="auto"/>
          <w:szCs w:val="21"/>
          <w:highlight w:val="none"/>
          <w:u w:val="none"/>
        </w:rPr>
      </w:pPr>
      <w:r>
        <w:rPr>
          <w:rFonts w:hint="eastAsia" w:ascii="宋体" w:hAnsi="宋体" w:eastAsia="宋体" w:cs="宋体"/>
          <w:b/>
          <w:bCs w:val="0"/>
          <w:color w:val="auto"/>
          <w:szCs w:val="21"/>
          <w:highlight w:val="none"/>
          <w:u w:val="none"/>
        </w:rPr>
        <w:t>注：供应商应当在首次响应文件提交截止时间前完成电子响应文件的上传、递交，响应文件提交截止时间前可以补上传、递交。响应截止时间前未完成上传、递交的，视为撤回响应文件。响应文件提交截止时间以后上传递交的响应文件的，“</w:t>
      </w:r>
      <w:r>
        <w:rPr>
          <w:rFonts w:hint="eastAsia" w:ascii="宋体" w:hAnsi="宋体" w:eastAsia="宋体" w:cs="宋体"/>
          <w:b/>
          <w:bCs w:val="0"/>
          <w:color w:val="auto"/>
          <w:szCs w:val="21"/>
          <w:highlight w:val="none"/>
          <w:u w:val="none"/>
          <w:lang w:eastAsia="zh-CN"/>
        </w:rPr>
        <w:t>广西政府采购云</w:t>
      </w:r>
      <w:r>
        <w:rPr>
          <w:rFonts w:hint="eastAsia" w:ascii="宋体" w:hAnsi="宋体" w:eastAsia="宋体" w:cs="宋体"/>
          <w:b/>
          <w:bCs w:val="0"/>
          <w:color w:val="auto"/>
          <w:szCs w:val="21"/>
          <w:highlight w:val="none"/>
          <w:u w:val="none"/>
        </w:rPr>
        <w:t>”平台将予以拒收。</w:t>
      </w:r>
    </w:p>
    <w:p w14:paraId="0EAA1B2A">
      <w:pPr>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首次响应文件开启时，</w:t>
      </w:r>
      <w:r>
        <w:rPr>
          <w:rFonts w:hint="eastAsia" w:ascii="宋体" w:hAnsi="宋体" w:cs="宋体"/>
          <w:color w:val="auto"/>
          <w:kern w:val="0"/>
          <w:szCs w:val="21"/>
          <w:highlight w:val="none"/>
          <w:lang w:val="en-US" w:eastAsia="zh-CN"/>
        </w:rPr>
        <w:t>需</w:t>
      </w:r>
      <w:r>
        <w:rPr>
          <w:rFonts w:hint="eastAsia" w:ascii="宋体" w:hAnsi="宋体" w:eastAsia="宋体" w:cs="宋体"/>
          <w:color w:val="auto"/>
          <w:kern w:val="0"/>
          <w:szCs w:val="21"/>
          <w:highlight w:val="none"/>
        </w:rPr>
        <w:t>供应商携带制作响应文件时用来加密的有效数字证书（CA认证）登录“</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”平台电子开标大厅现场按规定时间对加密的响应文件进行解密，否则后果自负。</w:t>
      </w:r>
    </w:p>
    <w:p w14:paraId="6552188C">
      <w:pPr>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”平台远程开标大厅参与本次磋商，否则后果自负</w:t>
      </w:r>
      <w:r>
        <w:rPr>
          <w:rFonts w:hint="eastAsia" w:ascii="宋体" w:hAnsi="宋体" w:eastAsia="宋体" w:cs="宋体"/>
          <w:bCs/>
          <w:color w:val="auto"/>
          <w:szCs w:val="21"/>
          <w:highlight w:val="none"/>
        </w:rPr>
        <w:t>。</w:t>
      </w:r>
    </w:p>
    <w:p w14:paraId="683A6D99">
      <w:pPr>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b/>
          <w:color w:val="auto"/>
          <w:kern w:val="44"/>
          <w:sz w:val="24"/>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 w:val="21"/>
          <w:szCs w:val="21"/>
          <w:highlight w:val="none"/>
          <w:lang w:val="en-US" w:eastAsia="zh-CN"/>
        </w:rPr>
        <w:t>政府采购项目履行全过程须接受财政部门的备案和监督，《政府采购合同书》须在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广西政府采购</w:t>
      </w:r>
      <w:r>
        <w:rPr>
          <w:rFonts w:hint="eastAsia" w:ascii="宋体" w:hAnsi="宋体" w:eastAsia="宋体" w:cs="宋体"/>
          <w:color w:val="auto"/>
          <w:sz w:val="21"/>
          <w:szCs w:val="21"/>
          <w:highlight w:val="none"/>
        </w:rPr>
        <w:t>云”平台（</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以下简称“广西政采云”备案公示（中标（成交）单位须在合同签订之日起2个工作日内将合同原件或扫描件发送到代理公司项目负责人处备案登记）。即项目承接（包）竞标人须在“政采云”完成所有注册事项（如在注册操作过程中遇到问题或者需要技术支持，请致电“广西政采云”客服热线：95763）后与项目采购人签订的《政府采购合同书》方可生效，并由“广西政采云”对项目承接（包）竞标人的诚信情况予以监督。因参与本项目投标的竞标人未按时注册导致的一切后果（包括但不限于《政府采购合同书》被拒签，生效及其备案事项延期引致的项目延期赔付，诚信评价扣分等）由该竞标人承担。</w:t>
      </w:r>
    </w:p>
    <w:p w14:paraId="39661570">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6AA97AA">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1.采购人信息</w:t>
      </w:r>
    </w:p>
    <w:p w14:paraId="45F080C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    称：百色市田阳区水利局 </w:t>
      </w:r>
    </w:p>
    <w:p w14:paraId="6D0B810F">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地    址：</w:t>
      </w:r>
      <w:r>
        <w:rPr>
          <w:rFonts w:hint="eastAsia" w:ascii="宋体" w:hAnsi="宋体" w:cs="宋体"/>
          <w:color w:val="auto"/>
          <w:szCs w:val="21"/>
          <w:lang w:val="en-US" w:eastAsia="zh-CN"/>
        </w:rPr>
        <w:t>百色市田阳区田州镇中山新街67号</w:t>
      </w:r>
    </w:p>
    <w:p w14:paraId="4FF014A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u w:val="none"/>
          <w:lang w:val="en-US"/>
        </w:rPr>
      </w:pPr>
      <w:r>
        <w:rPr>
          <w:rFonts w:hint="eastAsia" w:ascii="宋体" w:hAnsi="宋体" w:eastAsia="宋体" w:cs="宋体"/>
          <w:color w:val="auto"/>
          <w:szCs w:val="21"/>
          <w:lang w:val="en-US" w:eastAsia="zh-CN"/>
        </w:rPr>
        <w:t>联系方式：</w:t>
      </w:r>
      <w:r>
        <w:rPr>
          <w:rFonts w:hint="eastAsia" w:ascii="宋体" w:hAnsi="宋体" w:cs="宋体"/>
          <w:color w:val="auto"/>
          <w:szCs w:val="21"/>
          <w:lang w:val="en-US" w:eastAsia="zh-CN"/>
        </w:rPr>
        <w:t>冷工</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0776-3212643</w:t>
      </w:r>
    </w:p>
    <w:p w14:paraId="74382BC2">
      <w:pPr>
        <w:pStyle w:val="2"/>
        <w:keepNext w:val="0"/>
        <w:keepLines w:val="0"/>
        <w:pageBreakBefore w:val="0"/>
        <w:widowControl w:val="0"/>
        <w:numPr>
          <w:ilvl w:val="0"/>
          <w:numId w:val="0"/>
        </w:numPr>
        <w:kinsoku/>
        <w:wordWrap/>
        <w:overflowPunct/>
        <w:topLinePunct w:val="0"/>
        <w:bidi w:val="0"/>
        <w:adjustRightInd/>
        <w:snapToGrid/>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p>
    <w:p w14:paraId="6865700A">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广西中正融创项目工程技术服务有限公司</w:t>
      </w:r>
    </w:p>
    <w:p w14:paraId="535513B8">
      <w:pPr>
        <w:pStyle w:val="2"/>
        <w:tabs>
          <w:tab w:val="left" w:pos="1426"/>
        </w:tabs>
        <w:autoSpaceDE w:val="0"/>
        <w:autoSpaceDN w:val="0"/>
        <w:spacing w:after="0" w:line="360" w:lineRule="auto"/>
        <w:ind w:firstLine="420" w:firstLineChars="200"/>
        <w:rPr>
          <w:rFonts w:hint="eastAsia" w:ascii="宋体" w:hAnsi="宋体" w:eastAsia="宋体" w:cs="宋体"/>
          <w:color w:val="auto"/>
          <w:spacing w:val="-12"/>
          <w:szCs w:val="21"/>
          <w:highlight w:val="none"/>
        </w:rPr>
      </w:pPr>
      <w:r>
        <w:rPr>
          <w:rFonts w:hint="eastAsia" w:ascii="宋体" w:hAnsi="宋体" w:eastAsia="宋体" w:cs="宋体"/>
          <w:color w:val="auto"/>
          <w:szCs w:val="21"/>
          <w:highlight w:val="none"/>
        </w:rPr>
        <w:t>地址：广西壮族自治区百色市平果市马头镇城北社区教育路5号</w:t>
      </w:r>
      <w:r>
        <w:rPr>
          <w:rFonts w:hint="eastAsia" w:ascii="宋体" w:hAnsi="宋体" w:eastAsia="宋体" w:cs="宋体"/>
          <w:color w:val="auto"/>
          <w:szCs w:val="21"/>
          <w:highlight w:val="none"/>
          <w:lang w:val="zh-CN" w:eastAsia="zh-CN"/>
        </w:rPr>
        <w:t> </w:t>
      </w:r>
    </w:p>
    <w:p w14:paraId="187B4116">
      <w:pPr>
        <w:pStyle w:val="2"/>
        <w:tabs>
          <w:tab w:val="left" w:pos="1426"/>
        </w:tabs>
        <w:autoSpaceDE w:val="0"/>
        <w:autoSpaceDN w:val="0"/>
        <w:spacing w:after="0"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cs="宋体"/>
          <w:color w:val="auto"/>
          <w:sz w:val="21"/>
          <w:highlight w:val="none"/>
          <w:u w:val="none"/>
          <w:lang w:val="en-US" w:eastAsia="zh-CN"/>
        </w:rPr>
        <w:t>黄秋萍</w:t>
      </w:r>
      <w:r>
        <w:rPr>
          <w:rFonts w:hint="eastAsia" w:ascii="宋体" w:hAnsi="宋体" w:eastAsia="宋体" w:cs="宋体"/>
          <w:color w:val="auto"/>
          <w:sz w:val="21"/>
          <w:highlight w:val="none"/>
          <w:u w:val="none"/>
          <w:lang w:val="en-US" w:eastAsia="zh-CN"/>
        </w:rPr>
        <w:t xml:space="preserve"> </w:t>
      </w:r>
      <w:r>
        <w:rPr>
          <w:rFonts w:hint="eastAsia" w:ascii="宋体" w:hAnsi="宋体" w:eastAsia="宋体" w:cs="宋体"/>
          <w:color w:val="auto"/>
          <w:szCs w:val="21"/>
          <w:highlight w:val="none"/>
          <w:lang w:val="en-US" w:eastAsia="zh-CN"/>
        </w:rPr>
        <w:t xml:space="preserve"> 0776-5668633</w:t>
      </w:r>
      <w:r>
        <w:rPr>
          <w:rFonts w:hint="eastAsia" w:ascii="宋体" w:hAnsi="宋体" w:cs="宋体"/>
          <w:color w:val="auto"/>
          <w:szCs w:val="21"/>
          <w:highlight w:val="none"/>
          <w:lang w:val="en-US" w:eastAsia="zh-CN"/>
        </w:rPr>
        <w:t>/19885180075</w:t>
      </w:r>
    </w:p>
    <w:p w14:paraId="6B1655A7">
      <w:pPr>
        <w:pStyle w:val="2"/>
        <w:keepNext w:val="0"/>
        <w:keepLines w:val="0"/>
        <w:pageBreakBefore w:val="0"/>
        <w:widowControl w:val="0"/>
        <w:numPr>
          <w:ilvl w:val="0"/>
          <w:numId w:val="0"/>
        </w:numPr>
        <w:kinsoku/>
        <w:wordWrap/>
        <w:overflowPunct/>
        <w:topLinePunct w:val="0"/>
        <w:bidi w:val="0"/>
        <w:adjustRightInd/>
        <w:snapToGrid/>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3.项目联系方式 </w:t>
      </w:r>
    </w:p>
    <w:p w14:paraId="7C6D8179">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highlight w:val="none"/>
          <w:u w:val="none"/>
          <w:lang w:val="en-US" w:eastAsia="zh-CN"/>
        </w:rPr>
        <w:t>黄秋萍</w:t>
      </w:r>
    </w:p>
    <w:p w14:paraId="1D9A54BE">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　　 话：0776-5668633</w:t>
      </w:r>
    </w:p>
    <w:p w14:paraId="4066CA10">
      <w:pPr>
        <w:spacing w:line="360" w:lineRule="auto"/>
        <w:rPr>
          <w:rFonts w:hint="eastAsia" w:ascii="宋体" w:hAnsi="宋体" w:eastAsia="宋体" w:cs="宋体"/>
          <w:color w:val="auto"/>
          <w:highlight w:val="none"/>
        </w:rPr>
      </w:pPr>
    </w:p>
    <w:p w14:paraId="6772386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广西中正融创项目工程技术服务有限公司</w:t>
      </w:r>
    </w:p>
    <w:p w14:paraId="2B87B82C">
      <w:pPr>
        <w:pStyle w:val="55"/>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日</w:t>
      </w:r>
    </w:p>
    <w:p w14:paraId="7EBA5F78">
      <w:pPr>
        <w:spacing w:line="560" w:lineRule="exact"/>
        <w:ind w:firstLine="800" w:firstLineChars="250"/>
        <w:rPr>
          <w:rFonts w:hint="eastAsia" w:ascii="宋体" w:hAnsi="宋体" w:eastAsia="宋体" w:cs="宋体"/>
          <w:color w:val="auto"/>
          <w:highlight w:val="none"/>
        </w:rPr>
        <w:sectPr>
          <w:headerReference r:id="rId6" w:type="default"/>
          <w:footerReference r:id="rId7" w:type="default"/>
          <w:pgSz w:w="11906" w:h="16838"/>
          <w:pgMar w:top="1440" w:right="1080" w:bottom="1440" w:left="1080" w:header="720" w:footer="720" w:gutter="0"/>
          <w:cols w:space="720" w:num="1"/>
          <w:docGrid w:type="lines" w:linePitch="331" w:charSpace="0"/>
        </w:sectPr>
      </w:pPr>
      <w:r>
        <w:rPr>
          <w:rFonts w:hint="eastAsia" w:ascii="宋体" w:hAnsi="宋体" w:eastAsia="宋体" w:cs="宋体"/>
          <w:color w:val="auto"/>
          <w:sz w:val="32"/>
          <w:szCs w:val="32"/>
          <w:highlight w:val="none"/>
        </w:rPr>
        <w:br w:type="page"/>
      </w:r>
    </w:p>
    <w:p w14:paraId="2E874B96">
      <w:pPr>
        <w:pStyle w:val="3"/>
        <w:numPr>
          <w:ilvl w:val="0"/>
          <w:numId w:val="1"/>
        </w:numPr>
        <w:spacing w:line="400" w:lineRule="exact"/>
        <w:jc w:val="center"/>
        <w:rPr>
          <w:rFonts w:hint="eastAsia" w:ascii="宋体" w:hAnsi="宋体" w:eastAsia="宋体" w:cs="宋体"/>
          <w:color w:val="auto"/>
          <w:sz w:val="44"/>
          <w:szCs w:val="44"/>
          <w:highlight w:val="none"/>
        </w:rPr>
      </w:pPr>
      <w:bookmarkStart w:id="14" w:name="_Toc80886927"/>
      <w:r>
        <w:rPr>
          <w:rFonts w:hint="eastAsia" w:ascii="宋体" w:hAnsi="宋体" w:eastAsia="宋体" w:cs="宋体"/>
          <w:color w:val="auto"/>
          <w:sz w:val="44"/>
          <w:szCs w:val="44"/>
          <w:highlight w:val="none"/>
        </w:rPr>
        <w:t>供应商须知</w:t>
      </w:r>
      <w:bookmarkEnd w:id="14"/>
    </w:p>
    <w:p w14:paraId="1934CDAE">
      <w:pPr>
        <w:pStyle w:val="4"/>
        <w:spacing w:line="240" w:lineRule="auto"/>
        <w:jc w:val="center"/>
        <w:rPr>
          <w:rFonts w:hint="eastAsia" w:ascii="宋体" w:hAnsi="宋体" w:eastAsia="宋体" w:cs="宋体"/>
          <w:b w:val="0"/>
          <w:color w:val="auto"/>
          <w:sz w:val="32"/>
          <w:szCs w:val="32"/>
          <w:highlight w:val="none"/>
        </w:rPr>
      </w:pPr>
      <w:bookmarkStart w:id="15" w:name="_Toc8088692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15"/>
    </w:p>
    <w:tbl>
      <w:tblPr>
        <w:tblStyle w:val="36"/>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41"/>
        <w:gridCol w:w="6898"/>
      </w:tblGrid>
      <w:tr w14:paraId="21C5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7812F63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41" w:type="dxa"/>
            <w:noWrap w:val="0"/>
            <w:vAlign w:val="center"/>
          </w:tcPr>
          <w:p w14:paraId="52AA430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98" w:type="dxa"/>
            <w:noWrap w:val="0"/>
            <w:vAlign w:val="top"/>
          </w:tcPr>
          <w:p w14:paraId="3AEDD9D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188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4B18E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41" w:type="dxa"/>
            <w:noWrap w:val="0"/>
            <w:vAlign w:val="center"/>
          </w:tcPr>
          <w:p w14:paraId="6AFCE2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98" w:type="dxa"/>
            <w:noWrap w:val="0"/>
            <w:vAlign w:val="top"/>
          </w:tcPr>
          <w:p w14:paraId="0F57F2F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供应商资格条件要求详见竞争性磋商公告</w:t>
            </w:r>
            <w:r>
              <w:rPr>
                <w:rFonts w:hint="eastAsia" w:ascii="宋体" w:hAnsi="宋体" w:cs="宋体"/>
                <w:color w:val="auto"/>
                <w:szCs w:val="21"/>
                <w:highlight w:val="none"/>
                <w:lang w:eastAsia="zh-CN"/>
              </w:rPr>
              <w:t>。</w:t>
            </w:r>
          </w:p>
        </w:tc>
      </w:tr>
      <w:tr w14:paraId="1C1C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C9362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41" w:type="dxa"/>
            <w:noWrap w:val="0"/>
            <w:vAlign w:val="center"/>
          </w:tcPr>
          <w:p w14:paraId="0C0314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98" w:type="dxa"/>
            <w:noWrap w:val="0"/>
            <w:vAlign w:val="center"/>
          </w:tcPr>
          <w:p w14:paraId="682419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tc>
      </w:tr>
      <w:tr w14:paraId="2ACD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FC93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41" w:type="dxa"/>
            <w:noWrap w:val="0"/>
            <w:vAlign w:val="center"/>
          </w:tcPr>
          <w:p w14:paraId="2B7A5F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98" w:type="dxa"/>
            <w:noWrap w:val="0"/>
            <w:vAlign w:val="center"/>
          </w:tcPr>
          <w:p w14:paraId="2E4E5C4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无</w:t>
            </w:r>
            <w:r>
              <w:rPr>
                <w:rFonts w:hint="eastAsia" w:ascii="宋体" w:hAnsi="宋体" w:cs="宋体"/>
                <w:color w:val="auto"/>
                <w:szCs w:val="21"/>
                <w:highlight w:val="none"/>
                <w:lang w:eastAsia="zh-CN"/>
              </w:rPr>
              <w:t>。</w:t>
            </w:r>
          </w:p>
        </w:tc>
      </w:tr>
      <w:tr w14:paraId="5C36A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2D729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41" w:type="dxa"/>
            <w:noWrap w:val="0"/>
            <w:vAlign w:val="center"/>
          </w:tcPr>
          <w:p w14:paraId="420FD1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98" w:type="dxa"/>
            <w:noWrap w:val="0"/>
            <w:vAlign w:val="center"/>
          </w:tcPr>
          <w:p w14:paraId="7CE6180C">
            <w:pPr>
              <w:pStyle w:val="14"/>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不允许分包</w:t>
            </w:r>
            <w:r>
              <w:rPr>
                <w:rFonts w:hint="eastAsia" w:ascii="宋体" w:hAnsi="宋体" w:cs="宋体"/>
                <w:color w:val="auto"/>
                <w:szCs w:val="21"/>
                <w:highlight w:val="none"/>
                <w:lang w:val="en-US" w:eastAsia="zh-CN"/>
              </w:rPr>
              <w:t>。</w:t>
            </w:r>
          </w:p>
        </w:tc>
      </w:tr>
      <w:tr w14:paraId="3C44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4" w:hRule="atLeast"/>
          <w:jc w:val="center"/>
        </w:trPr>
        <w:tc>
          <w:tcPr>
            <w:tcW w:w="725" w:type="dxa"/>
            <w:noWrap w:val="0"/>
            <w:vAlign w:val="center"/>
          </w:tcPr>
          <w:p w14:paraId="015AAE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41" w:type="dxa"/>
            <w:noWrap w:val="0"/>
            <w:vAlign w:val="center"/>
          </w:tcPr>
          <w:p w14:paraId="1D93C65C">
            <w:pPr>
              <w:snapToGrid w:val="0"/>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资格证明文件组成</w:t>
            </w:r>
          </w:p>
          <w:p w14:paraId="4498033B">
            <w:pPr>
              <w:spacing w:line="360" w:lineRule="auto"/>
              <w:jc w:val="center"/>
              <w:rPr>
                <w:rFonts w:hint="eastAsia" w:ascii="宋体" w:hAnsi="宋体" w:eastAsia="宋体" w:cs="宋体"/>
                <w:b w:val="0"/>
                <w:bCs/>
                <w:color w:val="auto"/>
                <w:szCs w:val="21"/>
                <w:highlight w:val="none"/>
              </w:rPr>
            </w:pPr>
          </w:p>
        </w:tc>
        <w:tc>
          <w:tcPr>
            <w:tcW w:w="6898" w:type="dxa"/>
            <w:noWrap w:val="0"/>
            <w:vAlign w:val="center"/>
          </w:tcPr>
          <w:p w14:paraId="0F63E7F9">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1.供应商为法人</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其分支机构或者其他组织或者其他组织的提供其营业执照等证明文件（如营业执照或者事业单位法人证书或者执业许可证等），供应商为自然人的提供其身份证复印件；</w:t>
            </w:r>
            <w:r>
              <w:rPr>
                <w:rFonts w:hint="eastAsia" w:ascii="宋体" w:hAnsi="宋体" w:eastAsia="宋体" w:cs="宋体"/>
                <w:b/>
                <w:bCs/>
                <w:color w:val="auto"/>
                <w:szCs w:val="21"/>
                <w:highlight w:val="none"/>
              </w:rPr>
              <w:t>（未提供《百色市政府采购供应</w:t>
            </w:r>
          </w:p>
          <w:p w14:paraId="6E3F7F9D">
            <w:pPr>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商信用承诺函》时必须提供，否则响应文件作无效理）</w:t>
            </w:r>
          </w:p>
          <w:p w14:paraId="0AB6229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cs="宋体"/>
                <w:color w:val="auto"/>
                <w:szCs w:val="21"/>
                <w:highlight w:val="none"/>
                <w:lang w:val="en-US" w:eastAsia="zh-CN"/>
              </w:rPr>
              <w:t>[响应文件提交截止时间</w:t>
            </w:r>
            <w:r>
              <w:rPr>
                <w:rFonts w:hint="eastAsia" w:ascii="宋体" w:hAnsi="宋体" w:eastAsia="宋体" w:cs="宋体"/>
                <w:color w:val="auto"/>
                <w:szCs w:val="21"/>
                <w:highlight w:val="none"/>
              </w:rPr>
              <w:t>前半年内任意连续3个月的依法缴纳税收的凭据复印件；依法免税的供应商，必须提供相应文件证明其依法免税。从取得营业执照时间起到响应文件提交截止时间为止不足要求月数的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只需提供从取得营业执照</w:t>
            </w:r>
            <w:r>
              <w:rPr>
                <w:rFonts w:hint="eastAsia" w:ascii="宋体" w:hAnsi="宋体" w:cs="宋体"/>
                <w:color w:val="auto"/>
                <w:szCs w:val="21"/>
                <w:highlight w:val="none"/>
                <w:lang w:val="en-US" w:eastAsia="zh-CN"/>
              </w:rPr>
              <w:t>起</w:t>
            </w:r>
            <w:r>
              <w:rPr>
                <w:rFonts w:hint="eastAsia" w:ascii="宋体" w:hAnsi="宋体" w:eastAsia="宋体" w:cs="宋体"/>
                <w:color w:val="auto"/>
                <w:szCs w:val="21"/>
                <w:highlight w:val="none"/>
              </w:rPr>
              <w:t>的依法缴纳税收相应证明文件</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（未提供《百色市政府采购供应商信用承诺函》时必须提供，否则响应文件作无效理）</w:t>
            </w:r>
          </w:p>
          <w:p w14:paraId="1701024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cs="宋体"/>
                <w:color w:val="auto"/>
                <w:szCs w:val="21"/>
                <w:highlight w:val="none"/>
                <w:lang w:val="en-US" w:eastAsia="zh-CN"/>
              </w:rPr>
              <w:t>响应文件提交截止时间</w:t>
            </w:r>
            <w:r>
              <w:rPr>
                <w:rFonts w:hint="eastAsia" w:ascii="宋体" w:hAnsi="宋体" w:eastAsia="宋体" w:cs="宋体"/>
                <w:color w:val="auto"/>
                <w:szCs w:val="21"/>
                <w:highlight w:val="none"/>
              </w:rPr>
              <w:t>前半年内任意</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（未提供《百色市政府采购供应商信用承诺函》时必须提供，否则响应文件作无效理）</w:t>
            </w:r>
          </w:p>
          <w:p w14:paraId="61D06082">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b w:val="0"/>
                <w:bCs w:val="0"/>
                <w:color w:val="auto"/>
                <w:szCs w:val="21"/>
                <w:highlight w:val="none"/>
              </w:rPr>
              <w:t xml:space="preserve"> [</w:t>
            </w:r>
            <w:r>
              <w:rPr>
                <w:rFonts w:hint="eastAsia" w:ascii="宋体" w:hAnsi="宋体" w:eastAsia="宋体" w:cs="宋体"/>
                <w:b w:val="0"/>
                <w:bCs w:val="0"/>
                <w:color w:val="auto"/>
                <w:szCs w:val="21"/>
                <w:highlight w:val="none"/>
                <w:u w:val="none"/>
                <w:lang w:val="en-US" w:eastAsia="zh-CN"/>
              </w:rPr>
              <w:t>2024</w:t>
            </w:r>
            <w:r>
              <w:rPr>
                <w:rFonts w:hint="eastAsia" w:ascii="宋体" w:hAnsi="宋体" w:eastAsia="宋体" w:cs="宋体"/>
                <w:b w:val="0"/>
                <w:bCs w:val="0"/>
                <w:color w:val="auto"/>
                <w:szCs w:val="21"/>
                <w:highlight w:val="none"/>
              </w:rPr>
              <w:t>年财务状况报告复印件，应提供财务报表（资产负债表、利润表、现金流量表）或第三方审计机构评估的财务报告（执行《企业会计准则》的，提供资产负债表、利润表、现金流量表、所有者权益变动表及其附注（以下称“四表一注”）；</w:t>
            </w:r>
            <w:r>
              <w:rPr>
                <w:rFonts w:hint="eastAsia" w:ascii="宋体" w:hAnsi="宋体" w:eastAsia="宋体" w:cs="宋体"/>
                <w:color w:val="auto"/>
                <w:szCs w:val="21"/>
                <w:highlight w:val="none"/>
              </w:rPr>
              <w:t>执行《小企业会计准则》的，提供资产负债表、利润表、现金流量表及其附注（以下称“三表一注”）)或者银行出具的资信证明]；从取得营业执照时间起到响应文件提交截止时间为止不足</w:t>
            </w:r>
            <w:r>
              <w:rPr>
                <w:rFonts w:hint="eastAsia" w:ascii="宋体" w:hAnsi="宋体" w:eastAsia="宋体" w:cs="宋体"/>
                <w:color w:val="auto"/>
                <w:szCs w:val="21"/>
                <w:highlight w:val="none"/>
                <w:lang w:eastAsia="zh-CN"/>
              </w:rPr>
              <w:t>一年</w:t>
            </w:r>
            <w:r>
              <w:rPr>
                <w:rFonts w:hint="eastAsia" w:ascii="宋体" w:hAnsi="宋体" w:eastAsia="宋体" w:cs="宋体"/>
                <w:color w:val="auto"/>
                <w:szCs w:val="21"/>
                <w:highlight w:val="none"/>
              </w:rPr>
              <w:t>的只需提供从取得营业执照</w:t>
            </w:r>
            <w:r>
              <w:rPr>
                <w:rFonts w:hint="eastAsia" w:ascii="宋体" w:hAnsi="宋体" w:eastAsia="宋体" w:cs="宋体"/>
                <w:color w:val="auto"/>
                <w:sz w:val="21"/>
                <w:szCs w:val="21"/>
                <w:highlight w:val="none"/>
              </w:rPr>
              <w:t>次月起到</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Cs w:val="21"/>
                <w:highlight w:val="none"/>
              </w:rPr>
              <w:t>文件递交截止前一个月</w:t>
            </w:r>
            <w:r>
              <w:rPr>
                <w:rFonts w:hint="eastAsia" w:ascii="宋体" w:hAnsi="宋体" w:eastAsia="宋体" w:cs="宋体"/>
                <w:color w:val="auto"/>
                <w:szCs w:val="21"/>
                <w:highlight w:val="none"/>
                <w:lang w:eastAsia="zh-CN"/>
              </w:rPr>
              <w:t>的财务报表。</w:t>
            </w:r>
            <w:r>
              <w:rPr>
                <w:rFonts w:hint="eastAsia" w:ascii="宋体" w:hAnsi="宋体" w:eastAsia="宋体" w:cs="宋体"/>
                <w:b/>
                <w:bCs/>
                <w:color w:val="auto"/>
                <w:szCs w:val="21"/>
                <w:highlight w:val="none"/>
              </w:rPr>
              <w:t>（未提供《百色市政府采购供应商信用承诺函》时必须提供，否则响应文件作无效理）</w:t>
            </w:r>
          </w:p>
          <w:p w14:paraId="32B73A7A">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5.资格声明函（格式后附）；</w:t>
            </w:r>
            <w:r>
              <w:rPr>
                <w:rFonts w:hint="eastAsia" w:ascii="宋体" w:hAnsi="宋体" w:eastAsia="宋体" w:cs="宋体"/>
                <w:b/>
                <w:bCs/>
                <w:color w:val="auto"/>
                <w:szCs w:val="21"/>
                <w:highlight w:val="none"/>
              </w:rPr>
              <w:t>（未提供《百色市政府采购供应商信用承诺函》时必须提供，否则响应文件作无效理）</w:t>
            </w:r>
          </w:p>
          <w:p w14:paraId="0F6AB6A1">
            <w:pPr>
              <w:pStyle w:val="2"/>
              <w:spacing w:line="36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6.百色市政府采购供应商信用承诺函；</w:t>
            </w:r>
            <w:r>
              <w:rPr>
                <w:rFonts w:hint="eastAsia" w:ascii="宋体" w:hAnsi="宋体" w:eastAsia="宋体" w:cs="宋体"/>
                <w:b/>
                <w:bCs/>
                <w:color w:val="auto"/>
                <w:kern w:val="2"/>
                <w:sz w:val="21"/>
                <w:szCs w:val="21"/>
                <w:highlight w:val="none"/>
                <w:lang w:val="en-US" w:eastAsia="zh-CN" w:bidi="ar-SA"/>
              </w:rPr>
              <w:t>(格式后附，由供应商自行选择是否提供。如提供，则资格证明文件(1）至（5）项则无须再提供）</w:t>
            </w:r>
          </w:p>
          <w:p w14:paraId="3F5A9118">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E5CA2C7">
            <w:pPr>
              <w:pStyle w:val="11"/>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60D25653">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cs="宋体"/>
                <w:color w:val="auto"/>
                <w:szCs w:val="21"/>
                <w:highlight w:val="none"/>
                <w:lang w:val="en-US" w:eastAsia="zh-CN"/>
              </w:rPr>
              <w:t>符合</w:t>
            </w:r>
            <w:r>
              <w:rPr>
                <w:rFonts w:hint="eastAsia" w:ascii="宋体" w:hAnsi="宋体" w:eastAsia="宋体" w:cs="宋体"/>
                <w:color w:val="auto"/>
                <w:szCs w:val="21"/>
                <w:highlight w:val="none"/>
                <w:lang w:val="en-US" w:eastAsia="zh-CN"/>
              </w:rPr>
              <w:t>本项目特</w:t>
            </w:r>
            <w:r>
              <w:rPr>
                <w:rFonts w:hint="eastAsia" w:ascii="宋体" w:hAnsi="宋体" w:cs="宋体"/>
                <w:color w:val="auto"/>
                <w:szCs w:val="21"/>
                <w:highlight w:val="none"/>
                <w:lang w:val="en-US" w:eastAsia="zh-CN"/>
              </w:rPr>
              <w:t>定</w:t>
            </w:r>
            <w:r>
              <w:rPr>
                <w:rFonts w:hint="eastAsia" w:ascii="宋体" w:hAnsi="宋体" w:eastAsia="宋体" w:cs="宋体"/>
                <w:color w:val="auto"/>
                <w:szCs w:val="21"/>
                <w:highlight w:val="none"/>
                <w:lang w:val="en-US" w:eastAsia="zh-CN"/>
              </w:rPr>
              <w:t>资格要求须提供的材料：无</w:t>
            </w:r>
          </w:p>
          <w:p w14:paraId="01477BA3">
            <w:pPr>
              <w:snapToGrid w:val="0"/>
              <w:spacing w:line="360" w:lineRule="auto"/>
              <w:jc w:val="left"/>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.中小型企业声明函（格式后附）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请按要求上传中小企业声明函或残疾人福利性单位声明函或竞标人属于监狱企业的证明材料，格式以采购文件要求为准</w:t>
            </w:r>
            <w:r>
              <w:rPr>
                <w:rFonts w:hint="eastAsia" w:ascii="宋体" w:hAnsi="宋体" w:eastAsia="宋体" w:cs="宋体"/>
                <w:color w:val="auto"/>
                <w:szCs w:val="21"/>
                <w:highlight w:val="none"/>
              </w:rPr>
              <w:t>；</w:t>
            </w:r>
            <w:r>
              <w:rPr>
                <w:rFonts w:hint="eastAsia" w:ascii="宋体" w:hAnsi="宋体" w:eastAsia="宋体" w:cs="宋体"/>
                <w:b/>
                <w:bCs/>
                <w:color w:val="auto"/>
                <w:szCs w:val="21"/>
              </w:rPr>
              <w:t>（如有请提供）</w:t>
            </w:r>
          </w:p>
          <w:p w14:paraId="5FBEF472">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w:t>
            </w:r>
          </w:p>
          <w:p w14:paraId="76B7BB8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851E1AC">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val="en-US" w:eastAsia="zh-CN"/>
              </w:rPr>
              <w:t>以上标明“必须提供 ”的材料属于复印件的，必须加盖供应商电子公章，否则响应文件按无效响应处理。</w:t>
            </w:r>
          </w:p>
          <w:p w14:paraId="5E02FDF9">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lang w:val="en-US" w:eastAsia="zh-CN"/>
              </w:rPr>
              <w:t>供应商对其信用承诺内容的真实性、合法性、有效性负责。经调查核实为虚假承诺的，属于“提供虚假材料谋取中标、成交”的违法行为，依照《中华人民共和国政府采购法》等法律法规追究相应责任。）</w:t>
            </w:r>
          </w:p>
        </w:tc>
      </w:tr>
      <w:tr w14:paraId="395F0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24FAEB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41" w:type="dxa"/>
            <w:noWrap w:val="0"/>
            <w:vAlign w:val="center"/>
          </w:tcPr>
          <w:p w14:paraId="72C2994E">
            <w:pP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商务文件组成</w:t>
            </w:r>
          </w:p>
        </w:tc>
        <w:tc>
          <w:tcPr>
            <w:tcW w:w="6898" w:type="dxa"/>
            <w:noWrap w:val="0"/>
            <w:vAlign w:val="center"/>
          </w:tcPr>
          <w:p w14:paraId="051071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13E90D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身份证明书及</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F6BBDF2">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66F185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2B65EC3">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.竞标人情况介绍；（</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b/>
                <w:bCs/>
                <w:color w:val="auto"/>
                <w:szCs w:val="21"/>
                <w:highlight w:val="none"/>
              </w:rPr>
              <w:t>）</w:t>
            </w:r>
          </w:p>
          <w:p w14:paraId="0613971B">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24CB84F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6EC85A68">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法定代表人</w:t>
            </w:r>
            <w:r>
              <w:rPr>
                <w:rFonts w:hint="eastAsia" w:ascii="宋体" w:hAnsi="宋体" w:eastAsia="宋体" w:cs="宋体"/>
                <w:b/>
                <w:color w:val="auto"/>
                <w:szCs w:val="21"/>
                <w:highlight w:val="none"/>
              </w:rPr>
              <w:t>授权委托书必须由</w:t>
            </w:r>
            <w:r>
              <w:rPr>
                <w:rFonts w:hint="eastAsia" w:ascii="宋体" w:hAnsi="宋体" w:eastAsia="宋体" w:cs="宋体"/>
                <w:b/>
                <w:color w:val="auto"/>
                <w:szCs w:val="21"/>
                <w:highlight w:val="none"/>
                <w:lang w:eastAsia="zh-CN"/>
              </w:rPr>
              <w:t>法定代表人</w:t>
            </w:r>
            <w:r>
              <w:rPr>
                <w:rFonts w:hint="eastAsia" w:ascii="宋体" w:hAnsi="宋体" w:eastAsia="宋体" w:cs="宋体"/>
                <w:b/>
                <w:color w:val="auto"/>
                <w:szCs w:val="21"/>
                <w:highlight w:val="none"/>
              </w:rPr>
              <w:t>及委托代理人签字，并加盖供应商</w:t>
            </w:r>
            <w:r>
              <w:rPr>
                <w:rFonts w:hint="eastAsia" w:ascii="宋体" w:hAnsi="宋体" w:eastAsia="宋体" w:cs="宋体"/>
                <w:b/>
                <w:color w:val="auto"/>
                <w:szCs w:val="21"/>
                <w:highlight w:val="none"/>
                <w:lang w:eastAsia="zh-CN"/>
              </w:rPr>
              <w:t>电子</w:t>
            </w:r>
            <w:r>
              <w:rPr>
                <w:rFonts w:hint="eastAsia" w:ascii="宋体" w:hAnsi="宋体" w:eastAsia="宋体" w:cs="宋体"/>
                <w:b/>
                <w:color w:val="auto"/>
                <w:szCs w:val="21"/>
                <w:highlight w:val="none"/>
              </w:rPr>
              <w:t>公章，否则响应文件按无效响应处理。</w:t>
            </w:r>
          </w:p>
          <w:p w14:paraId="16EF9E8C">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4D693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2FE1A497">
            <w:pPr>
              <w:spacing w:line="360" w:lineRule="auto"/>
              <w:jc w:val="center"/>
              <w:rPr>
                <w:rFonts w:hint="eastAsia" w:ascii="宋体" w:hAnsi="宋体" w:eastAsia="宋体" w:cs="宋体"/>
                <w:color w:val="auto"/>
                <w:szCs w:val="21"/>
                <w:highlight w:val="none"/>
              </w:rPr>
            </w:pPr>
          </w:p>
        </w:tc>
        <w:tc>
          <w:tcPr>
            <w:tcW w:w="2741" w:type="dxa"/>
            <w:noWrap w:val="0"/>
            <w:vAlign w:val="center"/>
          </w:tcPr>
          <w:p w14:paraId="77BE733D">
            <w:pP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技术文件组成</w:t>
            </w:r>
          </w:p>
        </w:tc>
        <w:tc>
          <w:tcPr>
            <w:tcW w:w="6898" w:type="dxa"/>
            <w:noWrap w:val="0"/>
            <w:vAlign w:val="center"/>
          </w:tcPr>
          <w:p w14:paraId="3DC843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9CEFD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D3385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.服务承诺；（</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BEDD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4.项目实施人员一览表；（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 xml:space="preserve">） </w:t>
            </w:r>
          </w:p>
          <w:p w14:paraId="118F00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5.对应采购需求的服务需求、商务条款提供的其他文件资料；</w:t>
            </w:r>
          </w:p>
          <w:p w14:paraId="11411F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62A3034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1A2781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6B3F1BE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2.以上材料未附格式的，由供应商自行拟定。</w:t>
            </w:r>
          </w:p>
        </w:tc>
      </w:tr>
      <w:tr w14:paraId="0B11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8DCDC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41" w:type="dxa"/>
            <w:noWrap w:val="0"/>
            <w:vAlign w:val="center"/>
          </w:tcPr>
          <w:p w14:paraId="5F3BB039">
            <w:pP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报价文件组成</w:t>
            </w:r>
          </w:p>
        </w:tc>
        <w:tc>
          <w:tcPr>
            <w:tcW w:w="6898" w:type="dxa"/>
            <w:noWrap w:val="0"/>
            <w:vAlign w:val="center"/>
          </w:tcPr>
          <w:p w14:paraId="42BFC412">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0D3C4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1E151C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217F6C73">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1.上述材料必须在规定盖章处加盖供应商公章，否则</w:t>
            </w:r>
            <w:r>
              <w:rPr>
                <w:rFonts w:hint="eastAsia" w:ascii="宋体" w:hAnsi="宋体" w:eastAsia="宋体" w:cs="宋体"/>
                <w:b/>
                <w:color w:val="auto"/>
                <w:szCs w:val="21"/>
                <w:highlight w:val="none"/>
              </w:rPr>
              <w:t>作无效响应处理</w:t>
            </w:r>
            <w:r>
              <w:rPr>
                <w:rFonts w:hint="eastAsia" w:ascii="宋体" w:hAnsi="宋体" w:eastAsia="宋体" w:cs="宋体"/>
                <w:b/>
                <w:bCs/>
                <w:color w:val="auto"/>
                <w:szCs w:val="21"/>
                <w:highlight w:val="none"/>
              </w:rPr>
              <w:t>。</w:t>
            </w:r>
          </w:p>
        </w:tc>
      </w:tr>
      <w:tr w14:paraId="790D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2E66F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41" w:type="dxa"/>
            <w:noWrap w:val="0"/>
            <w:vAlign w:val="center"/>
          </w:tcPr>
          <w:p w14:paraId="2465EB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98" w:type="dxa"/>
            <w:noWrap w:val="0"/>
            <w:vAlign w:val="center"/>
          </w:tcPr>
          <w:p w14:paraId="25FACD5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70CE29E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”平台投送。（操作方式见公告附件“电子响应文件制作与投送教程”）</w:t>
            </w:r>
          </w:p>
        </w:tc>
      </w:tr>
      <w:tr w14:paraId="52A0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20D60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41" w:type="dxa"/>
            <w:noWrap w:val="0"/>
            <w:vAlign w:val="center"/>
          </w:tcPr>
          <w:p w14:paraId="458FE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98" w:type="dxa"/>
            <w:noWrap w:val="0"/>
            <w:vAlign w:val="center"/>
          </w:tcPr>
          <w:p w14:paraId="10F542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15951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38D6B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41" w:type="dxa"/>
            <w:noWrap w:val="0"/>
            <w:vAlign w:val="center"/>
          </w:tcPr>
          <w:p w14:paraId="0EA648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98" w:type="dxa"/>
            <w:noWrap w:val="0"/>
            <w:vAlign w:val="center"/>
          </w:tcPr>
          <w:p w14:paraId="20E44139">
            <w:pPr>
              <w:pStyle w:val="13"/>
              <w:widowControl w:val="0"/>
              <w:tabs>
                <w:tab w:val="clear" w:pos="454"/>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0</w:t>
            </w:r>
            <w:r>
              <w:rPr>
                <w:rFonts w:hint="eastAsia" w:ascii="宋体" w:hAnsi="宋体" w:eastAsia="宋体" w:cs="宋体"/>
                <w:color w:val="auto"/>
                <w:kern w:val="2"/>
                <w:sz w:val="21"/>
                <w:szCs w:val="21"/>
                <w:highlight w:val="none"/>
              </w:rPr>
              <w:t>日。</w:t>
            </w:r>
          </w:p>
        </w:tc>
      </w:tr>
      <w:tr w14:paraId="0C31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448B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41" w:type="dxa"/>
            <w:noWrap w:val="0"/>
            <w:vAlign w:val="center"/>
          </w:tcPr>
          <w:p w14:paraId="5B0C98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98" w:type="dxa"/>
            <w:noWrap w:val="0"/>
            <w:vAlign w:val="center"/>
          </w:tcPr>
          <w:p w14:paraId="7BE0CC1B">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根据百政办电〔2021〕34号《百色市2021年持续优化营商环境行</w:t>
            </w:r>
          </w:p>
          <w:p w14:paraId="21AF0C03">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动方案》精神，本项目无需缴纳磋商保证金。</w:t>
            </w:r>
          </w:p>
        </w:tc>
      </w:tr>
      <w:tr w14:paraId="32CB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7091AE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41" w:type="dxa"/>
            <w:noWrap w:val="0"/>
            <w:vAlign w:val="center"/>
          </w:tcPr>
          <w:p w14:paraId="0D182A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98" w:type="dxa"/>
            <w:noWrap w:val="0"/>
            <w:vAlign w:val="center"/>
          </w:tcPr>
          <w:p w14:paraId="4AF60D4A">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0F5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1D85B8E4">
            <w:pPr>
              <w:spacing w:line="360" w:lineRule="auto"/>
              <w:jc w:val="center"/>
              <w:rPr>
                <w:rFonts w:hint="eastAsia" w:ascii="宋体" w:hAnsi="宋体" w:eastAsia="宋体" w:cs="宋体"/>
                <w:color w:val="auto"/>
                <w:szCs w:val="21"/>
                <w:highlight w:val="none"/>
              </w:rPr>
            </w:pPr>
          </w:p>
        </w:tc>
        <w:tc>
          <w:tcPr>
            <w:tcW w:w="2741" w:type="dxa"/>
            <w:noWrap w:val="0"/>
            <w:vAlign w:val="center"/>
          </w:tcPr>
          <w:p w14:paraId="067DA6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98" w:type="dxa"/>
            <w:noWrap w:val="0"/>
            <w:vAlign w:val="center"/>
          </w:tcPr>
          <w:p w14:paraId="0C9EA0E8">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9A0E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542713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41" w:type="dxa"/>
            <w:noWrap w:val="0"/>
            <w:vAlign w:val="center"/>
          </w:tcPr>
          <w:p w14:paraId="5DD3D6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98" w:type="dxa"/>
            <w:noWrap w:val="0"/>
            <w:vAlign w:val="center"/>
          </w:tcPr>
          <w:p w14:paraId="2FDF17C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 w:val="21"/>
                <w:szCs w:val="21"/>
                <w:highlight w:val="none"/>
                <w:lang w:val="en-US" w:eastAsia="zh-CN"/>
              </w:rPr>
              <w:t>本项目不接受备份</w:t>
            </w:r>
            <w:r>
              <w:rPr>
                <w:rFonts w:hint="eastAsia" w:ascii="宋体" w:hAnsi="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val="en-US" w:eastAsia="zh-CN"/>
              </w:rPr>
              <w:t>文件</w:t>
            </w:r>
            <w:r>
              <w:rPr>
                <w:rFonts w:hint="eastAsia" w:ascii="宋体" w:hAnsi="宋体" w:cs="宋体"/>
                <w:color w:val="auto"/>
                <w:spacing w:val="0"/>
                <w:sz w:val="21"/>
                <w:szCs w:val="21"/>
                <w:highlight w:val="none"/>
                <w:lang w:val="en-US" w:eastAsia="zh-CN"/>
              </w:rPr>
              <w:t>。</w:t>
            </w:r>
          </w:p>
        </w:tc>
      </w:tr>
      <w:tr w14:paraId="0827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20FB35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41" w:type="dxa"/>
            <w:noWrap w:val="0"/>
            <w:vAlign w:val="center"/>
          </w:tcPr>
          <w:p w14:paraId="7B2FB9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98" w:type="dxa"/>
            <w:noWrap w:val="0"/>
            <w:vAlign w:val="center"/>
          </w:tcPr>
          <w:p w14:paraId="15F6F94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0E51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062074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41" w:type="dxa"/>
            <w:noWrap w:val="0"/>
            <w:vAlign w:val="center"/>
          </w:tcPr>
          <w:p w14:paraId="536AF6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98" w:type="dxa"/>
            <w:noWrap w:val="0"/>
            <w:vAlign w:val="center"/>
          </w:tcPr>
          <w:p w14:paraId="07E1462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p w14:paraId="064596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tc>
      </w:tr>
      <w:tr w14:paraId="06BC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F86AA54">
            <w:pPr>
              <w:spacing w:line="360" w:lineRule="auto"/>
              <w:jc w:val="center"/>
              <w:rPr>
                <w:rFonts w:hint="eastAsia" w:ascii="宋体" w:hAnsi="宋体" w:eastAsia="宋体" w:cs="宋体"/>
                <w:color w:val="auto"/>
                <w:szCs w:val="21"/>
                <w:highlight w:val="none"/>
              </w:rPr>
            </w:pPr>
          </w:p>
        </w:tc>
        <w:tc>
          <w:tcPr>
            <w:tcW w:w="2741" w:type="dxa"/>
            <w:noWrap w:val="0"/>
            <w:vAlign w:val="center"/>
          </w:tcPr>
          <w:p w14:paraId="7B0AC91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98" w:type="dxa"/>
            <w:noWrap w:val="0"/>
            <w:vAlign w:val="center"/>
          </w:tcPr>
          <w:p w14:paraId="0DC6F87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14:paraId="0F6B7827">
            <w:pPr>
              <w:pStyle w:val="14"/>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磋商小组可要求供应商法定代表人（负责人）或者委托代理人向磋商小组出示本人有效证件原件[有效证件可以是身份证（含临时身份证明）、机动车驾驶证、社会保障卡或者护照的其中一项]，若参与磋商的委托代理人不是响应文件中授权的委托代理人时，必须同时出示有效的法定代表人（负责人）授权委托书原件，否则磋商小组将拒绝其参与磋商。</w:t>
            </w:r>
          </w:p>
        </w:tc>
      </w:tr>
      <w:tr w14:paraId="144B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8D6BB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41" w:type="dxa"/>
            <w:noWrap w:val="0"/>
            <w:vAlign w:val="center"/>
          </w:tcPr>
          <w:p w14:paraId="0F8D4B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98" w:type="dxa"/>
            <w:noWrap w:val="0"/>
            <w:vAlign w:val="center"/>
          </w:tcPr>
          <w:p w14:paraId="598213EA">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根据百政办电〔2021〕34号《百色市2021年持续优化营商环境行动方案》精神，本项目无需缴纳履约保证金。</w:t>
            </w:r>
          </w:p>
        </w:tc>
      </w:tr>
      <w:tr w14:paraId="0D60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101E9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41" w:type="dxa"/>
            <w:noWrap w:val="0"/>
            <w:vAlign w:val="center"/>
          </w:tcPr>
          <w:p w14:paraId="73FCE3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98" w:type="dxa"/>
            <w:noWrap w:val="0"/>
            <w:vAlign w:val="center"/>
          </w:tcPr>
          <w:p w14:paraId="1C93D266">
            <w:pPr>
              <w:pStyle w:val="2"/>
              <w:spacing w:line="360" w:lineRule="auto"/>
              <w:rPr>
                <w:rFonts w:hint="eastAsia"/>
                <w:lang w:eastAsia="zh-CN"/>
              </w:rPr>
            </w:pPr>
            <w:r>
              <w:rPr>
                <w:rFonts w:hint="eastAsia"/>
                <w:lang w:eastAsia="zh-CN"/>
              </w:rPr>
              <w:t>委托代理人负责签订合同的，须携带授权委托书及委托代理人身份证原件等其他资格证件。</w:t>
            </w:r>
          </w:p>
          <w:p w14:paraId="182A28D1">
            <w:pPr>
              <w:pStyle w:val="2"/>
              <w:spacing w:line="360" w:lineRule="auto"/>
              <w:rPr>
                <w:rFonts w:hint="eastAsia"/>
                <w:lang w:eastAsia="zh-CN"/>
              </w:rPr>
            </w:pPr>
            <w:r>
              <w:rPr>
                <w:rFonts w:hint="eastAsia"/>
                <w:lang w:eastAsia="zh-CN"/>
              </w:rPr>
              <w:t>法定代表人负责签订合同的，须携带法定代表人身份证明原件及身份证原件等其他证明材料。</w:t>
            </w:r>
          </w:p>
        </w:tc>
      </w:tr>
      <w:tr w14:paraId="51221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166D30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41" w:type="dxa"/>
            <w:noWrap w:val="0"/>
            <w:vAlign w:val="center"/>
          </w:tcPr>
          <w:p w14:paraId="6FB6B7C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98" w:type="dxa"/>
            <w:noWrap w:val="0"/>
            <w:vAlign w:val="center"/>
          </w:tcPr>
          <w:p w14:paraId="298C2DCB">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以书面形式或在线质疑/投诉</w:t>
            </w:r>
          </w:p>
        </w:tc>
      </w:tr>
      <w:tr w14:paraId="3D3D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703AC3F5">
            <w:pPr>
              <w:spacing w:line="360" w:lineRule="auto"/>
              <w:jc w:val="center"/>
              <w:rPr>
                <w:rFonts w:hint="eastAsia" w:ascii="宋体" w:hAnsi="宋体" w:eastAsia="宋体" w:cs="宋体"/>
                <w:color w:val="auto"/>
                <w:szCs w:val="21"/>
                <w:highlight w:val="none"/>
              </w:rPr>
            </w:pPr>
          </w:p>
        </w:tc>
        <w:tc>
          <w:tcPr>
            <w:tcW w:w="2741" w:type="dxa"/>
            <w:noWrap w:val="0"/>
            <w:vAlign w:val="center"/>
          </w:tcPr>
          <w:p w14:paraId="6795CC7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98" w:type="dxa"/>
            <w:noWrap w:val="0"/>
            <w:vAlign w:val="center"/>
          </w:tcPr>
          <w:p w14:paraId="08608713">
            <w:pPr>
              <w:pStyle w:val="2"/>
              <w:numPr>
                <w:ilvl w:val="0"/>
                <w:numId w:val="0"/>
              </w:numPr>
              <w:tabs>
                <w:tab w:val="left" w:pos="1426"/>
              </w:tabs>
              <w:autoSpaceDE w:val="0"/>
              <w:autoSpaceDN w:val="0"/>
              <w:spacing w:after="0"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1、书面形式:</w:t>
            </w:r>
          </w:p>
          <w:p w14:paraId="709B0E83">
            <w:pPr>
              <w:pStyle w:val="2"/>
              <w:numPr>
                <w:ilvl w:val="0"/>
                <w:numId w:val="0"/>
              </w:numPr>
              <w:tabs>
                <w:tab w:val="left" w:pos="1426"/>
              </w:tabs>
              <w:autoSpaceDE w:val="0"/>
              <w:autoSpaceDN w:val="0"/>
              <w:spacing w:after="0"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广西中正融创项目工程技术服务有限公司</w:t>
            </w:r>
            <w:r>
              <w:rPr>
                <w:rFonts w:hint="eastAsia" w:ascii="宋体" w:hAnsi="宋体" w:cs="宋体"/>
                <w:color w:val="auto"/>
                <w:sz w:val="21"/>
                <w:szCs w:val="21"/>
                <w:highlight w:val="none"/>
                <w:lang w:eastAsia="zh-CN"/>
              </w:rPr>
              <w:t>；</w:t>
            </w:r>
          </w:p>
          <w:p w14:paraId="3019D0B3">
            <w:pPr>
              <w:pStyle w:val="2"/>
              <w:numPr>
                <w:ilvl w:val="0"/>
                <w:numId w:val="0"/>
              </w:numPr>
              <w:tabs>
                <w:tab w:val="left" w:pos="1426"/>
              </w:tabs>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联系电话：0776-5668633</w:t>
            </w:r>
          </w:p>
          <w:p w14:paraId="5A81EB69">
            <w:pPr>
              <w:pStyle w:val="2"/>
              <w:numPr>
                <w:ilvl w:val="0"/>
                <w:numId w:val="0"/>
              </w:numPr>
              <w:tabs>
                <w:tab w:val="left" w:pos="1426"/>
              </w:tabs>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通讯地址：：广西壮族自治区百色市平果市马头镇城北社区教育路5号 </w:t>
            </w:r>
          </w:p>
          <w:p w14:paraId="17C2CE71">
            <w:pPr>
              <w:pStyle w:val="2"/>
              <w:numPr>
                <w:ilvl w:val="0"/>
                <w:numId w:val="0"/>
              </w:numPr>
              <w:tabs>
                <w:tab w:val="left" w:pos="1426"/>
              </w:tabs>
              <w:autoSpaceDE w:val="0"/>
              <w:autoSpaceDN w:val="0"/>
              <w:spacing w:after="0"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（2）百色市田阳区水利局</w:t>
            </w:r>
          </w:p>
          <w:p w14:paraId="63980927">
            <w:pPr>
              <w:pStyle w:val="2"/>
              <w:numPr>
                <w:ilvl w:val="0"/>
                <w:numId w:val="0"/>
              </w:numPr>
              <w:tabs>
                <w:tab w:val="left" w:pos="1426"/>
              </w:tabs>
              <w:autoSpaceDE w:val="0"/>
              <w:autoSpaceDN w:val="0"/>
              <w:spacing w:after="0" w:line="360" w:lineRule="auto"/>
              <w:rPr>
                <w:rFonts w:hint="default" w:ascii="宋体" w:hAnsi="宋体" w:eastAsia="宋体" w:cs="宋体"/>
                <w:color w:val="auto"/>
                <w:szCs w:val="21"/>
                <w:highlight w:val="none"/>
                <w:lang w:val="en-US"/>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val="en-US" w:eastAsia="zh-CN"/>
              </w:rPr>
              <w:t>0776-3212643</w:t>
            </w:r>
          </w:p>
          <w:p w14:paraId="1EBE33DD">
            <w:pPr>
              <w:pStyle w:val="2"/>
              <w:numPr>
                <w:ilvl w:val="0"/>
                <w:numId w:val="0"/>
              </w:numPr>
              <w:tabs>
                <w:tab w:val="left" w:pos="1426"/>
              </w:tabs>
              <w:autoSpaceDE w:val="0"/>
              <w:autoSpaceDN w:val="0"/>
              <w:spacing w:after="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通讯地址：百色市田阳区田州镇中山新街67号</w:t>
            </w:r>
          </w:p>
          <w:p w14:paraId="74C92706">
            <w:pPr>
              <w:numPr>
                <w:ilvl w:val="0"/>
                <w:numId w:val="0"/>
              </w:numPr>
              <w:spacing w:line="360" w:lineRule="auto"/>
              <w:ind w:leftChars="0"/>
              <w:rPr>
                <w:rFonts w:hint="eastAsia" w:eastAsia="宋体"/>
                <w:b/>
                <w:bCs/>
                <w:lang w:val="en-US" w:eastAsia="zh-CN"/>
              </w:rPr>
            </w:pPr>
            <w:r>
              <w:rPr>
                <w:rFonts w:hint="eastAsia"/>
                <w:lang w:val="en-US" w:eastAsia="zh-CN"/>
              </w:rPr>
              <w:t>2、在线质疑/投诉：通过政采云平台进行在线质疑（详见广西壮族自治区政府采购网发布的在线质疑投诉操作指南。）</w:t>
            </w:r>
          </w:p>
        </w:tc>
      </w:tr>
      <w:tr w14:paraId="1AE8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5" w:type="dxa"/>
            <w:vMerge w:val="continue"/>
            <w:noWrap w:val="0"/>
            <w:vAlign w:val="center"/>
          </w:tcPr>
          <w:p w14:paraId="15CDEEF2">
            <w:pPr>
              <w:spacing w:line="360" w:lineRule="auto"/>
              <w:jc w:val="center"/>
              <w:rPr>
                <w:rFonts w:hint="eastAsia" w:ascii="宋体" w:hAnsi="宋体" w:eastAsia="宋体" w:cs="宋体"/>
                <w:color w:val="auto"/>
                <w:szCs w:val="21"/>
                <w:highlight w:val="none"/>
              </w:rPr>
            </w:pPr>
          </w:p>
        </w:tc>
        <w:tc>
          <w:tcPr>
            <w:tcW w:w="2741" w:type="dxa"/>
            <w:noWrap w:val="0"/>
            <w:vAlign w:val="center"/>
          </w:tcPr>
          <w:p w14:paraId="1FED724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98" w:type="dxa"/>
            <w:noWrap w:val="0"/>
            <w:vAlign w:val="center"/>
          </w:tcPr>
          <w:p w14:paraId="2D44E6E0">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业务时间：工作日上午</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0到12：00 分，下午1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：00 到1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0，双休日和法定节假日不办理业务</w:t>
            </w:r>
            <w:r>
              <w:rPr>
                <w:rFonts w:hint="eastAsia" w:ascii="宋体" w:hAnsi="宋体" w:cs="宋体"/>
                <w:color w:val="auto"/>
                <w:szCs w:val="21"/>
                <w:highlight w:val="none"/>
                <w:lang w:eastAsia="zh-CN"/>
              </w:rPr>
              <w:t>。</w:t>
            </w:r>
          </w:p>
        </w:tc>
      </w:tr>
      <w:tr w14:paraId="1E49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B365B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41" w:type="dxa"/>
            <w:noWrap w:val="0"/>
            <w:vAlign w:val="center"/>
          </w:tcPr>
          <w:p w14:paraId="354FDE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98" w:type="dxa"/>
            <w:noWrap w:val="0"/>
            <w:vAlign w:val="center"/>
          </w:tcPr>
          <w:p w14:paraId="1358229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245B885D">
            <w:pPr>
              <w:snapToGrid w:val="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邮寄地址：</w:t>
            </w:r>
          </w:p>
          <w:p w14:paraId="7B576E54">
            <w:pPr>
              <w:snapToGrid w:val="0"/>
              <w:spacing w:line="360" w:lineRule="auto"/>
              <w:rPr>
                <w:rFonts w:hint="eastAsia" w:ascii="宋体" w:hAnsi="宋体" w:eastAsia="宋体" w:cs="宋体"/>
                <w:color w:val="auto"/>
                <w:highlight w:val="none"/>
                <w:lang w:val="zh-CN"/>
              </w:rPr>
            </w:pPr>
            <w:r>
              <w:rPr>
                <w:rFonts w:hint="eastAsia" w:ascii="宋体" w:hAnsi="宋体" w:cs="宋体"/>
                <w:color w:val="auto"/>
                <w:highlight w:val="none"/>
                <w:lang w:val="en-US" w:eastAsia="zh-CN"/>
              </w:rPr>
              <w:t>名称</w:t>
            </w:r>
            <w:r>
              <w:rPr>
                <w:rFonts w:hint="eastAsia" w:ascii="宋体" w:hAnsi="宋体" w:eastAsia="宋体" w:cs="宋体"/>
                <w:color w:val="auto"/>
                <w:highlight w:val="none"/>
              </w:rPr>
              <w:t>：百色市田阳区政府采购服务中心</w:t>
            </w:r>
            <w:r>
              <w:rPr>
                <w:rFonts w:hint="eastAsia" w:ascii="宋体" w:hAnsi="宋体" w:eastAsia="宋体" w:cs="宋体"/>
                <w:color w:val="auto"/>
                <w:highlight w:val="none"/>
                <w:lang w:val="zh-CN"/>
              </w:rPr>
              <w:t xml:space="preserve"> </w:t>
            </w:r>
          </w:p>
          <w:p w14:paraId="4B024CEA">
            <w:pPr>
              <w:pStyle w:val="2"/>
              <w:tabs>
                <w:tab w:val="left" w:pos="1426"/>
              </w:tabs>
              <w:autoSpaceDE w:val="0"/>
              <w:autoSpaceDN w:val="0"/>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地址：百色市田阳区田州镇金狮路 6 号</w:t>
            </w:r>
          </w:p>
          <w:p w14:paraId="587F3A7C">
            <w:pPr>
              <w:pStyle w:val="2"/>
              <w:tabs>
                <w:tab w:val="left" w:pos="1426"/>
              </w:tabs>
              <w:autoSpaceDE w:val="0"/>
              <w:autoSpaceDN w:val="0"/>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联系电话：0776-3280823 邮政编号：533000</w:t>
            </w:r>
          </w:p>
        </w:tc>
      </w:tr>
      <w:tr w14:paraId="6144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2D73D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41" w:type="dxa"/>
            <w:noWrap w:val="0"/>
            <w:vAlign w:val="center"/>
          </w:tcPr>
          <w:p w14:paraId="2B25EB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98" w:type="dxa"/>
            <w:noWrap w:val="0"/>
            <w:vAlign w:val="center"/>
          </w:tcPr>
          <w:p w14:paraId="3D48A3A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是否收取采购代理费：</w:t>
            </w:r>
          </w:p>
          <w:p w14:paraId="380AA40C">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是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否</w:t>
            </w:r>
          </w:p>
          <w:p w14:paraId="2DA2BE6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2.采购代理费支付方式：</w:t>
            </w:r>
          </w:p>
          <w:p w14:paraId="7F646303">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本项目代理</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费由</w:t>
            </w:r>
            <w:r>
              <w:rPr>
                <w:rFonts w:hint="eastAsia" w:ascii="宋体" w:hAnsi="宋体" w:eastAsia="宋体" w:cs="宋体"/>
                <w:color w:val="auto"/>
                <w:szCs w:val="21"/>
                <w:highlight w:val="none"/>
                <w:u w:val="none"/>
              </w:rPr>
              <w:t>成交供应商</w:t>
            </w:r>
            <w:r>
              <w:rPr>
                <w:rFonts w:hint="eastAsia" w:ascii="宋体" w:hAnsi="宋体" w:eastAsia="宋体" w:cs="宋体"/>
                <w:color w:val="auto"/>
                <w:szCs w:val="21"/>
                <w:highlight w:val="none"/>
              </w:rPr>
              <w:t>领取成交通知书前，一次性向采购代理机构支付。</w:t>
            </w:r>
          </w:p>
          <w:p w14:paraId="6D7779D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□采购人支付。</w:t>
            </w:r>
          </w:p>
          <w:p w14:paraId="736660D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3.采购代理费收取标准：</w:t>
            </w:r>
          </w:p>
          <w:p w14:paraId="4547AA0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以分标（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采购预算/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暂定成交金额/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）为计费额，按</w:t>
            </w:r>
            <w:r>
              <w:rPr>
                <w:rFonts w:hint="eastAsia" w:ascii="宋体" w:hAnsi="宋体" w:eastAsia="宋体" w:cs="宋体"/>
                <w:b/>
                <w:bCs/>
                <w:color w:val="auto"/>
                <w:szCs w:val="21"/>
                <w:highlight w:val="none"/>
                <w:lang w:val="en-US" w:eastAsia="zh-CN"/>
              </w:rPr>
              <w:t>服务</w:t>
            </w:r>
            <w:r>
              <w:rPr>
                <w:rFonts w:hint="eastAsia" w:ascii="宋体" w:hAnsi="宋体" w:eastAsia="宋体" w:cs="宋体"/>
                <w:b/>
                <w:bCs/>
                <w:color w:val="auto"/>
                <w:szCs w:val="21"/>
                <w:highlight w:val="none"/>
              </w:rPr>
              <w:t>类</w:t>
            </w:r>
            <w:r>
              <w:rPr>
                <w:rFonts w:hint="eastAsia" w:ascii="宋体" w:hAnsi="宋体" w:eastAsia="宋体" w:cs="宋体"/>
                <w:color w:val="auto"/>
                <w:szCs w:val="21"/>
                <w:highlight w:val="none"/>
              </w:rPr>
              <w:t>采用差额定率累进法计算出收费基准价格，采购代理收费以（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收费基准价格下浮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收费基准价格上浮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w:t>
            </w:r>
          </w:p>
          <w:p w14:paraId="50ECEB8F">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固定采购代理收费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元</w:t>
            </w:r>
            <w:r>
              <w:rPr>
                <w:rFonts w:hint="eastAsia" w:ascii="宋体" w:hAnsi="宋体" w:eastAsia="宋体" w:cs="宋体"/>
                <w:color w:val="auto"/>
                <w:szCs w:val="21"/>
                <w:highlight w:val="none"/>
                <w:u w:val="single"/>
              </w:rPr>
              <w:t xml:space="preserve"> 。</w:t>
            </w:r>
          </w:p>
          <w:p w14:paraId="2A7743E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采购代理费收取银行账户</w:t>
            </w:r>
          </w:p>
          <w:p w14:paraId="2FC811C8">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开户名称：广西中正融创项目工程技术服务有限公司</w:t>
            </w:r>
          </w:p>
          <w:p w14:paraId="4490E9E3">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开户银行：桂林银行股份有限公司百色平果支行</w:t>
            </w:r>
          </w:p>
          <w:p w14:paraId="3ABDA058">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银行账号：6600 00021 2888 0001 1</w:t>
            </w:r>
          </w:p>
        </w:tc>
      </w:tr>
      <w:tr w14:paraId="12A85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B8CA7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41" w:type="dxa"/>
            <w:noWrap w:val="0"/>
            <w:vAlign w:val="center"/>
          </w:tcPr>
          <w:p w14:paraId="077FE8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98" w:type="dxa"/>
            <w:noWrap w:val="0"/>
            <w:vAlign w:val="center"/>
          </w:tcPr>
          <w:p w14:paraId="4C582495">
            <w:pPr>
              <w:pStyle w:val="21"/>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181472F4">
            <w:pPr>
              <w:pStyle w:val="2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E87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0BE1B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41" w:type="dxa"/>
            <w:noWrap w:val="0"/>
            <w:vAlign w:val="center"/>
          </w:tcPr>
          <w:p w14:paraId="48E140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98" w:type="dxa"/>
            <w:noWrap w:val="0"/>
            <w:vAlign w:val="center"/>
          </w:tcPr>
          <w:p w14:paraId="0D08DA0E">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AD943D">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E8D8C1A">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7C14209D">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4.自然人竞标的，磋商文件规定盖公章处由自然人摁手指指印。</w:t>
            </w:r>
          </w:p>
          <w:p w14:paraId="445701AE">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5.本磋商文件所称的“以上”“以下”“以内”“届满”，包括本数；所称的“不满”“超过”“以外”，不包括本数。</w:t>
            </w:r>
          </w:p>
          <w:p w14:paraId="041A1F8A">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6.本项目</w:t>
            </w:r>
            <w:r>
              <w:rPr>
                <w:rFonts w:hint="eastAsia" w:hAnsi="宋体" w:cs="宋体"/>
                <w:color w:val="auto"/>
                <w:sz w:val="22"/>
                <w:szCs w:val="22"/>
                <w:highlight w:val="none"/>
                <w:lang w:val="en-US" w:eastAsia="zh-CN"/>
              </w:rPr>
              <w:t>未</w:t>
            </w:r>
            <w:r>
              <w:rPr>
                <w:rFonts w:hint="eastAsia" w:ascii="宋体" w:hAnsi="宋体" w:eastAsia="宋体" w:cs="宋体"/>
                <w:color w:val="auto"/>
                <w:sz w:val="22"/>
                <w:szCs w:val="22"/>
                <w:highlight w:val="none"/>
                <w:lang w:val="en-US" w:eastAsia="zh-CN"/>
              </w:rPr>
              <w:t>预留份额面向中小企业采购，属于《政府采购促进中小企业发展管理办法》(财库(2020) 46号)第六条第三款规定预留采购份额无法确保充分供应、充分竞争， 或者存在可能影响政府采购目标实现的情形。</w:t>
            </w:r>
          </w:p>
          <w:p w14:paraId="0DB148B7">
            <w:pPr>
              <w:pStyle w:val="22"/>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0"/>
                <w:sz w:val="22"/>
                <w:szCs w:val="22"/>
                <w:highlight w:val="none"/>
                <w:lang w:val="en-US" w:eastAsia="zh-CN" w:bidi="ar-SA"/>
              </w:rPr>
              <w:t>7.纸质响应件：纸质响应文件：成交单位在成交通知书发出后5个工作日内须提供纸质版2套及PDF版响应文件1套至招标代理机构。提交的纸质版响应文件文本必须与其上传的电子响应文件内容一致，不允许有篡改。如项目验收时因所提供的纸质响应文件与评标的响应文件不一致造成纠纷时，所有责任由成交人承担。</w:t>
            </w:r>
          </w:p>
        </w:tc>
      </w:tr>
    </w:tbl>
    <w:p w14:paraId="5809694C">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16" w:name="_Toc80886929"/>
      <w:r>
        <w:rPr>
          <w:rFonts w:hint="eastAsia" w:ascii="宋体" w:hAnsi="宋体" w:eastAsia="宋体" w:cs="宋体"/>
          <w:b w:val="0"/>
          <w:color w:val="auto"/>
          <w:highlight w:val="none"/>
        </w:rPr>
        <w:t>第二节 供应商须知正文</w:t>
      </w:r>
      <w:bookmarkEnd w:id="16"/>
    </w:p>
    <w:p w14:paraId="666A2F4A">
      <w:pPr>
        <w:pStyle w:val="5"/>
        <w:spacing w:before="0" w:after="0" w:line="360" w:lineRule="auto"/>
        <w:ind w:firstLine="640" w:firstLineChars="200"/>
        <w:rPr>
          <w:rFonts w:hint="eastAsia" w:ascii="宋体" w:hAnsi="宋体" w:eastAsia="宋体" w:cs="宋体"/>
          <w:b w:val="0"/>
          <w:color w:val="auto"/>
          <w:highlight w:val="none"/>
        </w:rPr>
      </w:pPr>
      <w:bookmarkStart w:id="17" w:name="_Toc80886930"/>
      <w:r>
        <w:rPr>
          <w:rFonts w:hint="eastAsia" w:ascii="宋体" w:hAnsi="宋体" w:eastAsia="宋体" w:cs="宋体"/>
          <w:b w:val="0"/>
          <w:color w:val="auto"/>
          <w:highlight w:val="none"/>
        </w:rPr>
        <w:t>一、总则</w:t>
      </w:r>
      <w:bookmarkEnd w:id="17"/>
    </w:p>
    <w:p w14:paraId="63765E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22D40D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5BAF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55940C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07608C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88BE614">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7C98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其分支机构、其他组织或者自然人。</w:t>
      </w:r>
    </w:p>
    <w:p w14:paraId="5D3F5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708614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99F3E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C4C3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157164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8EDAE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BC770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49F051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B8C1E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00B0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62854E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3C430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6CE60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2934A9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D8C18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2C4A3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38798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E582B9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00B5A36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DEFE4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654C5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52FEF7EB">
      <w:pPr>
        <w:spacing w:line="360" w:lineRule="auto"/>
        <w:ind w:firstLine="482" w:firstLineChars="200"/>
        <w:rPr>
          <w:rFonts w:hint="eastAsia" w:ascii="宋体" w:hAnsi="宋体" w:eastAsia="宋体" w:cs="宋体"/>
          <w:b/>
          <w:bCs/>
          <w:color w:val="auto"/>
          <w:sz w:val="24"/>
          <w:highlight w:val="none"/>
        </w:rPr>
      </w:pPr>
      <w:bookmarkStart w:id="18" w:name="_Toc254970532"/>
      <w:bookmarkStart w:id="19" w:name="_Toc254970673"/>
      <w:r>
        <w:rPr>
          <w:rFonts w:hint="eastAsia" w:ascii="宋体" w:hAnsi="宋体" w:eastAsia="宋体" w:cs="宋体"/>
          <w:b/>
          <w:bCs/>
          <w:color w:val="auto"/>
          <w:sz w:val="24"/>
          <w:highlight w:val="none"/>
        </w:rPr>
        <w:t>7.特别说明</w:t>
      </w:r>
      <w:bookmarkEnd w:id="18"/>
      <w:bookmarkEnd w:id="19"/>
    </w:p>
    <w:p w14:paraId="5F8B84B5">
      <w:pPr>
        <w:spacing w:line="360" w:lineRule="auto"/>
        <w:ind w:firstLine="420" w:firstLineChars="200"/>
        <w:rPr>
          <w:rFonts w:hint="eastAsia" w:ascii="宋体" w:hAnsi="宋体" w:eastAsia="宋体" w:cs="宋体"/>
          <w:color w:val="auto"/>
          <w:szCs w:val="21"/>
          <w:highlight w:val="none"/>
        </w:rPr>
      </w:pPr>
      <w:bookmarkStart w:id="20" w:name="_8.1提供相同品牌产品且通过资格审查、符合性审查的不同投标人参加同一合"/>
      <w:bookmarkEnd w:id="20"/>
      <w:r>
        <w:rPr>
          <w:rFonts w:hint="eastAsia" w:ascii="宋体" w:hAnsi="宋体" w:eastAsia="宋体" w:cs="宋体"/>
          <w:color w:val="auto"/>
          <w:szCs w:val="21"/>
          <w:highlight w:val="none"/>
        </w:rPr>
        <w:t>7.1</w:t>
      </w:r>
      <w:bookmarkStart w:id="21"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21"/>
    <w:p w14:paraId="7306B0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48D3F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F465D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4F25E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561A8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2F5C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91696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D61C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20EF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EDAFD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29376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（1）不同供应商的响应文件由同一单位或者个人编制或不同投标人报名的</w:t>
      </w:r>
      <w:r>
        <w:rPr>
          <w:rFonts w:hint="eastAsia" w:ascii="宋体" w:hAnsi="宋体" w:eastAsia="宋体" w:cs="宋体"/>
          <w:color w:val="auto"/>
          <w:szCs w:val="21"/>
          <w:highlight w:val="none"/>
          <w:lang w:val="en-US"/>
        </w:rPr>
        <w:t>IP</w:t>
      </w:r>
      <w:r>
        <w:rPr>
          <w:rFonts w:hint="eastAsia" w:ascii="宋体" w:hAnsi="宋体" w:eastAsia="宋体" w:cs="宋体"/>
          <w:color w:val="auto"/>
          <w:szCs w:val="21"/>
          <w:highlight w:val="none"/>
        </w:rPr>
        <w:t xml:space="preserve">地址一致的； </w:t>
      </w:r>
    </w:p>
    <w:p w14:paraId="54AC8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11E54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618B9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5DC7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22BB858">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A7E34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F5CD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D0156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F4B6A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48CE3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08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AB3E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1EE4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965BA71">
      <w:pPr>
        <w:pStyle w:val="5"/>
        <w:spacing w:before="0" w:after="0" w:line="360" w:lineRule="auto"/>
        <w:ind w:firstLine="640" w:firstLineChars="200"/>
        <w:rPr>
          <w:rFonts w:hint="eastAsia" w:ascii="宋体" w:hAnsi="宋体" w:eastAsia="宋体" w:cs="宋体"/>
          <w:b w:val="0"/>
          <w:bCs w:val="0"/>
          <w:color w:val="auto"/>
          <w:highlight w:val="none"/>
        </w:rPr>
      </w:pPr>
      <w:bookmarkStart w:id="22" w:name="_Toc254970534"/>
      <w:bookmarkStart w:id="23" w:name="_Toc80886931"/>
      <w:bookmarkStart w:id="24" w:name="_Toc254970675"/>
      <w:r>
        <w:rPr>
          <w:rFonts w:hint="eastAsia" w:ascii="宋体" w:hAnsi="宋体" w:eastAsia="宋体" w:cs="宋体"/>
          <w:b w:val="0"/>
          <w:bCs w:val="0"/>
          <w:color w:val="auto"/>
          <w:highlight w:val="none"/>
        </w:rPr>
        <w:t>二、磋商文件</w:t>
      </w:r>
      <w:bookmarkEnd w:id="22"/>
      <w:bookmarkEnd w:id="23"/>
      <w:bookmarkEnd w:id="24"/>
    </w:p>
    <w:p w14:paraId="708AFE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04438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0E6CC43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52AAF53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24A2BC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5D69074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7C276B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21B905E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0085A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43AC9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536E5F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443DE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A307B2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7A58D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8140E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99D6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6ED3F99">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3233592E">
      <w:pPr>
        <w:pStyle w:val="5"/>
        <w:spacing w:before="0" w:after="0" w:line="360" w:lineRule="auto"/>
        <w:rPr>
          <w:rFonts w:hint="eastAsia" w:ascii="宋体" w:hAnsi="宋体" w:eastAsia="宋体" w:cs="宋体"/>
          <w:b w:val="0"/>
          <w:bCs w:val="0"/>
          <w:color w:val="auto"/>
          <w:highlight w:val="none"/>
        </w:rPr>
      </w:pPr>
      <w:bookmarkStart w:id="25" w:name="_Toc80886932"/>
      <w:r>
        <w:rPr>
          <w:rFonts w:hint="eastAsia" w:ascii="宋体" w:hAnsi="宋体" w:eastAsia="宋体" w:cs="宋体"/>
          <w:b w:val="0"/>
          <w:bCs w:val="0"/>
          <w:color w:val="auto"/>
          <w:highlight w:val="none"/>
        </w:rPr>
        <w:t>三、响应文件的编制</w:t>
      </w:r>
      <w:bookmarkEnd w:id="25"/>
    </w:p>
    <w:p w14:paraId="5040E3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0A9E7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F44A4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B7AE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3DD2A9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5A95ED71">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99BEA1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5121B6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2030D3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BBD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6CDA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C3D78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B1E5A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676D13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2680A8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8BEAB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9EDF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9AD6C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344D6B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34DBC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FBFA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26"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26"/>
    <w:p w14:paraId="485E23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FBE25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E4376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5CDA2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5B1CA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9EE7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5EECA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人须按须知前附表的规定提交</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。否则，其</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将被拒绝。</w:t>
      </w:r>
    </w:p>
    <w:p w14:paraId="210CB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.2  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 xml:space="preserve">通知书发出之日起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个工作日内退还，退还方式如下：</w:t>
      </w:r>
    </w:p>
    <w:p w14:paraId="26C22E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（1）采用银行转账、电汇或网上支付方式的，以转账方式退回到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w:t>
      </w:r>
    </w:p>
    <w:p w14:paraId="1A0FF9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人银行账户或由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人持相关授权证明材料至采购人或采购代理机构办理支票、汇票、本票原件退还手续。</w:t>
      </w:r>
    </w:p>
    <w:p w14:paraId="6FE0A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（3）采用银行、保险机构出具的保函方式的，由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人持相关授权证明材料至采购人或采购代理机构办理保函原件退还手续。</w:t>
      </w:r>
    </w:p>
    <w:p w14:paraId="099F68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个工作日内退还，退还方式同未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的退还方式。</w:t>
      </w:r>
    </w:p>
    <w:p w14:paraId="609A25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磋商保证金按银行等额</w:t>
      </w:r>
      <w:r>
        <w:rPr>
          <w:rFonts w:hint="eastAsia" w:ascii="宋体" w:hAnsi="宋体" w:eastAsia="宋体" w:cs="宋体"/>
          <w:color w:val="auto"/>
          <w:szCs w:val="21"/>
          <w:highlight w:val="none"/>
        </w:rPr>
        <w:t>计息</w:t>
      </w:r>
      <w:r>
        <w:rPr>
          <w:rFonts w:hint="eastAsia" w:ascii="宋体" w:hAnsi="宋体" w:eastAsia="宋体" w:cs="宋体"/>
          <w:color w:val="auto"/>
          <w:szCs w:val="21"/>
          <w:highlight w:val="none"/>
          <w:lang w:eastAsia="zh-CN"/>
        </w:rPr>
        <w:t>退还</w:t>
      </w:r>
      <w:r>
        <w:rPr>
          <w:rFonts w:hint="eastAsia" w:ascii="宋体" w:hAnsi="宋体" w:eastAsia="宋体" w:cs="宋体"/>
          <w:color w:val="auto"/>
          <w:szCs w:val="21"/>
          <w:highlight w:val="none"/>
        </w:rPr>
        <w:t>。</w:t>
      </w:r>
    </w:p>
    <w:p w14:paraId="0274FEFB">
      <w:pPr>
        <w:pStyle w:val="11"/>
        <w:rPr>
          <w:rFonts w:hint="eastAsia" w:ascii="宋体" w:hAnsi="宋体" w:eastAsia="宋体" w:cs="宋体"/>
          <w:color w:val="auto"/>
          <w:highlight w:val="none"/>
        </w:rPr>
      </w:pPr>
    </w:p>
    <w:p w14:paraId="649B17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0DBB1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DAE3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C8F11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27"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27"/>
      <w:r>
        <w:rPr>
          <w:rFonts w:hint="eastAsia" w:ascii="宋体" w:hAnsi="宋体" w:eastAsia="宋体" w:cs="宋体"/>
          <w:color w:val="auto"/>
          <w:szCs w:val="21"/>
          <w:highlight w:val="none"/>
        </w:rPr>
        <w:t>，否则其响应文件按无效响应处理。骑缝盖公章不视为在规定位置盖章。</w:t>
      </w:r>
    </w:p>
    <w:p w14:paraId="41827A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32ADF0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A0539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B8293C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政采云电子投标客户端”（请自行前往</w:t>
      </w:r>
      <w:r>
        <w:rPr>
          <w:rFonts w:hint="eastAsia" w:ascii="宋体" w:hAnsi="宋体" w:eastAsia="宋体" w:cs="宋体"/>
          <w:color w:val="auto"/>
          <w:sz w:val="21"/>
          <w:szCs w:val="21"/>
          <w:highlight w:val="none"/>
          <w:lang w:val="en-US" w:eastAsia="zh-CN"/>
        </w:rPr>
        <w:t>广西政府采购网-办事服务-下载专区</w:t>
      </w:r>
      <w:r>
        <w:rPr>
          <w:rFonts w:hint="eastAsia" w:ascii="宋体" w:hAnsi="宋体" w:eastAsia="宋体" w:cs="宋体"/>
          <w:color w:val="auto"/>
          <w:sz w:val="21"/>
          <w:szCs w:val="21"/>
          <w:highlight w:val="none"/>
        </w:rPr>
        <w:t>进行下载）</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78EAA521">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政采云电子投标客户端”</w:t>
      </w:r>
      <w:r>
        <w:rPr>
          <w:rFonts w:hint="eastAsia" w:ascii="宋体" w:hAnsi="宋体" w:eastAsia="宋体" w:cs="宋体"/>
          <w:color w:val="auto"/>
          <w:kern w:val="0"/>
          <w:szCs w:val="21"/>
          <w:highlight w:val="none"/>
          <w:lang w:val="zh-CN"/>
        </w:rPr>
        <w:t>需要提前申领CA数字证书，申领流程见该项目采购公告。</w:t>
      </w:r>
    </w:p>
    <w:p w14:paraId="5F911A97">
      <w:pPr>
        <w:pStyle w:val="2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w:t>
      </w:r>
      <w:r>
        <w:rPr>
          <w:rFonts w:hint="eastAsia" w:ascii="宋体" w:hAnsi="宋体" w:eastAsia="宋体" w:cs="宋体"/>
          <w:color w:val="auto"/>
          <w:sz w:val="21"/>
          <w:highlight w:val="none"/>
          <w:lang w:val="en-US" w:eastAsia="zh-CN"/>
        </w:rPr>
        <w:t>广西</w:t>
      </w:r>
      <w:r>
        <w:rPr>
          <w:rFonts w:hint="eastAsia" w:ascii="宋体" w:hAnsi="宋体" w:eastAsia="宋体" w:cs="宋体"/>
          <w:color w:val="auto"/>
          <w:sz w:val="21"/>
          <w:highlight w:val="none"/>
        </w:rPr>
        <w:t>政府采购云平台”的身份认证，确保在电子交易过程中能够对相关数据电文进行加密和使用电子签名。</w:t>
      </w:r>
    </w:p>
    <w:p w14:paraId="0E28A54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41CBC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423CD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AF389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4C87BA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7D241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2B5CCE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7A5A43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95450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808B17C">
      <w:pPr>
        <w:spacing w:line="360" w:lineRule="auto"/>
        <w:ind w:firstLine="482" w:firstLineChars="200"/>
        <w:rPr>
          <w:rFonts w:hint="eastAsia" w:ascii="宋体" w:hAnsi="宋体" w:eastAsia="宋体" w:cs="宋体"/>
          <w:b/>
          <w:bCs/>
          <w:color w:val="auto"/>
          <w:sz w:val="24"/>
          <w:highlight w:val="none"/>
        </w:rPr>
      </w:pPr>
      <w:bookmarkStart w:id="28" w:name="_Hlk45702405"/>
      <w:r>
        <w:rPr>
          <w:rFonts w:hint="eastAsia" w:ascii="宋体" w:hAnsi="宋体" w:eastAsia="宋体" w:cs="宋体"/>
          <w:b/>
          <w:bCs/>
          <w:color w:val="auto"/>
          <w:sz w:val="24"/>
          <w:highlight w:val="none"/>
        </w:rPr>
        <w:t>22. 首次响应文件的退回</w:t>
      </w:r>
    </w:p>
    <w:p w14:paraId="1B03CA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”平台操作退回，除此之外采购人和采购代理机构对已提交的电子响应文件概不退回。</w:t>
      </w:r>
    </w:p>
    <w:p w14:paraId="661475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0B6F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供应商在首次响应文件提交截止时间后可向采购人、采购代理机构书面申请撤回电子响应文件。</w:t>
      </w:r>
      <w:bookmarkEnd w:id="28"/>
    </w:p>
    <w:p w14:paraId="4D5460E3">
      <w:pPr>
        <w:pStyle w:val="5"/>
        <w:spacing w:before="0" w:after="0" w:line="360" w:lineRule="auto"/>
        <w:rPr>
          <w:rFonts w:hint="eastAsia" w:ascii="宋体" w:hAnsi="宋体" w:eastAsia="宋体" w:cs="宋体"/>
          <w:b w:val="0"/>
          <w:bCs w:val="0"/>
          <w:color w:val="auto"/>
          <w:highlight w:val="none"/>
        </w:rPr>
      </w:pPr>
      <w:bookmarkStart w:id="29" w:name="_Toc80886933"/>
      <w:r>
        <w:rPr>
          <w:rFonts w:hint="eastAsia" w:ascii="宋体" w:hAnsi="宋体" w:eastAsia="宋体" w:cs="宋体"/>
          <w:b w:val="0"/>
          <w:bCs w:val="0"/>
          <w:color w:val="auto"/>
          <w:highlight w:val="none"/>
        </w:rPr>
        <w:t>四、评审及磋商</w:t>
      </w:r>
      <w:bookmarkEnd w:id="29"/>
    </w:p>
    <w:p w14:paraId="7F72E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7850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2CF9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17781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74AB41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E81212F">
      <w:pPr>
        <w:pStyle w:val="2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8DB40B8">
      <w:pPr>
        <w:pStyle w:val="21"/>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法定代表人（负责人）</w:t>
      </w:r>
      <w:r>
        <w:rPr>
          <w:rFonts w:hint="eastAsia" w:ascii="宋体" w:hAnsi="宋体" w:eastAsia="宋体" w:cs="宋体"/>
          <w:color w:val="auto"/>
          <w:sz w:val="21"/>
          <w:highlight w:val="none"/>
        </w:rPr>
        <w:t>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ascii="宋体" w:hAnsi="宋体" w:eastAsia="宋体" w:cs="宋体"/>
          <w:b/>
          <w:color w:val="auto"/>
          <w:sz w:val="21"/>
          <w:highlight w:val="none"/>
          <w:lang w:eastAsia="zh-CN"/>
        </w:rPr>
        <w:t>广西政采云</w:t>
      </w:r>
      <w:r>
        <w:rPr>
          <w:rFonts w:hint="eastAsia" w:ascii="宋体" w:hAnsi="宋体" w:eastAsia="宋体" w:cs="宋体"/>
          <w:b/>
          <w:color w:val="auto"/>
          <w:sz w:val="21"/>
          <w:highlight w:val="none"/>
        </w:rPr>
        <w:t>”平台电子开标大厅签到并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35DB8D10">
      <w:pPr>
        <w:pStyle w:val="2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w:t>
      </w:r>
      <w:r>
        <w:rPr>
          <w:rFonts w:hint="eastAsia" w:ascii="宋体" w:hAnsi="宋体" w:eastAsia="宋体" w:cs="宋体"/>
          <w:bCs/>
          <w:color w:val="auto"/>
          <w:sz w:val="21"/>
          <w:highlight w:val="none"/>
          <w:lang w:eastAsia="zh-CN"/>
        </w:rPr>
        <w:t>广西政采云</w:t>
      </w:r>
      <w:r>
        <w:rPr>
          <w:rFonts w:hint="eastAsia" w:ascii="宋体" w:hAnsi="宋体" w:eastAsia="宋体" w:cs="宋体"/>
          <w:bCs/>
          <w:color w:val="auto"/>
          <w:sz w:val="21"/>
          <w:highlight w:val="none"/>
        </w:rPr>
        <w:t>”电子开标大厅参加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0F129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6F71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47CB12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F9627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28AFA4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CA4A4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37ACD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AE80F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BE68B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8C53D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1A9A59">
      <w:pPr>
        <w:pStyle w:val="5"/>
        <w:spacing w:before="0" w:after="0" w:line="360" w:lineRule="auto"/>
        <w:rPr>
          <w:rFonts w:hint="eastAsia" w:ascii="宋体" w:hAnsi="宋体" w:eastAsia="宋体" w:cs="宋体"/>
          <w:b w:val="0"/>
          <w:bCs w:val="0"/>
          <w:color w:val="auto"/>
          <w:highlight w:val="none"/>
        </w:rPr>
      </w:pPr>
      <w:bookmarkStart w:id="30" w:name="_Toc80886934"/>
      <w:r>
        <w:rPr>
          <w:rFonts w:hint="eastAsia" w:ascii="宋体" w:hAnsi="宋体" w:eastAsia="宋体" w:cs="宋体"/>
          <w:b w:val="0"/>
          <w:bCs w:val="0"/>
          <w:color w:val="auto"/>
          <w:highlight w:val="none"/>
        </w:rPr>
        <w:t>五、成交及合同</w:t>
      </w:r>
      <w:bookmarkEnd w:id="30"/>
    </w:p>
    <w:p w14:paraId="0723B18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9A2C2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15A1C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2B1282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45D2C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B9DCF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F9DF7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B452DFD">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4FFC4A1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5C5DBF2">
      <w:pPr>
        <w:pStyle w:val="5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如成交供应商为联合体的，由联合体成员各方法定代表人（负责人）或其授权代表与采购人代表签订合同。</w:t>
      </w:r>
    </w:p>
    <w:p w14:paraId="6614D9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54532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36A38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76FE55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095CE0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58AEA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50A39C7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6A8B2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754F4E4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7D1C0B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FA8F37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31DC5F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C27E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00009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8683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9B277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51E466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DAA65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7625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BED5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w:t>
      </w:r>
      <w:r>
        <w:rPr>
          <w:rFonts w:hint="eastAsia" w:ascii="宋体" w:hAnsi="宋体" w:eastAsia="宋体" w:cs="宋体"/>
          <w:color w:val="auto"/>
          <w:highlight w:val="none"/>
          <w:lang w:val="en-US" w:eastAsia="zh-CN"/>
        </w:rPr>
        <w:t>或其</w:t>
      </w:r>
      <w:r>
        <w:rPr>
          <w:rFonts w:hint="eastAsia" w:ascii="宋体" w:hAnsi="宋体" w:eastAsia="宋体" w:cs="宋体"/>
          <w:color w:val="auto"/>
          <w:highlight w:val="none"/>
        </w:rPr>
        <w:t>分支机构或者其他组织的，应当由</w:t>
      </w: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rPr>
        <w:t>、主要负责人，或者其委托代理人签字或者盖章，并加盖公章。</w:t>
      </w:r>
    </w:p>
    <w:p w14:paraId="1782D0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C4592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EBF95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76C3B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E69EC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31" w:name="_Toc80205930"/>
    </w:p>
    <w:p w14:paraId="41B2A3FE">
      <w:pPr>
        <w:pStyle w:val="5"/>
        <w:spacing w:before="0" w:after="0" w:line="360" w:lineRule="auto"/>
        <w:rPr>
          <w:rFonts w:hint="eastAsia" w:ascii="宋体" w:hAnsi="宋体" w:eastAsia="宋体" w:cs="宋体"/>
          <w:b w:val="0"/>
          <w:color w:val="auto"/>
          <w:highlight w:val="none"/>
        </w:rPr>
      </w:pPr>
      <w:bookmarkStart w:id="32" w:name="_Toc80886935"/>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31"/>
      <w:bookmarkEnd w:id="32"/>
    </w:p>
    <w:p w14:paraId="79B843B2">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78439A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1634F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93EA12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05E30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7C9EDCA">
      <w:pPr>
        <w:pStyle w:val="5"/>
        <w:spacing w:before="0" w:after="0" w:line="360" w:lineRule="auto"/>
        <w:rPr>
          <w:rFonts w:hint="eastAsia" w:ascii="宋体" w:hAnsi="宋体" w:eastAsia="宋体" w:cs="宋体"/>
          <w:b w:val="0"/>
          <w:bCs w:val="0"/>
          <w:color w:val="auto"/>
          <w:highlight w:val="none"/>
        </w:rPr>
      </w:pPr>
      <w:bookmarkStart w:id="33" w:name="_Toc8088693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33"/>
    </w:p>
    <w:p w14:paraId="228FE9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13C1226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E4619B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57C851B0">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3046A6E1">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EBFFFF2">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07F77D41">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C7B6FFB">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3EA77B5">
      <w:pPr>
        <w:pStyle w:val="21"/>
        <w:spacing w:line="360" w:lineRule="auto"/>
        <w:ind w:firstLine="402" w:firstLineChars="200"/>
        <w:textAlignment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4F6B94EA">
      <w:pPr>
        <w:pStyle w:val="3"/>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rPr>
      </w:pPr>
      <w:bookmarkStart w:id="34" w:name="_Toc80886926"/>
      <w:bookmarkStart w:id="35" w:name="_Toc80886937"/>
      <w:r>
        <w:rPr>
          <w:rFonts w:hint="eastAsia"/>
        </w:rPr>
        <w:t>采购需求</w:t>
      </w:r>
      <w:bookmarkEnd w:id="34"/>
    </w:p>
    <w:p w14:paraId="1752F17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26F510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为落实政府采购政策需满足的要求（根据项目实际情况填写内容）</w:t>
      </w:r>
    </w:p>
    <w:p w14:paraId="6ABD3D4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3AE73DAE">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0F75D9AA">
      <w:pPr>
        <w:pStyle w:val="47"/>
        <w:numPr>
          <w:ilvl w:val="0"/>
          <w:numId w:val="0"/>
        </w:numPr>
        <w:ind w:leftChars="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如投标人投标产品存在侵犯他人的知识产权或者专利成果行为的，应承担相应法律责任。</w:t>
      </w:r>
    </w:p>
    <w:p w14:paraId="2EF1A62A">
      <w:pPr>
        <w:pStyle w:val="47"/>
        <w:rPr>
          <w:rFonts w:hint="eastAsia" w:ascii="宋体" w:hAnsi="宋体" w:eastAsia="宋体" w:cs="宋体"/>
          <w:color w:val="auto"/>
          <w:highlight w:val="none"/>
        </w:rPr>
      </w:pPr>
    </w:p>
    <w:tbl>
      <w:tblPr>
        <w:tblStyle w:val="36"/>
        <w:tblW w:w="101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4"/>
        <w:gridCol w:w="525"/>
        <w:gridCol w:w="1085"/>
        <w:gridCol w:w="555"/>
        <w:gridCol w:w="630"/>
        <w:gridCol w:w="5820"/>
        <w:gridCol w:w="1095"/>
      </w:tblGrid>
      <w:tr w14:paraId="11C0E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194" w:type="dxa"/>
            <w:gridSpan w:val="7"/>
            <w:tcBorders>
              <w:top w:val="single" w:color="auto" w:sz="4" w:space="0"/>
              <w:left w:val="single" w:color="auto" w:sz="4" w:space="0"/>
              <w:right w:val="single" w:color="auto" w:sz="4" w:space="0"/>
            </w:tcBorders>
            <w:noWrap w:val="0"/>
            <w:vAlign w:val="center"/>
          </w:tcPr>
          <w:p w14:paraId="04AC7EC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32"/>
                <w:szCs w:val="32"/>
                <w:highlight w:val="none"/>
              </w:rPr>
              <w:t>服务需求一览表</w:t>
            </w:r>
          </w:p>
        </w:tc>
      </w:tr>
      <w:tr w14:paraId="1AD0C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4" w:type="dxa"/>
            <w:vMerge w:val="restart"/>
            <w:tcBorders>
              <w:top w:val="single" w:color="auto" w:sz="4" w:space="0"/>
              <w:left w:val="single" w:color="auto" w:sz="4" w:space="0"/>
              <w:right w:val="single" w:color="auto" w:sz="4" w:space="0"/>
            </w:tcBorders>
            <w:noWrap w:val="0"/>
            <w:vAlign w:val="top"/>
          </w:tcPr>
          <w:p w14:paraId="03948116">
            <w:pPr>
              <w:jc w:val="center"/>
              <w:rPr>
                <w:rFonts w:hint="eastAsia" w:ascii="宋体" w:hAnsi="宋体" w:eastAsia="宋体" w:cs="宋体"/>
                <w:bCs/>
                <w:color w:val="auto"/>
                <w:sz w:val="21"/>
                <w:szCs w:val="21"/>
                <w:highlight w:val="none"/>
              </w:rPr>
            </w:pPr>
          </w:p>
          <w:p w14:paraId="3C2BD69F">
            <w:pPr>
              <w:jc w:val="center"/>
              <w:rPr>
                <w:rFonts w:hint="eastAsia" w:ascii="宋体" w:hAnsi="宋体" w:eastAsia="宋体" w:cs="宋体"/>
                <w:bCs/>
                <w:color w:val="auto"/>
                <w:sz w:val="21"/>
                <w:szCs w:val="21"/>
                <w:highlight w:val="none"/>
              </w:rPr>
            </w:pPr>
          </w:p>
          <w:p w14:paraId="17D6570D">
            <w:pPr>
              <w:jc w:val="center"/>
              <w:rPr>
                <w:rFonts w:hint="eastAsia" w:ascii="宋体" w:hAnsi="宋体" w:eastAsia="宋体" w:cs="宋体"/>
                <w:bCs/>
                <w:color w:val="auto"/>
                <w:sz w:val="21"/>
                <w:szCs w:val="21"/>
                <w:highlight w:val="none"/>
              </w:rPr>
            </w:pPr>
          </w:p>
          <w:p w14:paraId="4F210907">
            <w:pPr>
              <w:jc w:val="center"/>
              <w:rPr>
                <w:rFonts w:hint="eastAsia" w:ascii="宋体" w:hAnsi="宋体" w:eastAsia="宋体" w:cs="宋体"/>
                <w:bCs/>
                <w:color w:val="auto"/>
                <w:sz w:val="21"/>
                <w:szCs w:val="21"/>
                <w:highlight w:val="none"/>
              </w:rPr>
            </w:pPr>
          </w:p>
          <w:p w14:paraId="3B0F40F6">
            <w:pPr>
              <w:jc w:val="center"/>
              <w:rPr>
                <w:rFonts w:hint="eastAsia" w:ascii="宋体" w:hAnsi="宋体" w:eastAsia="宋体" w:cs="宋体"/>
                <w:bCs/>
                <w:color w:val="auto"/>
                <w:sz w:val="21"/>
                <w:szCs w:val="21"/>
                <w:highlight w:val="none"/>
              </w:rPr>
            </w:pPr>
          </w:p>
          <w:p w14:paraId="0CDA6EAB">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及技术</w:t>
            </w:r>
            <w:r>
              <w:rPr>
                <w:rFonts w:hint="eastAsia" w:ascii="宋体" w:hAnsi="宋体" w:eastAsia="宋体" w:cs="宋体"/>
                <w:bCs/>
                <w:color w:val="auto"/>
                <w:sz w:val="21"/>
                <w:szCs w:val="21"/>
                <w:highlight w:val="none"/>
                <w:lang w:val="en-US" w:eastAsia="zh-CN"/>
              </w:rPr>
              <w:t>要求</w:t>
            </w:r>
          </w:p>
        </w:tc>
        <w:tc>
          <w:tcPr>
            <w:tcW w:w="52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358E40">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D870605">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标的的名称</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84BC48C">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单位</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4F48624">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数量</w:t>
            </w:r>
          </w:p>
        </w:tc>
        <w:tc>
          <w:tcPr>
            <w:tcW w:w="5820" w:type="dxa"/>
            <w:tcBorders>
              <w:top w:val="single" w:color="auto" w:sz="4" w:space="0"/>
              <w:left w:val="single" w:color="auto" w:sz="4" w:space="0"/>
              <w:bottom w:val="single" w:color="auto" w:sz="4" w:space="0"/>
              <w:right w:val="single" w:color="auto" w:sz="4" w:space="0"/>
            </w:tcBorders>
            <w:noWrap w:val="0"/>
            <w:vAlign w:val="center"/>
          </w:tcPr>
          <w:p w14:paraId="5AC1EB56">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0784E23">
            <w:pPr>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中小企业划分标准所属行业</w:t>
            </w:r>
          </w:p>
        </w:tc>
      </w:tr>
      <w:tr w14:paraId="04A58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84" w:type="dxa"/>
            <w:vMerge w:val="continue"/>
            <w:tcBorders>
              <w:left w:val="single" w:color="auto" w:sz="4" w:space="0"/>
              <w:right w:val="single" w:color="auto" w:sz="4" w:space="0"/>
            </w:tcBorders>
            <w:noWrap w:val="0"/>
            <w:vAlign w:val="top"/>
          </w:tcPr>
          <w:p w14:paraId="77D0F13D">
            <w:pPr>
              <w:jc w:val="center"/>
              <w:rPr>
                <w:rFonts w:hint="eastAsia" w:ascii="宋体" w:hAnsi="宋体" w:eastAsia="宋体" w:cs="宋体"/>
                <w:bCs/>
                <w:color w:val="auto"/>
                <w:sz w:val="21"/>
                <w:szCs w:val="21"/>
                <w:highlight w:val="none"/>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1C27610D">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9A9AE8E">
            <w:pPr>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eastAsia="zh-CN"/>
              </w:rPr>
              <w:t>百色市田阳区2座中型水库、2座小（Ⅰ）型水库水权交易水资源特许经营项目实施方案编制服务</w:t>
            </w:r>
            <w:r>
              <w:rPr>
                <w:rFonts w:hint="eastAsia" w:ascii="宋体" w:hAnsi="宋体" w:eastAsia="宋体" w:cs="宋体"/>
                <w:color w:val="auto"/>
                <w:sz w:val="21"/>
                <w:szCs w:val="21"/>
                <w:highlight w:val="none"/>
              </w:rPr>
              <w:t xml:space="preserve"> </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65AC75F">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35224F6">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820" w:type="dxa"/>
            <w:tcBorders>
              <w:top w:val="single" w:color="auto" w:sz="4" w:space="0"/>
              <w:left w:val="single" w:color="auto" w:sz="4" w:space="0"/>
              <w:bottom w:val="single" w:color="auto" w:sz="4" w:space="0"/>
              <w:right w:val="single" w:color="auto" w:sz="4" w:space="0"/>
            </w:tcBorders>
            <w:noWrap w:val="0"/>
            <w:vAlign w:val="center"/>
          </w:tcPr>
          <w:p w14:paraId="2D0278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一、服务</w:t>
            </w:r>
            <w:r>
              <w:rPr>
                <w:rFonts w:hint="eastAsia" w:ascii="宋体" w:hAnsi="宋体" w:eastAsia="宋体" w:cs="宋体"/>
                <w:color w:val="auto"/>
                <w:sz w:val="21"/>
                <w:szCs w:val="21"/>
                <w:lang w:val="en-US" w:eastAsia="zh-CN"/>
              </w:rPr>
              <w:t>目标</w:t>
            </w:r>
          </w:p>
          <w:p w14:paraId="1CFEC8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依据水利部2016年颁发的第156号令《水权交易管理暂行办法》，开展区域水权交易，应当通过水权交易平台公告其转让、受让意向，寻求确定交易对象，明确可交易水量、交易期限、交易价格等事项。</w:t>
            </w:r>
          </w:p>
          <w:p w14:paraId="7AF432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二、服务</w:t>
            </w:r>
            <w:r>
              <w:rPr>
                <w:rFonts w:hint="eastAsia" w:ascii="宋体" w:hAnsi="宋体" w:eastAsia="宋体" w:cs="宋体"/>
                <w:color w:val="auto"/>
                <w:sz w:val="21"/>
                <w:szCs w:val="21"/>
                <w:lang w:val="en-US" w:eastAsia="zh-CN"/>
              </w:rPr>
              <w:t>内容</w:t>
            </w:r>
          </w:p>
          <w:p w14:paraId="4612C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本项目为针对百色市田阳区2座中型水库、2座小（Ⅰ）型水库（</w:t>
            </w:r>
            <w:r>
              <w:rPr>
                <w:rFonts w:hint="eastAsia" w:ascii="宋体" w:hAnsi="宋体" w:cs="宋体"/>
                <w:color w:val="auto"/>
                <w:sz w:val="21"/>
                <w:szCs w:val="21"/>
                <w:lang w:val="en-US" w:eastAsia="zh-CN"/>
              </w:rPr>
              <w:t>那音水库、惠洞水库、兴达水库、下花水库</w:t>
            </w:r>
            <w:r>
              <w:rPr>
                <w:rFonts w:hint="eastAsia" w:ascii="宋体" w:hAnsi="宋体" w:eastAsia="宋体" w:cs="宋体"/>
                <w:color w:val="auto"/>
                <w:sz w:val="21"/>
                <w:szCs w:val="21"/>
                <w:lang w:val="en-US" w:eastAsia="zh-CN"/>
              </w:rPr>
              <w:t>）取水</w:t>
            </w:r>
            <w:r>
              <w:rPr>
                <w:rFonts w:hint="eastAsia" w:ascii="宋体" w:hAnsi="宋体" w:cs="宋体"/>
                <w:color w:val="auto"/>
                <w:sz w:val="21"/>
                <w:szCs w:val="21"/>
                <w:lang w:val="en-US" w:eastAsia="zh-CN"/>
              </w:rPr>
              <w:t>权</w:t>
            </w:r>
            <w:r>
              <w:rPr>
                <w:rFonts w:hint="eastAsia" w:ascii="宋体" w:hAnsi="宋体" w:eastAsia="宋体" w:cs="宋体"/>
                <w:color w:val="auto"/>
                <w:sz w:val="21"/>
                <w:szCs w:val="21"/>
                <w:lang w:val="en-US" w:eastAsia="zh-CN"/>
              </w:rPr>
              <w:t>的</w:t>
            </w:r>
            <w:r>
              <w:rPr>
                <w:rFonts w:hint="eastAsia" w:ascii="宋体" w:hAnsi="宋体" w:cs="宋体"/>
                <w:color w:val="auto"/>
                <w:sz w:val="21"/>
                <w:szCs w:val="21"/>
                <w:lang w:val="en-US" w:eastAsia="zh-CN"/>
              </w:rPr>
              <w:t>水资源特许经营实施方案编制</w:t>
            </w:r>
            <w:r>
              <w:rPr>
                <w:rFonts w:hint="eastAsia" w:ascii="宋体" w:hAnsi="宋体" w:eastAsia="宋体" w:cs="宋体"/>
                <w:color w:val="auto"/>
                <w:sz w:val="21"/>
                <w:szCs w:val="21"/>
                <w:lang w:val="en-US" w:eastAsia="zh-CN"/>
              </w:rPr>
              <w:t>项目，要求根据本项目的实际情况，本着科学、合理的原则，对百色市田阳区2座中型水库、2座小（Ⅰ）型水库</w:t>
            </w:r>
            <w:r>
              <w:rPr>
                <w:rFonts w:hint="eastAsia" w:ascii="宋体" w:hAnsi="宋体" w:cs="宋体"/>
                <w:color w:val="auto"/>
                <w:sz w:val="21"/>
                <w:szCs w:val="21"/>
                <w:lang w:val="en-US" w:eastAsia="zh-CN"/>
              </w:rPr>
              <w:t>编制水权交易水资源特许经营实施方案，制定详细的交易实施计划，对交易资产、交易方式及可行性进行深入分析</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编制方案</w:t>
            </w:r>
            <w:r>
              <w:rPr>
                <w:rFonts w:hint="eastAsia" w:ascii="宋体" w:hAnsi="宋体" w:eastAsia="宋体" w:cs="宋体"/>
                <w:color w:val="auto"/>
                <w:sz w:val="21"/>
                <w:szCs w:val="21"/>
                <w:lang w:val="en-US" w:eastAsia="zh-CN"/>
              </w:rPr>
              <w:t>内容包括</w:t>
            </w:r>
            <w:r>
              <w:rPr>
                <w:rFonts w:hint="eastAsia" w:ascii="宋体" w:hAnsi="宋体" w:cs="宋体"/>
                <w:color w:val="auto"/>
                <w:sz w:val="21"/>
                <w:szCs w:val="21"/>
                <w:lang w:val="en-US" w:eastAsia="zh-CN"/>
              </w:rPr>
              <w:t>但不限于项目可行性分析、特许经营模式可行性论证、特许经营范围、实施方式、特许经营期限和资产权属、特许经营主要原则和合作边界、特许经营者选择</w:t>
            </w:r>
            <w:r>
              <w:rPr>
                <w:rFonts w:hint="eastAsia" w:ascii="宋体" w:hAnsi="宋体" w:eastAsia="宋体" w:cs="宋体"/>
                <w:color w:val="auto"/>
                <w:sz w:val="21"/>
                <w:szCs w:val="21"/>
                <w:lang w:val="en-US" w:eastAsia="zh-CN"/>
              </w:rPr>
              <w:t>等，为水行政主管部门进行水权交易提供科学依据。</w:t>
            </w:r>
          </w:p>
          <w:p w14:paraId="434328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三、服务</w:t>
            </w:r>
            <w:r>
              <w:rPr>
                <w:rFonts w:hint="eastAsia" w:ascii="宋体" w:hAnsi="宋体" w:eastAsia="宋体" w:cs="宋体"/>
                <w:color w:val="auto"/>
                <w:sz w:val="21"/>
                <w:szCs w:val="21"/>
                <w:lang w:val="en-US" w:eastAsia="zh-CN"/>
              </w:rPr>
              <w:t>成果</w:t>
            </w:r>
          </w:p>
          <w:p w14:paraId="39C556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提供百色市田阳区2座中型水库、2座小（Ⅰ）型水库水权交易水资源特许经营实施方案</w:t>
            </w:r>
            <w:r>
              <w:rPr>
                <w:rFonts w:hint="eastAsia" w:ascii="宋体" w:hAnsi="宋体" w:cs="宋体"/>
                <w:color w:val="auto"/>
                <w:sz w:val="21"/>
                <w:szCs w:val="21"/>
                <w:lang w:val="en-US" w:eastAsia="zh-CN"/>
              </w:rPr>
              <w:t>报告</w:t>
            </w:r>
            <w:r>
              <w:rPr>
                <w:rFonts w:hint="eastAsia" w:ascii="宋体" w:hAnsi="宋体" w:eastAsia="宋体" w:cs="宋体"/>
                <w:color w:val="auto"/>
                <w:sz w:val="21"/>
                <w:szCs w:val="21"/>
                <w:highlight w:val="none"/>
                <w:lang w:val="en-US" w:eastAsia="zh-CN"/>
              </w:rPr>
              <w:t>及附件等。</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F590F90">
            <w:pP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其他未列明行业</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p>
          <w:p w14:paraId="783C13E8">
            <w:pPr>
              <w:ind w:firstLine="420" w:firstLineChars="200"/>
              <w:rPr>
                <w:rFonts w:hint="eastAsia" w:ascii="宋体" w:hAnsi="宋体" w:eastAsia="宋体" w:cs="宋体"/>
                <w:bCs/>
                <w:color w:val="auto"/>
                <w:sz w:val="21"/>
                <w:szCs w:val="21"/>
                <w:highlight w:val="none"/>
              </w:rPr>
            </w:pPr>
          </w:p>
          <w:p w14:paraId="6C83352C">
            <w:pPr>
              <w:rPr>
                <w:rFonts w:hint="eastAsia" w:ascii="宋体" w:hAnsi="宋体" w:eastAsia="宋体" w:cs="宋体"/>
                <w:bCs/>
                <w:color w:val="auto"/>
                <w:sz w:val="21"/>
                <w:szCs w:val="21"/>
                <w:highlight w:val="none"/>
              </w:rPr>
            </w:pPr>
          </w:p>
        </w:tc>
      </w:tr>
      <w:tr w14:paraId="7DA9D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restart"/>
            <w:tcBorders>
              <w:top w:val="single" w:color="auto" w:sz="4" w:space="0"/>
              <w:left w:val="single" w:color="auto" w:sz="4" w:space="0"/>
              <w:right w:val="single" w:color="auto" w:sz="4" w:space="0"/>
            </w:tcBorders>
            <w:noWrap w:val="0"/>
            <w:vAlign w:val="top"/>
          </w:tcPr>
          <w:p w14:paraId="54999FD3">
            <w:pPr>
              <w:jc w:val="center"/>
              <w:rPr>
                <w:rFonts w:hint="eastAsia" w:ascii="宋体" w:hAnsi="宋体" w:eastAsia="宋体" w:cs="宋体"/>
                <w:bCs/>
                <w:color w:val="auto"/>
                <w:sz w:val="21"/>
                <w:szCs w:val="21"/>
                <w:highlight w:val="none"/>
              </w:rPr>
            </w:pPr>
          </w:p>
          <w:p w14:paraId="683D872E">
            <w:pPr>
              <w:jc w:val="center"/>
              <w:rPr>
                <w:rFonts w:hint="eastAsia" w:ascii="宋体" w:hAnsi="宋体" w:eastAsia="宋体" w:cs="宋体"/>
                <w:bCs/>
                <w:color w:val="auto"/>
                <w:sz w:val="21"/>
                <w:szCs w:val="21"/>
                <w:highlight w:val="none"/>
              </w:rPr>
            </w:pPr>
          </w:p>
          <w:p w14:paraId="237184DB">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p w14:paraId="654AD653">
            <w:pPr>
              <w:pStyle w:val="19"/>
              <w:adjustRightInd/>
              <w:spacing w:after="120" w:afterLines="50" w:line="360" w:lineRule="auto"/>
              <w:ind w:left="0" w:leftChars="0" w:firstLine="210" w:firstLineChars="100"/>
              <w:textAlignment w:val="auto"/>
              <w:rPr>
                <w:rFonts w:hint="eastAsia" w:ascii="宋体" w:hAnsi="宋体" w:eastAsia="宋体" w:cs="宋体"/>
                <w:bCs/>
                <w:color w:val="auto"/>
                <w:sz w:val="21"/>
                <w:szCs w:val="21"/>
                <w:highlight w:val="none"/>
              </w:rPr>
            </w:pPr>
          </w:p>
          <w:p w14:paraId="38B7417C">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商务条款</w:t>
            </w: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5B262932">
            <w:pPr>
              <w:snapToGrid w:val="0"/>
              <w:spacing w:before="0" w:beforeAutospacing="0" w:after="0" w:afterAutospacing="0" w:line="360" w:lineRule="auto"/>
              <w:jc w:val="both"/>
              <w:textAlignment w:val="baseline"/>
              <w:rPr>
                <w:rFonts w:hint="eastAsia" w:ascii="宋体" w:hAnsi="宋体" w:eastAsia="宋体" w:cs="宋体"/>
                <w:color w:val="auto"/>
                <w:sz w:val="21"/>
                <w:szCs w:val="21"/>
                <w:highlight w:val="none"/>
                <w:lang w:val="en-US" w:eastAsia="zh-CN"/>
              </w:rPr>
            </w:pP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提交成果时间</w:t>
            </w:r>
            <w:r>
              <w:rPr>
                <w:rStyle w:val="98"/>
                <w:rFonts w:hint="eastAsia" w:ascii="宋体" w:hAnsi="宋体" w:cs="宋体"/>
                <w:b w:val="0"/>
                <w:bCs w:val="0"/>
                <w:i w:val="0"/>
                <w:caps w:val="0"/>
                <w:color w:val="auto"/>
                <w:spacing w:val="0"/>
                <w:w w:val="100"/>
                <w:kern w:val="2"/>
                <w:sz w:val="21"/>
                <w:szCs w:val="21"/>
                <w:highlight w:val="none"/>
                <w:lang w:val="en-US" w:eastAsia="zh-CN" w:bidi="ar-SA"/>
              </w:rPr>
              <w:t>及服务</w:t>
            </w: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地点</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7B45071D">
            <w:pPr>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提交成果时间</w:t>
            </w:r>
            <w:r>
              <w:rPr>
                <w:rStyle w:val="98"/>
                <w:rFonts w:hint="eastAsia" w:ascii="宋体" w:hAnsi="宋体" w:cs="宋体"/>
                <w:b w:val="0"/>
                <w:bCs w:val="0"/>
                <w:i w:val="0"/>
                <w:caps w:val="0"/>
                <w:color w:val="auto"/>
                <w:spacing w:val="0"/>
                <w:w w:val="100"/>
                <w:kern w:val="2"/>
                <w:sz w:val="21"/>
                <w:szCs w:val="21"/>
                <w:highlight w:val="none"/>
                <w:lang w:val="en-US" w:eastAsia="zh-CN" w:bidi="ar-SA"/>
              </w:rPr>
              <w:t>：</w:t>
            </w:r>
            <w:r>
              <w:rPr>
                <w:rStyle w:val="98"/>
                <w:rFonts w:hint="eastAsia" w:ascii="宋体" w:hAnsi="宋体" w:eastAsia="宋体" w:cs="宋体"/>
                <w:b w:val="0"/>
                <w:i w:val="0"/>
                <w:caps w:val="0"/>
                <w:color w:val="auto"/>
                <w:spacing w:val="0"/>
                <w:w w:val="100"/>
                <w:sz w:val="21"/>
                <w:szCs w:val="21"/>
                <w:highlight w:val="none"/>
                <w:lang w:val="en-US" w:eastAsia="zh-CN"/>
              </w:rPr>
              <w:t>2025年</w:t>
            </w:r>
            <w:r>
              <w:rPr>
                <w:rStyle w:val="98"/>
                <w:rFonts w:hint="eastAsia" w:ascii="宋体" w:hAnsi="宋体" w:cs="宋体"/>
                <w:b w:val="0"/>
                <w:i w:val="0"/>
                <w:caps w:val="0"/>
                <w:color w:val="auto"/>
                <w:spacing w:val="0"/>
                <w:w w:val="100"/>
                <w:sz w:val="21"/>
                <w:szCs w:val="21"/>
                <w:highlight w:val="none"/>
                <w:lang w:val="en-US" w:eastAsia="zh-CN"/>
              </w:rPr>
              <w:t>12</w:t>
            </w:r>
            <w:r>
              <w:rPr>
                <w:rStyle w:val="98"/>
                <w:rFonts w:hint="eastAsia" w:ascii="宋体" w:hAnsi="宋体" w:eastAsia="宋体" w:cs="宋体"/>
                <w:b w:val="0"/>
                <w:i w:val="0"/>
                <w:caps w:val="0"/>
                <w:color w:val="auto"/>
                <w:spacing w:val="0"/>
                <w:w w:val="100"/>
                <w:sz w:val="21"/>
                <w:szCs w:val="21"/>
                <w:highlight w:val="none"/>
                <w:lang w:val="en-US" w:eastAsia="zh-CN"/>
              </w:rPr>
              <w:t xml:space="preserve"> 月 31 日前提交成果并通过验收。</w:t>
            </w:r>
          </w:p>
          <w:p w14:paraId="6CA00F2D">
            <w:pPr>
              <w:snapToGrid w:val="0"/>
              <w:spacing w:before="0" w:beforeAutospacing="0" w:after="0" w:afterAutospacing="0" w:line="360" w:lineRule="auto"/>
              <w:jc w:val="both"/>
              <w:textAlignment w:val="baseline"/>
              <w:rPr>
                <w:rFonts w:hint="eastAsia" w:ascii="宋体" w:hAnsi="宋体" w:eastAsia="宋体" w:cs="宋体"/>
                <w:color w:val="auto"/>
                <w:sz w:val="21"/>
                <w:szCs w:val="21"/>
                <w:highlight w:val="none"/>
                <w:lang w:val="en-US" w:eastAsia="zh-CN"/>
              </w:rPr>
            </w:pPr>
            <w:r>
              <w:rPr>
                <w:rStyle w:val="98"/>
                <w:rFonts w:hint="eastAsia" w:ascii="宋体" w:hAnsi="宋体" w:cs="宋体"/>
                <w:b w:val="0"/>
                <w:bCs w:val="0"/>
                <w:i w:val="0"/>
                <w:caps w:val="0"/>
                <w:color w:val="auto"/>
                <w:spacing w:val="0"/>
                <w:w w:val="100"/>
                <w:kern w:val="2"/>
                <w:sz w:val="21"/>
                <w:szCs w:val="21"/>
                <w:highlight w:val="none"/>
                <w:lang w:val="en-US" w:eastAsia="zh-CN" w:bidi="ar-SA"/>
              </w:rPr>
              <w:t>服务</w:t>
            </w:r>
            <w:r>
              <w:rPr>
                <w:rStyle w:val="98"/>
                <w:rFonts w:hint="eastAsia" w:ascii="宋体" w:hAnsi="宋体" w:eastAsia="宋体" w:cs="宋体"/>
                <w:b w:val="0"/>
                <w:bCs w:val="0"/>
                <w:i w:val="0"/>
                <w:caps w:val="0"/>
                <w:color w:val="auto"/>
                <w:spacing w:val="0"/>
                <w:w w:val="100"/>
                <w:kern w:val="2"/>
                <w:sz w:val="21"/>
                <w:szCs w:val="21"/>
                <w:highlight w:val="none"/>
                <w:lang w:val="en-US" w:eastAsia="zh-CN" w:bidi="ar-SA"/>
              </w:rPr>
              <w:t>地点</w:t>
            </w:r>
            <w:r>
              <w:rPr>
                <w:rStyle w:val="98"/>
                <w:rFonts w:hint="eastAsia" w:ascii="宋体" w:hAnsi="宋体" w:cs="宋体"/>
                <w:b w:val="0"/>
                <w:bCs w:val="0"/>
                <w:i w:val="0"/>
                <w:caps w:val="0"/>
                <w:color w:val="auto"/>
                <w:spacing w:val="0"/>
                <w:w w:val="100"/>
                <w:kern w:val="2"/>
                <w:sz w:val="21"/>
                <w:szCs w:val="21"/>
                <w:highlight w:val="none"/>
                <w:lang w:val="en-US" w:eastAsia="zh-CN" w:bidi="ar-SA"/>
              </w:rPr>
              <w:t>：</w:t>
            </w:r>
            <w:r>
              <w:rPr>
                <w:rStyle w:val="98"/>
                <w:rFonts w:hint="eastAsia" w:ascii="宋体" w:hAnsi="宋体" w:eastAsia="宋体" w:cs="宋体"/>
                <w:b w:val="0"/>
                <w:i w:val="0"/>
                <w:caps w:val="0"/>
                <w:color w:val="auto"/>
                <w:spacing w:val="0"/>
                <w:w w:val="100"/>
                <w:kern w:val="2"/>
                <w:sz w:val="21"/>
                <w:szCs w:val="21"/>
                <w:highlight w:val="none"/>
                <w:lang w:val="en-US" w:eastAsia="zh-CN" w:bidi="ar-SA"/>
              </w:rPr>
              <w:t>采购人指定地点</w:t>
            </w:r>
          </w:p>
        </w:tc>
      </w:tr>
      <w:tr w14:paraId="2230A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continue"/>
            <w:tcBorders>
              <w:left w:val="single" w:color="auto" w:sz="4" w:space="0"/>
              <w:right w:val="single" w:color="auto" w:sz="4" w:space="0"/>
            </w:tcBorders>
            <w:noWrap w:val="0"/>
            <w:vAlign w:val="top"/>
          </w:tcPr>
          <w:p w14:paraId="45288A6A">
            <w:pPr>
              <w:pStyle w:val="19"/>
              <w:adjustRightInd/>
              <w:spacing w:after="120" w:afterLines="50" w:line="360" w:lineRule="auto"/>
              <w:ind w:left="0" w:leftChars="0" w:right="33" w:rightChars="0" w:firstLine="210" w:firstLineChars="100"/>
              <w:textAlignment w:val="auto"/>
              <w:rPr>
                <w:rFonts w:hint="eastAsia" w:ascii="宋体" w:hAnsi="宋体" w:eastAsia="宋体" w:cs="宋体"/>
                <w:bCs/>
                <w:color w:val="auto"/>
                <w:sz w:val="21"/>
                <w:szCs w:val="21"/>
                <w:highlight w:val="none"/>
              </w:rPr>
            </w:pP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07F0DB74">
            <w:pPr>
              <w:pStyle w:val="19"/>
              <w:adjustRightInd/>
              <w:spacing w:line="240" w:lineRule="auto"/>
              <w:ind w:left="0" w:leftChars="0" w:right="0"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r>
              <w:rPr>
                <w:rFonts w:hint="eastAsia" w:ascii="宋体" w:hAnsi="宋体" w:cs="宋体"/>
                <w:bCs/>
                <w:color w:val="auto"/>
                <w:sz w:val="21"/>
                <w:szCs w:val="21"/>
                <w:highlight w:val="none"/>
                <w:lang w:val="en-US" w:eastAsia="zh-CN"/>
              </w:rPr>
              <w:t>其他要求</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1D69C83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 xml:space="preserve">1、完成采购人指定服务内容的基本费用（包含但不限于方案的评审费、成果验收费等）； </w:t>
            </w:r>
          </w:p>
          <w:p w14:paraId="76316BE9">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2、完成项目所需的全部人工费用（包含但不限于派出工作人员的交通费、住宿费、伙食补助费等）；</w:t>
            </w:r>
          </w:p>
          <w:p w14:paraId="74022E6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 xml:space="preserve">3、其他费用（包括但不限于知识产权、技术支持、售后服务等费用）； </w:t>
            </w:r>
          </w:p>
          <w:p w14:paraId="1697CB3E">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4、必要的保险费用和各项税费等一切完成本项目服务所需要的费用。</w:t>
            </w:r>
          </w:p>
        </w:tc>
      </w:tr>
      <w:tr w14:paraId="6A8BF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continue"/>
            <w:tcBorders>
              <w:left w:val="single" w:color="auto" w:sz="4" w:space="0"/>
              <w:right w:val="single" w:color="auto" w:sz="4" w:space="0"/>
            </w:tcBorders>
            <w:noWrap w:val="0"/>
            <w:vAlign w:val="top"/>
          </w:tcPr>
          <w:p w14:paraId="357AC055">
            <w:pPr>
              <w:pStyle w:val="19"/>
              <w:adjustRightInd/>
              <w:spacing w:after="120" w:afterLines="50" w:line="360" w:lineRule="auto"/>
              <w:ind w:left="0" w:leftChars="0" w:right="33" w:rightChars="0" w:firstLine="210" w:firstLineChars="100"/>
              <w:textAlignment w:val="auto"/>
              <w:rPr>
                <w:rFonts w:hint="eastAsia" w:ascii="宋体" w:hAnsi="宋体" w:eastAsia="宋体" w:cs="宋体"/>
                <w:bCs/>
                <w:color w:val="auto"/>
                <w:sz w:val="21"/>
                <w:szCs w:val="21"/>
                <w:highlight w:val="none"/>
              </w:rPr>
            </w:pP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15F9510B">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付款方式</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03238968">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本项目签订合同且成果文件审批通过后可申请支付合同价款的80%，项目获得取水权证后结清余款，付款前受托方须按委托方要求提供相应金额的正式发票。</w:t>
            </w:r>
          </w:p>
        </w:tc>
      </w:tr>
      <w:tr w14:paraId="73970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continue"/>
            <w:tcBorders>
              <w:left w:val="single" w:color="auto" w:sz="4" w:space="0"/>
              <w:right w:val="single" w:color="auto" w:sz="4" w:space="0"/>
            </w:tcBorders>
            <w:noWrap w:val="0"/>
            <w:vAlign w:val="top"/>
          </w:tcPr>
          <w:p w14:paraId="6DD5EFD3">
            <w:pPr>
              <w:pStyle w:val="19"/>
              <w:adjustRightInd/>
              <w:spacing w:after="120" w:afterLines="50" w:line="360" w:lineRule="auto"/>
              <w:ind w:left="0" w:leftChars="0" w:right="33" w:rightChars="0" w:firstLine="210" w:firstLineChars="100"/>
              <w:textAlignment w:val="auto"/>
              <w:rPr>
                <w:rFonts w:hint="eastAsia" w:ascii="宋体" w:hAnsi="宋体" w:eastAsia="宋体" w:cs="宋体"/>
                <w:bCs/>
                <w:color w:val="auto"/>
                <w:sz w:val="21"/>
                <w:szCs w:val="21"/>
                <w:highlight w:val="none"/>
              </w:rPr>
            </w:pP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0E1764E8">
            <w:pPr>
              <w:pStyle w:val="19"/>
              <w:adjustRightInd/>
              <w:spacing w:line="240" w:lineRule="auto"/>
              <w:ind w:left="0" w:leftChars="0" w:right="0"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服务质量要求</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36F28AA1">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lang w:val="en-US" w:eastAsia="zh-CN" w:bidi="ar-SA"/>
              </w:rPr>
              <w:t>编制质量符合国家现行相关规范标准的规定，达到主管部门评审标准，并通过评审。</w:t>
            </w:r>
          </w:p>
        </w:tc>
      </w:tr>
      <w:tr w14:paraId="58D2E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continue"/>
            <w:tcBorders>
              <w:left w:val="single" w:color="auto" w:sz="4" w:space="0"/>
              <w:right w:val="single" w:color="auto" w:sz="4" w:space="0"/>
            </w:tcBorders>
            <w:noWrap w:val="0"/>
            <w:vAlign w:val="top"/>
          </w:tcPr>
          <w:p w14:paraId="32795D21">
            <w:pPr>
              <w:pStyle w:val="19"/>
              <w:adjustRightInd/>
              <w:spacing w:after="120" w:afterLines="50" w:line="360" w:lineRule="auto"/>
              <w:ind w:left="0" w:leftChars="0" w:right="33" w:rightChars="0" w:firstLine="210" w:firstLineChars="100"/>
              <w:textAlignment w:val="auto"/>
              <w:rPr>
                <w:rFonts w:hint="eastAsia" w:ascii="宋体" w:hAnsi="宋体" w:eastAsia="宋体" w:cs="宋体"/>
                <w:bCs/>
                <w:color w:val="auto"/>
                <w:sz w:val="21"/>
                <w:szCs w:val="21"/>
                <w:highlight w:val="none"/>
              </w:rPr>
            </w:pP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228D9CDB">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后续服务</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0000DE37">
            <w:pPr>
              <w:pStyle w:val="19"/>
              <w:numPr>
                <w:ilvl w:val="0"/>
                <w:numId w:val="2"/>
              </w:numPr>
              <w:adjustRightInd/>
              <w:spacing w:after="120" w:afterLines="50" w:line="360" w:lineRule="auto"/>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电话咨询：成交供应商应当为采购人提供技术援助电话，解答采购人在使用中遇到的问题，及时为采购人提出解决问题的建议。</w:t>
            </w:r>
          </w:p>
          <w:p w14:paraId="401EDA2E">
            <w:pPr>
              <w:pStyle w:val="19"/>
              <w:numPr>
                <w:ilvl w:val="0"/>
                <w:numId w:val="0"/>
              </w:numPr>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现场响应：采购人遇到技术问题，电话咨询不能解决的，成交供应商应在12小时内到达现场进行处理，到达现场后24时内提出解决方案。</w:t>
            </w:r>
          </w:p>
        </w:tc>
      </w:tr>
      <w:tr w14:paraId="0ECF9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continue"/>
            <w:tcBorders>
              <w:left w:val="single" w:color="auto" w:sz="4" w:space="0"/>
              <w:right w:val="single" w:color="auto" w:sz="4" w:space="0"/>
            </w:tcBorders>
            <w:noWrap w:val="0"/>
            <w:vAlign w:val="top"/>
          </w:tcPr>
          <w:p w14:paraId="4632D37C">
            <w:pPr>
              <w:pStyle w:val="19"/>
              <w:adjustRightInd/>
              <w:spacing w:after="120" w:afterLines="50" w:line="360" w:lineRule="auto"/>
              <w:ind w:left="0" w:leftChars="0" w:right="33" w:rightChars="0" w:firstLine="210" w:firstLineChars="100"/>
              <w:textAlignment w:val="auto"/>
              <w:rPr>
                <w:rFonts w:hint="eastAsia" w:ascii="宋体" w:hAnsi="宋体" w:eastAsia="宋体" w:cs="宋体"/>
                <w:bCs/>
                <w:color w:val="auto"/>
                <w:sz w:val="21"/>
                <w:szCs w:val="21"/>
                <w:highlight w:val="none"/>
              </w:rPr>
            </w:pP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7B4F7E25">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保密要求</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73A592AC">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成交供应商须严格遵守采购人保密制度要求，在项目开展过程中，对本项目所有项目信息以及接触到的数据予以保密，未经采购人书面允许，不得以任何形式向第三方透露本项目的任何内容，如出现业务数据、涉密数据泄漏，采购人将终止服务合同，并追究法律责任。</w:t>
            </w:r>
          </w:p>
        </w:tc>
      </w:tr>
      <w:tr w14:paraId="41DE3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continue"/>
            <w:tcBorders>
              <w:left w:val="single" w:color="auto" w:sz="4" w:space="0"/>
              <w:right w:val="single" w:color="auto" w:sz="4" w:space="0"/>
            </w:tcBorders>
            <w:noWrap w:val="0"/>
            <w:vAlign w:val="top"/>
          </w:tcPr>
          <w:p w14:paraId="1B6A947C">
            <w:pPr>
              <w:pStyle w:val="19"/>
              <w:adjustRightInd/>
              <w:spacing w:after="120" w:afterLines="50" w:line="360" w:lineRule="auto"/>
              <w:ind w:left="0" w:leftChars="0" w:right="33" w:rightChars="0" w:firstLine="210" w:firstLineChars="100"/>
              <w:textAlignment w:val="auto"/>
              <w:rPr>
                <w:rFonts w:hint="eastAsia" w:ascii="宋体" w:hAnsi="宋体" w:eastAsia="宋体" w:cs="宋体"/>
                <w:bCs/>
                <w:color w:val="auto"/>
                <w:sz w:val="21"/>
                <w:szCs w:val="21"/>
                <w:highlight w:val="none"/>
              </w:rPr>
            </w:pP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1E26BF11">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知识产权</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3725C620">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7744C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484" w:type="dxa"/>
            <w:vMerge w:val="continue"/>
            <w:tcBorders>
              <w:left w:val="single" w:color="auto" w:sz="4" w:space="0"/>
              <w:bottom w:val="single" w:color="auto" w:sz="4" w:space="0"/>
              <w:right w:val="single" w:color="auto" w:sz="4" w:space="0"/>
            </w:tcBorders>
            <w:noWrap w:val="0"/>
            <w:vAlign w:val="top"/>
          </w:tcPr>
          <w:p w14:paraId="7A32D332">
            <w:pPr>
              <w:pStyle w:val="19"/>
              <w:adjustRightInd/>
              <w:spacing w:after="120" w:afterLines="50" w:line="360" w:lineRule="auto"/>
              <w:ind w:left="0" w:leftChars="0" w:right="33" w:rightChars="0" w:firstLine="210" w:firstLineChars="100"/>
              <w:textAlignment w:val="auto"/>
              <w:rPr>
                <w:rFonts w:hint="eastAsia" w:ascii="宋体" w:hAnsi="宋体" w:eastAsia="宋体" w:cs="宋体"/>
                <w:bCs/>
                <w:color w:val="auto"/>
                <w:sz w:val="21"/>
                <w:szCs w:val="21"/>
                <w:highlight w:val="none"/>
              </w:rPr>
            </w:pPr>
          </w:p>
        </w:tc>
        <w:tc>
          <w:tcPr>
            <w:tcW w:w="1610" w:type="dxa"/>
            <w:gridSpan w:val="2"/>
            <w:tcBorders>
              <w:top w:val="single" w:color="auto" w:sz="4" w:space="0"/>
              <w:left w:val="single" w:color="auto" w:sz="4" w:space="0"/>
              <w:bottom w:val="single" w:color="auto" w:sz="4" w:space="0"/>
              <w:right w:val="single" w:color="auto" w:sz="4" w:space="0"/>
            </w:tcBorders>
            <w:noWrap w:val="0"/>
            <w:vAlign w:val="top"/>
          </w:tcPr>
          <w:p w14:paraId="762E4485">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验收要求及标准</w:t>
            </w:r>
          </w:p>
        </w:tc>
        <w:tc>
          <w:tcPr>
            <w:tcW w:w="8100" w:type="dxa"/>
            <w:gridSpan w:val="4"/>
            <w:tcBorders>
              <w:top w:val="single" w:color="auto" w:sz="4" w:space="0"/>
              <w:left w:val="single" w:color="auto" w:sz="4" w:space="0"/>
              <w:bottom w:val="single" w:color="auto" w:sz="4" w:space="0"/>
              <w:right w:val="single" w:color="auto" w:sz="4" w:space="0"/>
            </w:tcBorders>
            <w:noWrap w:val="0"/>
            <w:vAlign w:val="top"/>
          </w:tcPr>
          <w:p w14:paraId="506457ED">
            <w:pPr>
              <w:pStyle w:val="19"/>
              <w:adjustRightInd/>
              <w:spacing w:after="120" w:afterLines="5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1、依据服务内容中主要技术政策依据标准要求进行验收。 </w:t>
            </w:r>
          </w:p>
          <w:p w14:paraId="6BB507F1">
            <w:pPr>
              <w:pStyle w:val="19"/>
              <w:adjustRightInd/>
              <w:spacing w:after="120" w:afterLines="5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2、严格按照《关于印发广西壮族自治区政府采购项目履约验收管理办法的通知》[桂财采〔2015〕22号]以及《财政部关于进一步加强政府采购需求和履约验收管理的指导意见》[财库〔2016〕205号]规定执行。</w:t>
            </w:r>
          </w:p>
          <w:p w14:paraId="39833E02">
            <w:pPr>
              <w:pStyle w:val="19"/>
              <w:adjustRightInd/>
              <w:spacing w:after="120" w:afterLines="50" w:line="360" w:lineRule="auto"/>
              <w:ind w:left="0" w:leftChars="0" w:right="33" w:righ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、采购人有权邀请相关部门及有关技术专家</w:t>
            </w:r>
            <w:r>
              <w:rPr>
                <w:rFonts w:hint="eastAsia" w:ascii="宋体" w:hAnsi="宋体" w:eastAsia="宋体" w:cs="宋体"/>
                <w:color w:val="auto"/>
                <w:sz w:val="21"/>
                <w:szCs w:val="21"/>
                <w:highlight w:val="none"/>
                <w:lang w:eastAsia="zh-CN"/>
              </w:rPr>
              <w:t>进行规划评审、</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人负责</w:t>
            </w:r>
            <w:r>
              <w:rPr>
                <w:rFonts w:hint="eastAsia" w:ascii="宋体" w:hAnsi="宋体" w:eastAsia="宋体" w:cs="宋体"/>
                <w:color w:val="auto"/>
                <w:sz w:val="21"/>
                <w:szCs w:val="21"/>
                <w:highlight w:val="none"/>
                <w:lang w:eastAsia="zh-CN"/>
              </w:rPr>
              <w:t>。</w:t>
            </w:r>
          </w:p>
        </w:tc>
      </w:tr>
    </w:tbl>
    <w:p w14:paraId="43CC1B8C">
      <w:pPr>
        <w:pStyle w:val="14"/>
        <w:keepNext w:val="0"/>
        <w:keepLines w:val="0"/>
        <w:pageBreakBefore w:val="0"/>
        <w:widowControl/>
        <w:kinsoku/>
        <w:wordWrap/>
        <w:overflowPunct/>
        <w:topLinePunct w:val="0"/>
        <w:autoSpaceDE/>
        <w:autoSpaceDN/>
        <w:bidi w:val="0"/>
        <w:adjustRightInd/>
        <w:spacing w:line="360" w:lineRule="auto"/>
        <w:textAlignment w:val="baseline"/>
        <w:rPr>
          <w:rFonts w:hint="eastAsia" w:ascii="宋体" w:hAnsi="宋体" w:eastAsia="宋体" w:cs="宋体"/>
          <w:b/>
          <w:color w:val="auto"/>
          <w:sz w:val="36"/>
          <w:szCs w:val="36"/>
          <w:highlight w:val="none"/>
          <w:lang w:eastAsia="zh-CN"/>
        </w:rPr>
        <w:sectPr>
          <w:footerReference r:id="rId10" w:type="first"/>
          <w:headerReference r:id="rId8" w:type="default"/>
          <w:footerReference r:id="rId9" w:type="default"/>
          <w:pgSz w:w="11906" w:h="16838"/>
          <w:pgMar w:top="1440" w:right="1080" w:bottom="1440" w:left="1080" w:header="851" w:footer="992" w:gutter="0"/>
          <w:pgNumType w:fmt="decimal"/>
          <w:cols w:space="720" w:num="1"/>
          <w:titlePg/>
          <w:rtlGutter w:val="0"/>
          <w:docGrid w:linePitch="312" w:charSpace="0"/>
        </w:sectPr>
      </w:pPr>
    </w:p>
    <w:p w14:paraId="33FE03B6">
      <w:pPr>
        <w:spacing w:line="428" w:lineRule="exact"/>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2099E927">
      <w:pPr>
        <w:spacing w:line="528" w:lineRule="exact"/>
        <w:ind w:left="1871" w:firstLine="1600" w:firstLineChars="4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6"/>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DEA930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DDD7DE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9890C8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1AF1A3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EC779B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9A0848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A94AE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0D3C7AC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8F67B6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92E99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01C6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0852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3B196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E838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584AF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4EC2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BA0C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B131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F0AC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3AA23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AC80C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A4AF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EE7CD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15E0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5CE3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48B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258029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186230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8EAAD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4CC8DD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1FD8A5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3B45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C4F1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3767F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60E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6D3CFA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6B3DC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0D393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182C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C787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AFB5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F411D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9A335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1C8C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63D654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3FCDB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BCE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18B36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96F06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EE8142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0C4CD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FE3F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5040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D209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2FEA4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28B70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03E36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46F2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D3A0E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08C5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BB6DC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08DD9A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1C62D5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8F7E2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1B25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6A90B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9E11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D97B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B9796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A0C68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BE7E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2AA4B5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14FC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81F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79FD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87365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6EBCA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C0DEE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3EED6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3BF3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251D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4084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045783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B2C5E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0C3A4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1C73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1CF4A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1274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525F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7D5E61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B6AB4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9D242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AA9B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6E6D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A735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5B5A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F3C2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E831A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2EC39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CC87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2BD9F1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73F6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580E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F9CC1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85E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29315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E37FA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031D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3C0A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AF803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58116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4194A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A4F5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F60DA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C857E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D663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DA023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D2516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0D2CD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5485F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1B72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82CF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23C97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16656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6FE16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7E2F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98F5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D63C8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8A430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B82E2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937A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66F35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17CC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6C6CC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0350A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27A8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C093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8CBC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5D08E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375F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C33F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26E41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5759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B6B7E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538C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27044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04A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4CD6C4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AE609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9C6D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F012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DA504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37461F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7AF6F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49D0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A7F9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7D5A17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9F9B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1EC1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5F125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3E9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88303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80DA7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652F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A7FD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41C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D2CAA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1EC35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EC6A6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110B6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D1D67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7AEE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2594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7838E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2CC67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1CC4C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50911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F675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6F65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FECA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ACED6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374CBF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295391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F12EF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38B6F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0660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12F51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59593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F1F61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57A65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5802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CFC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4897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3438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544B49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273608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19EF3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E327D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2FB34F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EC79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089A4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243D6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562A6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D2895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7562A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085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8B590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39DC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D4FA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B977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87026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3A229D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355F8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0D83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5A66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4AF8A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E8F8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32EB387">
      <w:pPr>
        <w:spacing w:line="560" w:lineRule="exact"/>
        <w:ind w:firstLine="525" w:firstLineChars="250"/>
        <w:rPr>
          <w:rFonts w:hint="eastAsia" w:ascii="宋体" w:hAnsi="宋体" w:eastAsia="宋体" w:cs="宋体"/>
          <w:color w:val="auto"/>
          <w:highlight w:val="none"/>
        </w:rPr>
        <w:sectPr>
          <w:pgSz w:w="11906" w:h="16838"/>
          <w:pgMar w:top="1440" w:right="1080" w:bottom="1440" w:left="1080" w:header="720" w:footer="720" w:gutter="0"/>
          <w:cols w:space="720" w:num="1"/>
          <w:docGrid w:type="lines" w:linePitch="331" w:charSpace="0"/>
        </w:sect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823F079">
      <w:pPr>
        <w:pStyle w:val="3"/>
        <w:numPr>
          <w:ilvl w:val="0"/>
          <w:numId w:val="1"/>
        </w:numPr>
        <w:spacing w:line="4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评审程序、评审方法和评审标准</w:t>
      </w:r>
      <w:bookmarkEnd w:id="35"/>
    </w:p>
    <w:p w14:paraId="1234CAEC">
      <w:pPr>
        <w:pStyle w:val="4"/>
        <w:jc w:val="center"/>
        <w:rPr>
          <w:rFonts w:hint="eastAsia" w:ascii="宋体" w:hAnsi="宋体" w:eastAsia="宋体" w:cs="宋体"/>
          <w:b w:val="0"/>
          <w:color w:val="auto"/>
          <w:highlight w:val="none"/>
          <w:lang w:val="en-US" w:eastAsia="zh-CN"/>
        </w:rPr>
      </w:pPr>
      <w:bookmarkStart w:id="36" w:name="_Toc80886938"/>
      <w:r>
        <w:rPr>
          <w:rFonts w:hint="eastAsia" w:ascii="宋体" w:hAnsi="宋体" w:eastAsia="宋体" w:cs="宋体"/>
          <w:b/>
          <w:bCs w:val="0"/>
          <w:color w:val="auto"/>
          <w:highlight w:val="none"/>
        </w:rPr>
        <w:t>第一节</w:t>
      </w:r>
      <w:r>
        <w:rPr>
          <w:rFonts w:hint="eastAsia" w:ascii="宋体" w:hAnsi="宋体" w:cs="宋体"/>
          <w:b/>
          <w:bCs w:val="0"/>
          <w:color w:val="auto"/>
          <w:highlight w:val="none"/>
          <w:lang w:val="en-US" w:eastAsia="zh-CN"/>
        </w:rPr>
        <w:t xml:space="preserve">  </w:t>
      </w:r>
      <w:r>
        <w:rPr>
          <w:rFonts w:hint="eastAsia" w:ascii="宋体" w:hAnsi="宋体" w:eastAsia="宋体" w:cs="宋体"/>
          <w:b/>
          <w:bCs w:val="0"/>
          <w:color w:val="auto"/>
          <w:highlight w:val="none"/>
        </w:rPr>
        <w:t>评审程序和评审</w:t>
      </w:r>
      <w:bookmarkEnd w:id="36"/>
      <w:r>
        <w:rPr>
          <w:rFonts w:hint="eastAsia" w:ascii="宋体" w:hAnsi="宋体" w:eastAsia="宋体" w:cs="宋体"/>
          <w:b/>
          <w:bCs w:val="0"/>
          <w:color w:val="auto"/>
          <w:highlight w:val="none"/>
          <w:lang w:val="en-US" w:eastAsia="zh-CN"/>
        </w:rPr>
        <w:t>标准</w:t>
      </w:r>
    </w:p>
    <w:p w14:paraId="3BEDCB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66BAED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7F960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71D8D3F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586FA837">
      <w:pPr>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资格审查小组</w:t>
      </w:r>
      <w:r>
        <w:rPr>
          <w:rFonts w:hint="eastAsia" w:ascii="宋体" w:hAnsi="宋体" w:eastAsia="宋体" w:cs="宋体"/>
          <w:color w:val="auto"/>
          <w:szCs w:val="21"/>
          <w:highlight w:val="none"/>
        </w:rPr>
        <w:t>在资格审查结束前，对供应商进行信用查询。</w:t>
      </w:r>
    </w:p>
    <w:p w14:paraId="1D13E89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highlight w:val="none"/>
          <w:u w:val="singl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highlight w:val="none"/>
          <w:u w:val="single"/>
        </w:rPr>
        <w:fldChar w:fldCharType="end"/>
      </w:r>
      <w:r>
        <w:rPr>
          <w:rFonts w:hint="eastAsia" w:ascii="宋体" w:hAnsi="宋体" w:eastAsia="宋体" w:cs="宋体"/>
          <w:color w:val="auto"/>
          <w:szCs w:val="21"/>
          <w:highlight w:val="none"/>
        </w:rPr>
        <w:t>)链接入口。</w:t>
      </w:r>
    </w:p>
    <w:p w14:paraId="77591AA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487C5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1A71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AA8CC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170E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57548BC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14D2D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A8804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DDFDCB9">
      <w:pPr>
        <w:spacing w:line="360" w:lineRule="auto"/>
        <w:ind w:firstLine="420" w:firstLineChars="200"/>
        <w:rPr>
          <w:rFonts w:hint="eastAsia" w:ascii="宋体" w:hAnsi="宋体" w:eastAsia="宋体" w:cs="宋体"/>
          <w:color w:val="auto"/>
          <w:szCs w:val="21"/>
          <w:highlight w:val="none"/>
        </w:rPr>
      </w:pPr>
      <w:bookmarkStart w:id="37"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37"/>
    </w:p>
    <w:p w14:paraId="0AC72E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5F376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0ADF9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67C761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AABF0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514742C">
      <w:pPr>
        <w:keepNext w:val="0"/>
        <w:keepLines w:val="0"/>
        <w:pageBreakBefore w:val="0"/>
        <w:kinsoku/>
        <w:wordWrap/>
        <w:overflowPunct/>
        <w:topLinePunct w:val="0"/>
        <w:autoSpaceDE/>
        <w:autoSpaceDN/>
        <w:bidi w:val="0"/>
        <w:snapToGrid/>
        <w:spacing w:line="360" w:lineRule="auto"/>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D090AA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3C297E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CEF9F5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0825B8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E6D040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301048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D6F0F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03A7265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277B93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471BD7D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9270B5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3B3833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3750085C">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02614E7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2DAA9C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22244A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7BB54F1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367E29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517C17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0205EFD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73B35B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0CD0C39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6F1C42D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E4F84A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779859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9B083E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9C7C76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14D13B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B29C1B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5915BD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459A2C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80F510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9BEF6AD">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AB84D4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2AE94C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092DE6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540126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51659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4B247223">
      <w:pPr>
        <w:keepNext w:val="0"/>
        <w:keepLines w:val="0"/>
        <w:pageBreakBefore w:val="0"/>
        <w:widowControl/>
        <w:tabs>
          <w:tab w:val="left" w:pos="5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val="0"/>
          <w:bCs/>
          <w:color w:val="auto"/>
          <w:highlight w:val="none"/>
        </w:rPr>
        <w:t>主要内容包括：</w:t>
      </w:r>
    </w:p>
    <w:p w14:paraId="6B1DE98D">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551DA7B6">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14:paraId="5B476D45">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0DE10B1C">
      <w:pPr>
        <w:keepNext w:val="0"/>
        <w:keepLines w:val="0"/>
        <w:pageBreakBefore w:val="0"/>
        <w:widowControl/>
        <w:tabs>
          <w:tab w:val="left" w:pos="5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4519C5A6">
      <w:pPr>
        <w:keepNext w:val="0"/>
        <w:keepLines w:val="0"/>
        <w:pageBreakBefore w:val="0"/>
        <w:widowControl w:val="0"/>
        <w:tabs>
          <w:tab w:val="left" w:pos="283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13A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5.最后报价</w:t>
      </w:r>
    </w:p>
    <w:p w14:paraId="46F5D0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CCAC4C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E98DE0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CAED22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32292DC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0BBB25C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54204F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62734F8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01E00E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0FCD5DE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988954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E9E0B1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EE81E3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020238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55B5F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0905FC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C2CD72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701731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2DE278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C6CFFB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9BB191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3B2794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3FCDF9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227EFD6">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6C09B3DE">
      <w:pPr>
        <w:pStyle w:val="4"/>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二</w:t>
      </w:r>
      <w:r>
        <w:rPr>
          <w:rFonts w:hint="eastAsia" w:ascii="宋体" w:hAnsi="宋体" w:cs="宋体"/>
          <w:b/>
          <w:bCs w:val="0"/>
          <w:color w:val="auto"/>
          <w:highlight w:val="none"/>
          <w:lang w:val="en-US" w:eastAsia="zh-CN"/>
        </w:rPr>
        <w:t>、</w:t>
      </w:r>
      <w:r>
        <w:rPr>
          <w:rFonts w:hint="eastAsia" w:ascii="宋体" w:hAnsi="宋体" w:eastAsia="宋体" w:cs="宋体"/>
          <w:b/>
          <w:bCs w:val="0"/>
          <w:color w:val="auto"/>
          <w:highlight w:val="none"/>
        </w:rPr>
        <w:t>评审标准</w:t>
      </w:r>
    </w:p>
    <w:p w14:paraId="59B1DCE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评审依据：磋商小组将以磋商响应文件为评审依据，对供应商的报价、技术、商务等方面内容按百分制打分。（计分方法按四舍五入取至百分位）</w:t>
      </w:r>
    </w:p>
    <w:tbl>
      <w:tblPr>
        <w:tblStyle w:val="36"/>
        <w:tblW w:w="975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106"/>
        <w:gridCol w:w="7028"/>
        <w:gridCol w:w="966"/>
      </w:tblGrid>
      <w:tr w14:paraId="3CB0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301005A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06" w:type="dxa"/>
            <w:noWrap w:val="0"/>
            <w:vAlign w:val="top"/>
          </w:tcPr>
          <w:p w14:paraId="1972219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评分类型</w:t>
            </w:r>
          </w:p>
        </w:tc>
        <w:tc>
          <w:tcPr>
            <w:tcW w:w="7028" w:type="dxa"/>
            <w:noWrap w:val="0"/>
            <w:vAlign w:val="top"/>
          </w:tcPr>
          <w:p w14:paraId="6283141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966" w:type="dxa"/>
            <w:noWrap w:val="0"/>
            <w:vAlign w:val="center"/>
          </w:tcPr>
          <w:p w14:paraId="6521DC5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1C861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dxa"/>
            <w:noWrap w:val="0"/>
            <w:vAlign w:val="center"/>
          </w:tcPr>
          <w:p w14:paraId="63A7365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06" w:type="dxa"/>
            <w:noWrap w:val="0"/>
            <w:vAlign w:val="center"/>
          </w:tcPr>
          <w:p w14:paraId="544A258F">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报价</w:t>
            </w:r>
          </w:p>
        </w:tc>
        <w:tc>
          <w:tcPr>
            <w:tcW w:w="7028" w:type="dxa"/>
            <w:noWrap w:val="0"/>
            <w:vAlign w:val="top"/>
          </w:tcPr>
          <w:p w14:paraId="7EEB2CF1">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1.评审报价为供应商的最后报价进行政策性扣除后的价格，评审报价只是作为评审时使用。最终成交供应商的成交金额等于最后报价（如有修正，以确认修正后的最后报价为准）。</w:t>
            </w:r>
          </w:p>
          <w:p w14:paraId="2CC12098">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2.政府采购政策性扣除计算方法</w:t>
            </w:r>
          </w:p>
          <w:p w14:paraId="450B7746">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照《政府采购促进中小企业发展管理办法》（财库〔2020〕46号）及《广西壮族自治区财政厅关于贯彻落实政府采购支持中小企业发展政策的通知》（桂财采〔2022〕31号）的规定，供应商在其响应文件中提供《中小企业声明函》，且其服务为小型和微型企业承接的，对其最后报价给予20%的扣除。</w:t>
            </w:r>
          </w:p>
          <w:p w14:paraId="54B2B54C">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26E1ADE">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95CC49">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（4）政策性扣除计算方法。</w:t>
            </w:r>
          </w:p>
          <w:p w14:paraId="41960ABF">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供应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竞标报价×（1-6%）。除上述情况外，评审报价=竞标报价。</w:t>
            </w:r>
          </w:p>
          <w:p w14:paraId="38E37CC0">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（5）除上述情况外，评审报价＝最后报价。</w:t>
            </w:r>
          </w:p>
          <w:p w14:paraId="5023F220">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（6）以进入比较与评价环节的最低的评审报价为基准价，基准价得分为10分。</w:t>
            </w:r>
          </w:p>
          <w:p w14:paraId="34D7B120">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（7）价格分计算公式：</w:t>
            </w:r>
          </w:p>
          <w:p w14:paraId="76C506D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rPr>
              <w:t>报价得分=（基准价/最后报价）×10分</w:t>
            </w:r>
          </w:p>
        </w:tc>
        <w:tc>
          <w:tcPr>
            <w:tcW w:w="966" w:type="dxa"/>
            <w:noWrap w:val="0"/>
            <w:vAlign w:val="center"/>
          </w:tcPr>
          <w:p w14:paraId="04A4E2C7">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10</w:t>
            </w:r>
            <w:r>
              <w:rPr>
                <w:rFonts w:hint="eastAsia" w:ascii="宋体" w:hAnsi="宋体" w:cs="宋体"/>
                <w:bCs/>
                <w:color w:val="auto"/>
                <w:szCs w:val="21"/>
                <w:highlight w:val="none"/>
                <w:lang w:val="en-US" w:eastAsia="zh-CN"/>
              </w:rPr>
              <w:t>分</w:t>
            </w:r>
          </w:p>
        </w:tc>
      </w:tr>
      <w:tr w14:paraId="30106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77B7456C">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p>
        </w:tc>
        <w:tc>
          <w:tcPr>
            <w:tcW w:w="1106" w:type="dxa"/>
            <w:noWrap w:val="0"/>
            <w:vAlign w:val="center"/>
          </w:tcPr>
          <w:p w14:paraId="725331A0">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技术分</w:t>
            </w:r>
          </w:p>
        </w:tc>
        <w:tc>
          <w:tcPr>
            <w:tcW w:w="7028" w:type="dxa"/>
            <w:noWrap w:val="0"/>
            <w:vAlign w:val="center"/>
          </w:tcPr>
          <w:p w14:paraId="2984A530">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评审因素</w:t>
            </w:r>
          </w:p>
        </w:tc>
        <w:tc>
          <w:tcPr>
            <w:tcW w:w="966" w:type="dxa"/>
            <w:noWrap w:val="0"/>
            <w:vAlign w:val="center"/>
          </w:tcPr>
          <w:p w14:paraId="5E7BBDCF">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70分</w:t>
            </w:r>
          </w:p>
        </w:tc>
      </w:tr>
      <w:tr w14:paraId="4070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488512F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w:t>
            </w:r>
          </w:p>
        </w:tc>
        <w:tc>
          <w:tcPr>
            <w:tcW w:w="1106" w:type="dxa"/>
            <w:noWrap w:val="0"/>
            <w:vAlign w:val="center"/>
          </w:tcPr>
          <w:p w14:paraId="582989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对项目的理解和总体思路</w:t>
            </w:r>
          </w:p>
          <w:p w14:paraId="577DCB90">
            <w:pPr>
              <w:spacing w:line="360" w:lineRule="auto"/>
              <w:jc w:val="center"/>
              <w:rPr>
                <w:rFonts w:hint="eastAsia" w:ascii="宋体" w:hAnsi="宋体" w:eastAsia="宋体" w:cs="宋体"/>
                <w:bCs/>
                <w:color w:val="auto"/>
                <w:szCs w:val="21"/>
                <w:highlight w:val="none"/>
              </w:rPr>
            </w:pPr>
          </w:p>
        </w:tc>
        <w:tc>
          <w:tcPr>
            <w:tcW w:w="7028" w:type="dxa"/>
            <w:noWrap w:val="0"/>
            <w:vAlign w:val="top"/>
          </w:tcPr>
          <w:p w14:paraId="06E459F6">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一档（</w:t>
            </w:r>
            <w:r>
              <w:rPr>
                <w:rFonts w:hint="eastAsia"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en-US" w:eastAsia="zh-CN"/>
              </w:rPr>
              <w:t>分）：方案内容与深度</w:t>
            </w:r>
            <w:r>
              <w:rPr>
                <w:rFonts w:hint="eastAsia" w:ascii="宋体" w:hAnsi="宋体" w:eastAsia="宋体" w:cs="宋体"/>
                <w:bCs/>
                <w:color w:val="auto"/>
                <w:sz w:val="22"/>
                <w:szCs w:val="22"/>
                <w:highlight w:val="none"/>
              </w:rPr>
              <w:t>部分符合磋商文件要求，内容较为简单，深度不足，未能完全覆盖关键点</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对项目的理解较为表面，未能准确把握核心需求或存在明显偏差</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设计思路不够清晰，逻辑性较差，缺乏创新性，理念较为陈旧</w:t>
            </w:r>
            <w:r>
              <w:rPr>
                <w:rFonts w:hint="eastAsia" w:ascii="宋体" w:hAnsi="宋体" w:eastAsia="宋体" w:cs="宋体"/>
                <w:bCs/>
                <w:color w:val="auto"/>
                <w:sz w:val="22"/>
                <w:szCs w:val="22"/>
                <w:highlight w:val="none"/>
                <w:lang w:eastAsia="zh-CN"/>
              </w:rPr>
              <w:t>；</w:t>
            </w:r>
          </w:p>
          <w:p w14:paraId="0A1B11B0">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二档（1</w:t>
            </w:r>
            <w:r>
              <w:rPr>
                <w:rFonts w:hint="eastAsia" w:hAnsi="宋体" w:cs="宋体"/>
                <w:bCs/>
                <w:color w:val="auto"/>
                <w:sz w:val="22"/>
                <w:szCs w:val="22"/>
                <w:highlight w:val="none"/>
                <w:lang w:val="en-US" w:eastAsia="zh-CN"/>
              </w:rPr>
              <w:t>0</w:t>
            </w:r>
            <w:r>
              <w:rPr>
                <w:rFonts w:hint="eastAsia" w:ascii="宋体" w:hAnsi="宋体" w:eastAsia="宋体" w:cs="宋体"/>
                <w:bCs/>
                <w:color w:val="auto"/>
                <w:sz w:val="22"/>
                <w:szCs w:val="22"/>
                <w:highlight w:val="none"/>
                <w:lang w:val="en-US" w:eastAsia="zh-CN"/>
              </w:rPr>
              <w:t>分）：方案内容与深度基本符合磋商文件要求，内容较为全面，但某些细节深度不足或略显简略；</w:t>
            </w:r>
            <w:r>
              <w:rPr>
                <w:rFonts w:hint="eastAsia" w:ascii="宋体" w:hAnsi="宋体" w:eastAsia="宋体" w:cs="宋体"/>
                <w:bCs/>
                <w:color w:val="auto"/>
                <w:sz w:val="22"/>
                <w:szCs w:val="22"/>
                <w:highlight w:val="none"/>
              </w:rPr>
              <w:t>对项目有一定理解，但可能存在部分偏差或不够深入，对核心问题的把握稍显不足</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设计思路较为清晰，但逻辑性或创新性稍显不足，理念较为常规</w:t>
            </w:r>
            <w:r>
              <w:rPr>
                <w:rFonts w:hint="eastAsia" w:ascii="宋体" w:hAnsi="宋体" w:eastAsia="宋体" w:cs="宋体"/>
                <w:bCs/>
                <w:color w:val="auto"/>
                <w:sz w:val="22"/>
                <w:szCs w:val="22"/>
                <w:highlight w:val="none"/>
                <w:lang w:eastAsia="zh-CN"/>
              </w:rPr>
              <w:t>；</w:t>
            </w:r>
          </w:p>
          <w:p w14:paraId="73C3D8A5">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三档（</w:t>
            </w:r>
            <w:r>
              <w:rPr>
                <w:rFonts w:hint="eastAsia" w:hAnsi="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en-US" w:eastAsia="zh-CN"/>
              </w:rPr>
              <w:t>分）：方案内容与深度</w:t>
            </w:r>
            <w:r>
              <w:rPr>
                <w:rFonts w:hint="eastAsia" w:ascii="宋体" w:hAnsi="宋体" w:eastAsia="宋体" w:cs="宋体"/>
                <w:bCs/>
                <w:color w:val="auto"/>
                <w:sz w:val="22"/>
                <w:szCs w:val="22"/>
                <w:highlight w:val="none"/>
              </w:rPr>
              <w:t>完全符合磋商文件要求，内容详实、全面，深度足够，体现出对项目的深刻理解</w:t>
            </w:r>
            <w:r>
              <w:rPr>
                <w:rFonts w:hint="eastAsia" w:ascii="宋体" w:hAnsi="宋体" w:eastAsia="宋体" w:cs="宋体"/>
                <w:bCs/>
                <w:color w:val="auto"/>
                <w:sz w:val="22"/>
                <w:szCs w:val="22"/>
                <w:highlight w:val="none"/>
                <w:lang w:val="en-US" w:eastAsia="zh-CN"/>
              </w:rPr>
              <w:t>；设计思路清晰，</w:t>
            </w:r>
            <w:r>
              <w:rPr>
                <w:rFonts w:hint="eastAsia" w:ascii="宋体" w:hAnsi="宋体" w:eastAsia="宋体" w:cs="宋体"/>
                <w:bCs/>
                <w:color w:val="auto"/>
                <w:sz w:val="22"/>
                <w:szCs w:val="22"/>
                <w:highlight w:val="none"/>
              </w:rPr>
              <w:t>对项目背景、目标和需求理解准确，能够精准把握项目核心问题和关键点</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设计理念先进，</w:t>
            </w:r>
            <w:r>
              <w:rPr>
                <w:rFonts w:hint="eastAsia" w:ascii="宋体" w:hAnsi="宋体" w:eastAsia="宋体" w:cs="宋体"/>
                <w:bCs/>
                <w:color w:val="auto"/>
                <w:sz w:val="22"/>
                <w:szCs w:val="22"/>
                <w:highlight w:val="none"/>
              </w:rPr>
              <w:t>具有创新性和前瞻性</w:t>
            </w:r>
            <w:r>
              <w:rPr>
                <w:rFonts w:hint="eastAsia" w:ascii="宋体" w:hAnsi="宋体" w:eastAsia="宋体" w:cs="宋体"/>
                <w:bCs/>
                <w:color w:val="auto"/>
                <w:sz w:val="22"/>
                <w:szCs w:val="22"/>
                <w:highlight w:val="none"/>
                <w:lang w:val="en-US" w:eastAsia="zh-CN"/>
              </w:rPr>
              <w:t>；对开展现状调查及用水量分析的编制详细阐述；有针对性的对实地调研复核工作进行阐述。</w:t>
            </w:r>
          </w:p>
          <w:p w14:paraId="1D24697E">
            <w:pPr>
              <w:spacing w:line="360" w:lineRule="auto"/>
              <w:rPr>
                <w:rFonts w:hint="eastAsia" w:ascii="宋体" w:hAnsi="宋体" w:eastAsia="宋体" w:cs="宋体"/>
                <w:lang w:val="en-US"/>
              </w:rPr>
            </w:pPr>
            <w:r>
              <w:rPr>
                <w:rFonts w:hint="eastAsia" w:ascii="宋体" w:hAnsi="宋体" w:eastAsia="宋体" w:cs="宋体"/>
                <w:bCs/>
                <w:color w:val="auto"/>
                <w:sz w:val="22"/>
                <w:szCs w:val="22"/>
                <w:highlight w:val="none"/>
                <w:lang w:val="en-US" w:eastAsia="zh-CN"/>
              </w:rPr>
              <w:t>备注：未提供的不得分</w:t>
            </w:r>
          </w:p>
        </w:tc>
        <w:tc>
          <w:tcPr>
            <w:tcW w:w="966" w:type="dxa"/>
            <w:noWrap w:val="0"/>
            <w:vAlign w:val="center"/>
          </w:tcPr>
          <w:p w14:paraId="6DE73A5A">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15分</w:t>
            </w:r>
          </w:p>
        </w:tc>
      </w:tr>
      <w:tr w14:paraId="72FC2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dxa"/>
            <w:noWrap w:val="0"/>
            <w:vAlign w:val="center"/>
          </w:tcPr>
          <w:p w14:paraId="7344A283">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w:t>
            </w:r>
          </w:p>
        </w:tc>
        <w:tc>
          <w:tcPr>
            <w:tcW w:w="1106" w:type="dxa"/>
            <w:noWrap w:val="0"/>
            <w:vAlign w:val="center"/>
          </w:tcPr>
          <w:p w14:paraId="2250AA96">
            <w:pPr>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pacing w:val="-4"/>
                <w:szCs w:val="21"/>
                <w:highlight w:val="none"/>
              </w:rPr>
              <w:t>进度控制方案</w:t>
            </w:r>
          </w:p>
        </w:tc>
        <w:tc>
          <w:tcPr>
            <w:tcW w:w="7028" w:type="dxa"/>
            <w:noWrap w:val="0"/>
            <w:vAlign w:val="top"/>
          </w:tcPr>
          <w:p w14:paraId="7B09D9F1">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tl w:val="0"/>
                <w:lang w:val="en-US" w:eastAsia="zh-CN"/>
              </w:rPr>
            </w:pPr>
            <w:r>
              <w:rPr>
                <w:rFonts w:hint="eastAsia" w:ascii="宋体" w:hAnsi="宋体" w:eastAsia="宋体" w:cs="宋体"/>
                <w:bCs/>
                <w:color w:val="auto"/>
                <w:sz w:val="22"/>
                <w:szCs w:val="22"/>
                <w:highlight w:val="none"/>
                <w:rtl w:val="0"/>
                <w:lang w:val="en-US" w:eastAsia="zh-CN"/>
              </w:rPr>
              <w:t>一档（3分）：进度控制方案勉强满足本项目要求；进度控制重点分析简单；进度进度规划基本合理，有简单的进度控制体系、控制措施、控制手段较差。</w:t>
            </w:r>
          </w:p>
          <w:p w14:paraId="58222DC2">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tl w:val="0"/>
                <w:lang w:val="en-US" w:eastAsia="zh-CN"/>
              </w:rPr>
            </w:pPr>
            <w:r>
              <w:rPr>
                <w:rFonts w:hint="eastAsia" w:ascii="宋体" w:hAnsi="宋体" w:eastAsia="宋体" w:cs="宋体"/>
                <w:bCs/>
                <w:color w:val="auto"/>
                <w:sz w:val="22"/>
                <w:szCs w:val="22"/>
                <w:highlight w:val="none"/>
                <w:rtl w:val="0"/>
                <w:lang w:val="en-US" w:eastAsia="zh-CN"/>
              </w:rPr>
              <w:t>二档（6分）：进度控制方案满足本项目要求；进度控制重点分析到位、明确；进度计划规划较合理，进度控制体系较健全，控制措施较有效可靠，控制手段完善。</w:t>
            </w:r>
          </w:p>
          <w:p w14:paraId="7D12CFA3">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tl w:val="0"/>
                <w:lang w:val="en-US" w:eastAsia="zh-CN"/>
              </w:rPr>
            </w:pPr>
            <w:r>
              <w:rPr>
                <w:rFonts w:hint="eastAsia" w:ascii="宋体" w:hAnsi="宋体" w:eastAsia="宋体" w:cs="宋体"/>
                <w:bCs/>
                <w:color w:val="auto"/>
                <w:sz w:val="22"/>
                <w:szCs w:val="22"/>
                <w:highlight w:val="none"/>
                <w:rtl w:val="0"/>
                <w:lang w:val="en-US" w:eastAsia="zh-CN"/>
              </w:rPr>
              <w:t>三档（10分）：进度控制方案满足本项目建设要求；进度控制重点分析到位、明确；进度计划规划合理，进度控制体系健全，控制措施有效可靠，控制手段先进完善。</w:t>
            </w:r>
          </w:p>
          <w:p w14:paraId="1ED2FBE4">
            <w:pPr>
              <w:spacing w:line="360" w:lineRule="auto"/>
              <w:rPr>
                <w:rFonts w:hint="eastAsia" w:ascii="宋体" w:hAnsi="宋体" w:eastAsia="宋体" w:cs="宋体"/>
                <w:bCs/>
                <w:color w:val="auto"/>
                <w:szCs w:val="21"/>
                <w:highlight w:val="none"/>
                <w:rtl w:val="0"/>
                <w:lang w:val="en-US" w:eastAsia="zh-CN"/>
              </w:rPr>
            </w:pPr>
            <w:r>
              <w:rPr>
                <w:rFonts w:hint="eastAsia" w:ascii="宋体" w:hAnsi="宋体" w:eastAsia="宋体" w:cs="宋体"/>
                <w:bCs/>
                <w:color w:val="auto"/>
                <w:sz w:val="22"/>
                <w:szCs w:val="22"/>
                <w:highlight w:val="none"/>
                <w:lang w:val="en-US" w:eastAsia="zh-CN"/>
              </w:rPr>
              <w:t>备注：未提供的不得分</w:t>
            </w:r>
          </w:p>
        </w:tc>
        <w:tc>
          <w:tcPr>
            <w:tcW w:w="966" w:type="dxa"/>
            <w:noWrap w:val="0"/>
            <w:vAlign w:val="center"/>
          </w:tcPr>
          <w:p w14:paraId="4721832C">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10分</w:t>
            </w:r>
          </w:p>
        </w:tc>
      </w:tr>
      <w:tr w14:paraId="2527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654" w:type="dxa"/>
            <w:noWrap w:val="0"/>
            <w:vAlign w:val="center"/>
          </w:tcPr>
          <w:p w14:paraId="5EA7E127">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w:t>
            </w:r>
          </w:p>
        </w:tc>
        <w:tc>
          <w:tcPr>
            <w:tcW w:w="1106" w:type="dxa"/>
            <w:noWrap w:val="0"/>
            <w:vAlign w:val="center"/>
          </w:tcPr>
          <w:p w14:paraId="6F8CFBC5">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质量保证与服务</w:t>
            </w:r>
            <w:r>
              <w:rPr>
                <w:rFonts w:hint="eastAsia" w:ascii="宋体" w:hAnsi="宋体" w:eastAsia="宋体" w:cs="宋体"/>
                <w:color w:val="auto"/>
                <w:spacing w:val="-4"/>
                <w:szCs w:val="21"/>
                <w:highlight w:val="none"/>
                <w:lang w:eastAsia="zh-CN"/>
              </w:rPr>
              <w:t>承诺</w:t>
            </w:r>
            <w:r>
              <w:rPr>
                <w:rFonts w:hint="eastAsia" w:ascii="宋体" w:hAnsi="宋体" w:eastAsia="宋体" w:cs="宋体"/>
                <w:color w:val="auto"/>
                <w:spacing w:val="-4"/>
                <w:szCs w:val="21"/>
                <w:highlight w:val="none"/>
                <w:rtl w:val="0"/>
                <w:lang w:val="en-US" w:eastAsia="zh-CN"/>
              </w:rPr>
              <w:t>方案</w:t>
            </w:r>
          </w:p>
          <w:p w14:paraId="527C3A39">
            <w:pPr>
              <w:spacing w:line="360" w:lineRule="auto"/>
              <w:jc w:val="center"/>
              <w:rPr>
                <w:rFonts w:hint="eastAsia" w:ascii="宋体" w:hAnsi="宋体" w:eastAsia="宋体" w:cs="宋体"/>
                <w:bCs/>
                <w:color w:val="auto"/>
                <w:szCs w:val="21"/>
                <w:highlight w:val="none"/>
              </w:rPr>
            </w:pPr>
          </w:p>
        </w:tc>
        <w:tc>
          <w:tcPr>
            <w:tcW w:w="7028" w:type="dxa"/>
            <w:noWrap w:val="0"/>
            <w:vAlign w:val="top"/>
          </w:tcPr>
          <w:p w14:paraId="38E28A1B">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tl w:val="0"/>
                <w:lang w:val="en-US" w:eastAsia="zh-CN"/>
              </w:rPr>
            </w:pPr>
            <w:r>
              <w:rPr>
                <w:rFonts w:hint="eastAsia" w:ascii="宋体" w:hAnsi="宋体" w:eastAsia="宋体" w:cs="宋体"/>
                <w:bCs/>
                <w:color w:val="auto"/>
                <w:sz w:val="22"/>
                <w:szCs w:val="22"/>
                <w:highlight w:val="none"/>
                <w:rtl w:val="0"/>
                <w:lang w:val="en-US" w:eastAsia="zh-CN"/>
              </w:rPr>
              <w:t>一档（5分）：有质量保证与服务承诺方案。即承诺服务期限、服务响应的时间和提供服务内容、服务保证方案等一般，基本达到采购文件要求</w:t>
            </w:r>
            <w:r>
              <w:rPr>
                <w:rFonts w:hint="eastAsia" w:hAnsi="宋体" w:cs="宋体"/>
                <w:bCs/>
                <w:color w:val="auto"/>
                <w:sz w:val="22"/>
                <w:szCs w:val="22"/>
                <w:highlight w:val="none"/>
                <w:rtl w:val="0"/>
                <w:lang w:val="en-US" w:eastAsia="zh-CN"/>
              </w:rPr>
              <w:t>。</w:t>
            </w:r>
          </w:p>
          <w:p w14:paraId="4B13F14D">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tl w:val="0"/>
                <w:lang w:val="en-US" w:eastAsia="zh-CN"/>
              </w:rPr>
            </w:pPr>
            <w:r>
              <w:rPr>
                <w:rFonts w:hint="eastAsia" w:ascii="宋体" w:hAnsi="宋体" w:eastAsia="宋体" w:cs="宋体"/>
                <w:bCs/>
                <w:color w:val="auto"/>
                <w:sz w:val="22"/>
                <w:szCs w:val="22"/>
                <w:highlight w:val="none"/>
                <w:rtl w:val="0"/>
                <w:lang w:val="en-US" w:eastAsia="zh-CN"/>
              </w:rPr>
              <w:t>二档（10分）：有质量保证与服务承诺方案。承诺服务期限、服务响应的时间和提供服务内容、服务保证方案等良好，有本项目的重点、难点分析，方案合理。</w:t>
            </w:r>
          </w:p>
          <w:p w14:paraId="2322D297">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tl w:val="0"/>
                <w:lang w:val="en-US" w:eastAsia="zh-CN"/>
              </w:rPr>
            </w:pPr>
            <w:r>
              <w:rPr>
                <w:rFonts w:hint="eastAsia" w:ascii="宋体" w:hAnsi="宋体" w:eastAsia="宋体" w:cs="宋体"/>
                <w:bCs/>
                <w:color w:val="auto"/>
                <w:sz w:val="22"/>
                <w:szCs w:val="22"/>
                <w:highlight w:val="none"/>
                <w:rtl w:val="0"/>
                <w:lang w:val="en-US" w:eastAsia="zh-CN"/>
              </w:rPr>
              <w:t>三档（15分）：有完整质量保证与服务承诺方案。承诺服务期限、服务响应的时间和提供服务内容、服务保证方案优秀，对本项目的重点、难点分析合理、完整。</w:t>
            </w:r>
          </w:p>
          <w:p w14:paraId="08D42AF1">
            <w:pPr>
              <w:pStyle w:val="31"/>
              <w:spacing w:before="0" w:beforeAutospacing="0" w:after="0" w:afterAutospacing="0" w:line="360" w:lineRule="auto"/>
              <w:jc w:val="both"/>
              <w:rPr>
                <w:rFonts w:hint="eastAsia" w:ascii="宋体" w:hAnsi="宋体" w:eastAsia="宋体" w:cs="宋体"/>
                <w:bCs/>
                <w:color w:val="auto"/>
                <w:kern w:val="2"/>
                <w:sz w:val="21"/>
                <w:szCs w:val="21"/>
                <w:highlight w:val="none"/>
                <w:rtl w:val="0"/>
                <w:lang w:val="en-US" w:eastAsia="zh-CN" w:bidi="ar-SA"/>
              </w:rPr>
            </w:pPr>
            <w:r>
              <w:rPr>
                <w:rFonts w:hint="eastAsia" w:ascii="宋体" w:hAnsi="宋体" w:eastAsia="宋体" w:cs="宋体"/>
                <w:bCs/>
                <w:color w:val="auto"/>
                <w:sz w:val="22"/>
                <w:szCs w:val="22"/>
                <w:highlight w:val="none"/>
                <w:lang w:val="en-US" w:eastAsia="zh-CN"/>
              </w:rPr>
              <w:t>备注：未提供的不得分</w:t>
            </w:r>
          </w:p>
        </w:tc>
        <w:tc>
          <w:tcPr>
            <w:tcW w:w="966" w:type="dxa"/>
            <w:noWrap w:val="0"/>
            <w:vAlign w:val="center"/>
          </w:tcPr>
          <w:p w14:paraId="612BE612">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15分</w:t>
            </w:r>
          </w:p>
        </w:tc>
      </w:tr>
      <w:tr w14:paraId="7BCE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trPr>
        <w:tc>
          <w:tcPr>
            <w:tcW w:w="654" w:type="dxa"/>
            <w:noWrap w:val="0"/>
            <w:vAlign w:val="center"/>
          </w:tcPr>
          <w:p w14:paraId="348BD6BD">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2.4</w:t>
            </w:r>
          </w:p>
        </w:tc>
        <w:tc>
          <w:tcPr>
            <w:tcW w:w="1106" w:type="dxa"/>
            <w:noWrap w:val="0"/>
            <w:vAlign w:val="center"/>
          </w:tcPr>
          <w:p w14:paraId="6CDD17B4">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后续服务的安排及保证措施</w:t>
            </w:r>
          </w:p>
          <w:p w14:paraId="08E5192A">
            <w:pPr>
              <w:spacing w:line="360" w:lineRule="auto"/>
              <w:jc w:val="center"/>
              <w:rPr>
                <w:rFonts w:hint="eastAsia" w:ascii="宋体" w:hAnsi="宋体" w:eastAsia="宋体" w:cs="宋体"/>
                <w:b/>
                <w:bCs/>
                <w:color w:val="auto"/>
                <w:szCs w:val="21"/>
                <w:highlight w:val="none"/>
              </w:rPr>
            </w:pPr>
          </w:p>
        </w:tc>
        <w:tc>
          <w:tcPr>
            <w:tcW w:w="7028" w:type="dxa"/>
            <w:noWrap w:val="0"/>
            <w:vAlign w:val="top"/>
          </w:tcPr>
          <w:p w14:paraId="2C784D0D">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一档（</w:t>
            </w:r>
            <w:r>
              <w:rPr>
                <w:rFonts w:hint="eastAsia"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rPr>
              <w:t>分）：磋商供应商承诺对本项目的服务有正确理解与认识，服务承诺方案表述清晰、完整</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方案一般，服务承诺方案及质量保证表述清晰，基本满足项目要求。</w:t>
            </w:r>
          </w:p>
          <w:p w14:paraId="700D1547">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二档（</w:t>
            </w:r>
            <w:r>
              <w:rPr>
                <w:rFonts w:hint="eastAsia" w:hAnsi="宋体" w:cs="宋体"/>
                <w:bCs/>
                <w:color w:val="auto"/>
                <w:sz w:val="22"/>
                <w:szCs w:val="22"/>
                <w:highlight w:val="none"/>
                <w:lang w:val="en-US" w:eastAsia="zh-CN"/>
              </w:rPr>
              <w:t>10</w:t>
            </w:r>
            <w:r>
              <w:rPr>
                <w:rFonts w:hint="eastAsia" w:ascii="宋体" w:hAnsi="宋体" w:eastAsia="宋体" w:cs="宋体"/>
                <w:bCs/>
                <w:color w:val="auto"/>
                <w:sz w:val="22"/>
                <w:szCs w:val="22"/>
                <w:highlight w:val="none"/>
              </w:rPr>
              <w:t>分）：磋商供应商承诺对本项目的服务有正确理解与认识，服务承诺方案表述清晰、完整、严谨、合理</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方案良好，服务承诺方案及质量保证表述清晰。</w:t>
            </w:r>
          </w:p>
          <w:p w14:paraId="065359D0">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三档（</w:t>
            </w:r>
            <w:r>
              <w:rPr>
                <w:rFonts w:hint="eastAsia" w:ascii="宋体" w:hAnsi="宋体" w:eastAsia="宋体" w:cs="宋体"/>
                <w:bCs/>
                <w:color w:val="auto"/>
                <w:sz w:val="22"/>
                <w:szCs w:val="22"/>
                <w:highlight w:val="none"/>
                <w:lang w:val="en-US" w:eastAsia="zh-CN"/>
              </w:rPr>
              <w:t>1</w:t>
            </w:r>
            <w:r>
              <w:rPr>
                <w:rFonts w:hint="eastAsia"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rPr>
              <w:t>分）：磋商供应商承诺对本项目的服务有正确深刻理解与充分认识，服务承诺方案表述清晰、完整、严谨、合理、有效，方案详细合理，服务承诺方案及质量保证完全满足且部分条款优于项目要求。</w:t>
            </w:r>
          </w:p>
          <w:p w14:paraId="00A8828A">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备注：未提供的不得分</w:t>
            </w:r>
          </w:p>
        </w:tc>
        <w:tc>
          <w:tcPr>
            <w:tcW w:w="966" w:type="dxa"/>
            <w:noWrap w:val="0"/>
            <w:vAlign w:val="center"/>
          </w:tcPr>
          <w:p w14:paraId="16F1CE4C">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lang w:val="en-US" w:eastAsia="zh-CN"/>
              </w:rPr>
              <w:t>5分</w:t>
            </w:r>
          </w:p>
        </w:tc>
      </w:tr>
      <w:tr w14:paraId="462DC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654" w:type="dxa"/>
            <w:noWrap w:val="0"/>
            <w:vAlign w:val="center"/>
          </w:tcPr>
          <w:p w14:paraId="29E77F22">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2.5</w:t>
            </w:r>
          </w:p>
        </w:tc>
        <w:tc>
          <w:tcPr>
            <w:tcW w:w="1106" w:type="dxa"/>
            <w:noWrap w:val="0"/>
            <w:vAlign w:val="center"/>
          </w:tcPr>
          <w:p w14:paraId="3C5A2CDB">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对项目实施的合理化建议</w:t>
            </w:r>
          </w:p>
        </w:tc>
        <w:tc>
          <w:tcPr>
            <w:tcW w:w="7028" w:type="dxa"/>
            <w:noWrap w:val="0"/>
            <w:vAlign w:val="top"/>
          </w:tcPr>
          <w:p w14:paraId="5D9734C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一档（5分）：</w:t>
            </w:r>
            <w:r>
              <w:rPr>
                <w:rFonts w:hint="eastAsia" w:ascii="宋体" w:hAnsi="宋体" w:eastAsia="宋体" w:cs="宋体"/>
                <w:color w:val="auto"/>
                <w:szCs w:val="21"/>
                <w:highlight w:val="none"/>
                <w:lang w:eastAsia="zh-CN"/>
              </w:rPr>
              <w:t>对项目实施的合理化建议合理，措施可行</w:t>
            </w:r>
            <w:r>
              <w:rPr>
                <w:rFonts w:hint="eastAsia" w:ascii="宋体" w:hAnsi="宋体" w:eastAsia="宋体" w:cs="宋体"/>
                <w:color w:val="auto"/>
                <w:szCs w:val="21"/>
                <w:highlight w:val="none"/>
                <w:lang w:val="en-US" w:eastAsia="zh-CN"/>
              </w:rPr>
              <w:t>的。</w:t>
            </w:r>
          </w:p>
          <w:p w14:paraId="0B2303F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二档（10分）：</w:t>
            </w:r>
            <w:r>
              <w:rPr>
                <w:rFonts w:hint="eastAsia" w:ascii="宋体" w:hAnsi="宋体" w:eastAsia="宋体" w:cs="宋体"/>
                <w:color w:val="auto"/>
                <w:szCs w:val="21"/>
                <w:highlight w:val="none"/>
                <w:lang w:eastAsia="zh-CN"/>
              </w:rPr>
              <w:t>对项目实施的合理化建议基本合理</w:t>
            </w:r>
            <w:r>
              <w:rPr>
                <w:rFonts w:hint="eastAsia" w:ascii="宋体" w:hAnsi="宋体" w:eastAsia="宋体" w:cs="宋体"/>
                <w:color w:val="auto"/>
                <w:szCs w:val="21"/>
                <w:highlight w:val="none"/>
                <w:lang w:val="en-US" w:eastAsia="zh-CN"/>
              </w:rPr>
              <w:t>的。</w:t>
            </w:r>
          </w:p>
          <w:p w14:paraId="33BCB9C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三档（15分）：</w:t>
            </w:r>
            <w:r>
              <w:rPr>
                <w:rFonts w:hint="eastAsia" w:ascii="宋体" w:hAnsi="宋体" w:eastAsia="宋体" w:cs="宋体"/>
                <w:color w:val="auto"/>
                <w:szCs w:val="21"/>
                <w:highlight w:val="none"/>
                <w:lang w:eastAsia="zh-CN"/>
              </w:rPr>
              <w:t>对项目实施的合理化建议基本欠合理。</w:t>
            </w:r>
          </w:p>
          <w:p w14:paraId="61D0FC66">
            <w:pPr>
              <w:keepNext w:val="0"/>
              <w:keepLines w:val="0"/>
              <w:pageBreakBefore w:val="0"/>
              <w:kinsoku/>
              <w:wordWrap/>
              <w:overflowPunct/>
              <w:topLinePunct w:val="0"/>
              <w:autoSpaceDE/>
              <w:autoSpaceDN/>
              <w:bidi w:val="0"/>
              <w:snapToGrid/>
              <w:spacing w:line="360" w:lineRule="auto"/>
              <w:textAlignment w:val="auto"/>
              <w:rPr>
                <w:rFonts w:hint="eastAsia"/>
                <w:lang w:val="en-US" w:eastAsia="zh-CN"/>
              </w:rPr>
            </w:pPr>
            <w:r>
              <w:rPr>
                <w:rFonts w:hint="eastAsia" w:ascii="宋体" w:hAnsi="宋体" w:eastAsia="宋体" w:cs="宋体"/>
                <w:color w:val="auto"/>
                <w:szCs w:val="21"/>
                <w:highlight w:val="none"/>
                <w:lang w:val="en-US" w:eastAsia="zh-CN"/>
              </w:rPr>
              <w:t>备注：未提供的不得分</w:t>
            </w:r>
          </w:p>
        </w:tc>
        <w:tc>
          <w:tcPr>
            <w:tcW w:w="966" w:type="dxa"/>
            <w:noWrap w:val="0"/>
            <w:vAlign w:val="center"/>
          </w:tcPr>
          <w:p w14:paraId="44B33100">
            <w:pPr>
              <w:pStyle w:val="2"/>
              <w:jc w:val="center"/>
              <w:rPr>
                <w:rFonts w:hint="default"/>
                <w:lang w:val="en-US" w:eastAsia="zh-CN"/>
              </w:rPr>
            </w:pPr>
            <w:r>
              <w:rPr>
                <w:rFonts w:hint="eastAsia" w:ascii="宋体" w:hAnsi="宋体" w:cs="宋体"/>
                <w:bCs/>
                <w:color w:val="auto"/>
                <w:szCs w:val="21"/>
                <w:highlight w:val="none"/>
                <w:lang w:val="en-US" w:eastAsia="zh-CN"/>
              </w:rPr>
              <w:t>15分</w:t>
            </w:r>
          </w:p>
        </w:tc>
      </w:tr>
      <w:tr w14:paraId="12061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17B7ACB5">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p>
        </w:tc>
        <w:tc>
          <w:tcPr>
            <w:tcW w:w="1106" w:type="dxa"/>
            <w:noWrap w:val="0"/>
            <w:vAlign w:val="center"/>
          </w:tcPr>
          <w:p w14:paraId="50AAFD6A">
            <w:pPr>
              <w:spacing w:line="360" w:lineRule="auto"/>
              <w:jc w:val="center"/>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rPr>
              <w:t>商务</w:t>
            </w:r>
            <w:r>
              <w:rPr>
                <w:rFonts w:hint="eastAsia" w:ascii="宋体" w:hAnsi="宋体" w:cs="宋体"/>
                <w:b/>
                <w:bCs w:val="0"/>
                <w:color w:val="auto"/>
                <w:szCs w:val="21"/>
                <w:highlight w:val="none"/>
                <w:lang w:val="en-US" w:eastAsia="zh-CN"/>
              </w:rPr>
              <w:t>分</w:t>
            </w:r>
          </w:p>
        </w:tc>
        <w:tc>
          <w:tcPr>
            <w:tcW w:w="7028" w:type="dxa"/>
            <w:noWrap w:val="0"/>
            <w:vAlign w:val="top"/>
          </w:tcPr>
          <w:p w14:paraId="4099F828">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评审因素</w:t>
            </w:r>
          </w:p>
        </w:tc>
        <w:tc>
          <w:tcPr>
            <w:tcW w:w="966" w:type="dxa"/>
            <w:noWrap w:val="0"/>
            <w:vAlign w:val="center"/>
          </w:tcPr>
          <w:p w14:paraId="73225A85">
            <w:pPr>
              <w:spacing w:line="360" w:lineRule="auto"/>
              <w:jc w:val="center"/>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20分</w:t>
            </w:r>
          </w:p>
        </w:tc>
      </w:tr>
      <w:tr w14:paraId="4E5B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0EE9DB7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w:t>
            </w:r>
          </w:p>
        </w:tc>
        <w:tc>
          <w:tcPr>
            <w:tcW w:w="1106" w:type="dxa"/>
            <w:noWrap w:val="0"/>
            <w:vAlign w:val="center"/>
          </w:tcPr>
          <w:p w14:paraId="5DDCF5D6">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 w:val="21"/>
                <w:szCs w:val="21"/>
                <w:highlight w:val="none"/>
                <w:lang w:val="en-US" w:eastAsia="zh-CN"/>
              </w:rPr>
              <w:t>业绩分</w:t>
            </w:r>
          </w:p>
        </w:tc>
        <w:tc>
          <w:tcPr>
            <w:tcW w:w="7028" w:type="dxa"/>
            <w:noWrap w:val="0"/>
            <w:vAlign w:val="top"/>
          </w:tcPr>
          <w:p w14:paraId="4154D26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Cs w:val="21"/>
                <w:highlight w:val="none"/>
                <w:lang w:eastAsia="zh-CN"/>
              </w:rPr>
              <w:t>自20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年1月1日以来供应商承担过</w:t>
            </w:r>
            <w:r>
              <w:rPr>
                <w:rFonts w:hint="eastAsia" w:ascii="宋体" w:hAnsi="宋体" w:eastAsia="宋体" w:cs="宋体"/>
                <w:color w:val="auto"/>
                <w:szCs w:val="21"/>
                <w:highlight w:val="none"/>
                <w:lang w:val="en-US" w:eastAsia="zh-CN"/>
              </w:rPr>
              <w:t>同</w:t>
            </w:r>
            <w:r>
              <w:rPr>
                <w:rFonts w:hint="eastAsia" w:ascii="宋体" w:hAnsi="宋体" w:eastAsia="宋体" w:cs="宋体"/>
                <w:color w:val="auto"/>
                <w:szCs w:val="21"/>
                <w:highlight w:val="none"/>
                <w:lang w:eastAsia="zh-CN"/>
              </w:rPr>
              <w:t>类项目业绩，每个得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分。【在响应文件中提供加盖供应商电子公章的合同或中标(成交) 通知书复印件为计分依据，要求能清晰反映项目名称、类型、日期，不按上述要求提供资料，不予计分;同一个编号的项目有两个或两个以上的分标中标或成交的只算一次】</w:t>
            </w:r>
          </w:p>
        </w:tc>
        <w:tc>
          <w:tcPr>
            <w:tcW w:w="966" w:type="dxa"/>
            <w:noWrap w:val="0"/>
            <w:vAlign w:val="center"/>
          </w:tcPr>
          <w:p w14:paraId="11D9EEA6">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6分</w:t>
            </w:r>
          </w:p>
        </w:tc>
      </w:tr>
      <w:tr w14:paraId="6DF8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center"/>
          </w:tcPr>
          <w:p w14:paraId="1454FC4E">
            <w:pPr>
              <w:spacing w:line="360" w:lineRule="auto"/>
              <w:jc w:val="center"/>
              <w:rPr>
                <w:rFonts w:hint="default" w:eastAsia="宋体"/>
                <w:lang w:val="en-US" w:eastAsia="zh-CN"/>
              </w:rPr>
            </w:pPr>
            <w:r>
              <w:rPr>
                <w:rFonts w:hint="eastAsia" w:ascii="宋体" w:hAnsi="宋体" w:cs="宋体"/>
                <w:bCs/>
                <w:color w:val="auto"/>
                <w:szCs w:val="21"/>
                <w:highlight w:val="none"/>
                <w:lang w:val="en-US" w:eastAsia="zh-CN"/>
              </w:rPr>
              <w:t>3.2</w:t>
            </w:r>
          </w:p>
        </w:tc>
        <w:tc>
          <w:tcPr>
            <w:tcW w:w="1106" w:type="dxa"/>
            <w:noWrap w:val="0"/>
            <w:vAlign w:val="center"/>
          </w:tcPr>
          <w:p w14:paraId="0BFAE05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lang w:val="en-US" w:eastAsia="zh-CN"/>
              </w:rPr>
              <w:t>拟投入项 目人员情 况</w:t>
            </w:r>
          </w:p>
        </w:tc>
        <w:tc>
          <w:tcPr>
            <w:tcW w:w="7028" w:type="dxa"/>
            <w:noWrap w:val="0"/>
            <w:vAlign w:val="top"/>
          </w:tcPr>
          <w:p w14:paraId="34A05B0A">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1</w:t>
            </w:r>
            <w:r>
              <w:rPr>
                <w:rStyle w:val="98"/>
                <w:rFonts w:hint="eastAsia" w:hAnsi="宋体" w:cs="宋体"/>
                <w:b w:val="0"/>
                <w:i w:val="0"/>
                <w:caps w:val="0"/>
                <w:color w:val="auto"/>
                <w:spacing w:val="0"/>
                <w:w w:val="100"/>
                <w:kern w:val="0"/>
                <w:sz w:val="21"/>
                <w:szCs w:val="21"/>
                <w:highlight w:val="none"/>
                <w:lang w:val="en-US" w:eastAsia="zh-CN" w:bidi="ar-SA"/>
              </w:rPr>
              <w:t>、</w:t>
            </w:r>
            <w:r>
              <w:rPr>
                <w:rStyle w:val="98"/>
                <w:rFonts w:hint="eastAsia" w:ascii="宋体" w:hAnsi="宋体" w:eastAsia="宋体" w:cs="宋体"/>
                <w:b w:val="0"/>
                <w:i w:val="0"/>
                <w:caps w:val="0"/>
                <w:color w:val="auto"/>
                <w:spacing w:val="0"/>
                <w:w w:val="100"/>
                <w:kern w:val="0"/>
                <w:sz w:val="21"/>
                <w:szCs w:val="21"/>
                <w:highlight w:val="none"/>
                <w:lang w:val="en-US" w:eastAsia="zh-CN" w:bidi="ar-SA"/>
              </w:rPr>
              <w:t>项目负责人：</w:t>
            </w:r>
          </w:p>
          <w:p w14:paraId="690E2B2F">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①项目负责人持有水利水电工程专业类（以职称证中“专业类别”栏所填写的专业为准）高级及以上职称，且具有注册土木工程师（水利水电工程）注册执业证书专业为水利水电工程规划的，得5分；②项目负责人持有水利水电工程专业类（以职称证中“专业类别”栏所填写的专业为准）高级及以上职称的，得3分；③项目负责人持有水利水电工程专业类（以职称证中“专业类别”栏所填写的专业为准）中级职称，得1分。（本项满分5分）</w:t>
            </w:r>
          </w:p>
          <w:p w14:paraId="75510255">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2</w:t>
            </w:r>
            <w:r>
              <w:rPr>
                <w:rStyle w:val="98"/>
                <w:rFonts w:hint="eastAsia" w:hAnsi="宋体" w:cs="宋体"/>
                <w:b w:val="0"/>
                <w:i w:val="0"/>
                <w:caps w:val="0"/>
                <w:color w:val="auto"/>
                <w:spacing w:val="0"/>
                <w:w w:val="100"/>
                <w:kern w:val="0"/>
                <w:sz w:val="21"/>
                <w:szCs w:val="21"/>
                <w:highlight w:val="none"/>
                <w:lang w:val="en-US" w:eastAsia="zh-CN" w:bidi="ar-SA"/>
              </w:rPr>
              <w:t>、</w:t>
            </w:r>
            <w:r>
              <w:rPr>
                <w:rStyle w:val="98"/>
                <w:rFonts w:hint="eastAsia" w:ascii="宋体" w:hAnsi="宋体" w:eastAsia="宋体" w:cs="宋体"/>
                <w:b w:val="0"/>
                <w:i w:val="0"/>
                <w:caps w:val="0"/>
                <w:color w:val="auto"/>
                <w:spacing w:val="0"/>
                <w:w w:val="100"/>
                <w:kern w:val="0"/>
                <w:sz w:val="21"/>
                <w:szCs w:val="21"/>
                <w:highlight w:val="none"/>
                <w:lang w:val="en-US" w:eastAsia="zh-CN" w:bidi="ar-SA"/>
              </w:rPr>
              <w:t>项目组成员（项目负责人除外）配置中，具备高级工程师及以上职称的每人得</w:t>
            </w:r>
            <w:r>
              <w:rPr>
                <w:rStyle w:val="98"/>
                <w:rFonts w:hint="eastAsia" w:hAnsi="宋体" w:cs="宋体"/>
                <w:b w:val="0"/>
                <w:i w:val="0"/>
                <w:caps w:val="0"/>
                <w:color w:val="auto"/>
                <w:spacing w:val="0"/>
                <w:w w:val="100"/>
                <w:kern w:val="0"/>
                <w:sz w:val="21"/>
                <w:szCs w:val="21"/>
                <w:highlight w:val="none"/>
                <w:lang w:val="en-US" w:eastAsia="zh-CN" w:bidi="ar-SA"/>
              </w:rPr>
              <w:t>3</w:t>
            </w:r>
            <w:r>
              <w:rPr>
                <w:rStyle w:val="98"/>
                <w:rFonts w:hint="eastAsia" w:ascii="宋体" w:hAnsi="宋体" w:eastAsia="宋体" w:cs="宋体"/>
                <w:b w:val="0"/>
                <w:i w:val="0"/>
                <w:caps w:val="0"/>
                <w:color w:val="auto"/>
                <w:spacing w:val="0"/>
                <w:w w:val="100"/>
                <w:kern w:val="0"/>
                <w:sz w:val="21"/>
                <w:szCs w:val="21"/>
                <w:highlight w:val="none"/>
                <w:lang w:val="en-US" w:eastAsia="zh-CN" w:bidi="ar-SA"/>
              </w:rPr>
              <w:t>分，中级职称的每人得1 分。（本项满分</w:t>
            </w:r>
            <w:r>
              <w:rPr>
                <w:rStyle w:val="98"/>
                <w:rFonts w:hint="eastAsia" w:hAnsi="宋体" w:cs="宋体"/>
                <w:b w:val="0"/>
                <w:i w:val="0"/>
                <w:caps w:val="0"/>
                <w:color w:val="auto"/>
                <w:spacing w:val="0"/>
                <w:w w:val="100"/>
                <w:kern w:val="0"/>
                <w:sz w:val="21"/>
                <w:szCs w:val="21"/>
                <w:highlight w:val="none"/>
                <w:lang w:val="en-US" w:eastAsia="zh-CN" w:bidi="ar-SA"/>
              </w:rPr>
              <w:t>9</w:t>
            </w:r>
            <w:r>
              <w:rPr>
                <w:rStyle w:val="98"/>
                <w:rFonts w:hint="eastAsia" w:ascii="宋体" w:hAnsi="宋体" w:eastAsia="宋体" w:cs="宋体"/>
                <w:b w:val="0"/>
                <w:i w:val="0"/>
                <w:caps w:val="0"/>
                <w:color w:val="auto"/>
                <w:spacing w:val="0"/>
                <w:w w:val="100"/>
                <w:kern w:val="0"/>
                <w:sz w:val="21"/>
                <w:szCs w:val="21"/>
                <w:highlight w:val="none"/>
                <w:lang w:val="en-US" w:eastAsia="zh-CN" w:bidi="ar-SA"/>
              </w:rPr>
              <w:t>分）</w:t>
            </w:r>
          </w:p>
          <w:p w14:paraId="400FF117">
            <w:pPr>
              <w:numPr>
                <w:ilvl w:val="0"/>
                <w:numId w:val="0"/>
              </w:numPr>
              <w:spacing w:line="360" w:lineRule="auto"/>
              <w:ind w:firstLine="420" w:firstLineChars="200"/>
              <w:rPr>
                <w:rFonts w:hint="eastAsia" w:ascii="宋体" w:hAnsi="宋体" w:eastAsia="宋体" w:cs="宋体"/>
                <w:bCs/>
                <w:color w:val="auto"/>
                <w:sz w:val="21"/>
                <w:szCs w:val="21"/>
                <w:highlight w:val="none"/>
                <w:lang w:eastAsia="zh-CN"/>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注：以最高学位或职称为准，不重复计分。需提供投标人为以上人员缴纳的截标前半年内任意1个月的社会保障资金的缴费凭证、拟投入人员的职称证书、注册执业证书等复印件，并加盖单位电子签章，否则不予计分。（退休返聘人员可列为项目团队人员但不计分，供应商拟投入本项目的人员每人员仅计分一次，取该人员具备的最高等级技术职称证书为准。）</w:t>
            </w:r>
          </w:p>
        </w:tc>
        <w:tc>
          <w:tcPr>
            <w:tcW w:w="966" w:type="dxa"/>
            <w:noWrap w:val="0"/>
            <w:vAlign w:val="center"/>
          </w:tcPr>
          <w:p w14:paraId="3E118F85">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14分</w:t>
            </w:r>
          </w:p>
        </w:tc>
      </w:tr>
    </w:tbl>
    <w:p w14:paraId="0A3F05CD">
      <w:pPr>
        <w:rPr>
          <w:rFonts w:hint="eastAsia" w:ascii="宋体" w:hAnsi="宋体" w:eastAsia="宋体" w:cs="宋体"/>
          <w:b/>
          <w:bCs w:val="0"/>
          <w:color w:val="auto"/>
          <w:sz w:val="32"/>
          <w:szCs w:val="32"/>
          <w:highlight w:val="none"/>
          <w:lang w:val="zh-CN"/>
        </w:rPr>
      </w:pPr>
      <w:r>
        <w:rPr>
          <w:rFonts w:hint="eastAsia" w:ascii="宋体" w:hAnsi="宋体" w:eastAsia="宋体" w:cs="宋体"/>
          <w:b/>
          <w:bCs w:val="0"/>
          <w:color w:val="auto"/>
          <w:sz w:val="32"/>
          <w:szCs w:val="32"/>
          <w:highlight w:val="none"/>
          <w:lang w:val="zh-CN"/>
        </w:rPr>
        <w:br w:type="page"/>
      </w:r>
    </w:p>
    <w:p w14:paraId="1F8053E2">
      <w:pPr>
        <w:pStyle w:val="2"/>
        <w:jc w:val="center"/>
        <w:rPr>
          <w:rFonts w:hint="default" w:ascii="宋体" w:hAnsi="宋体" w:eastAsia="宋体" w:cs="宋体"/>
          <w:color w:val="auto"/>
          <w:highlight w:val="none"/>
          <w:lang w:val="en-US"/>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二</w:t>
      </w:r>
      <w:r>
        <w:rPr>
          <w:rFonts w:hint="eastAsia" w:ascii="宋体" w:hAnsi="宋体" w:eastAsia="宋体" w:cs="宋体"/>
          <w:b/>
          <w:bCs w:val="0"/>
          <w:color w:val="auto"/>
          <w:sz w:val="32"/>
          <w:szCs w:val="32"/>
          <w:highlight w:val="none"/>
          <w:lang w:val="zh-CN"/>
        </w:rPr>
        <w:t>节 评</w:t>
      </w:r>
      <w:r>
        <w:rPr>
          <w:rFonts w:hint="eastAsia" w:ascii="宋体" w:hAnsi="宋体" w:cs="宋体"/>
          <w:b/>
          <w:bCs w:val="0"/>
          <w:color w:val="auto"/>
          <w:sz w:val="32"/>
          <w:szCs w:val="32"/>
          <w:highlight w:val="none"/>
          <w:lang w:val="en-US" w:eastAsia="zh-CN"/>
        </w:rPr>
        <w:t>审原则</w:t>
      </w:r>
    </w:p>
    <w:p w14:paraId="616B710C">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1.评审原则</w:t>
      </w:r>
    </w:p>
    <w:p w14:paraId="69EEB0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6DA4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根据《政府采购竞争性磋商采购方式管理暂行办法》（财库[2014]214号）第三十二一条规定，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14:paraId="0A93E4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385C5C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2.终止竞争性磋商采购活动</w:t>
      </w:r>
    </w:p>
    <w:p w14:paraId="4C9002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出现下列情形之一的，采购人或者采购代理机构应当终止竞争性磋商采购活动，发布项目终止公告并说明原因，重新开展采购活动：</w:t>
      </w:r>
    </w:p>
    <w:p w14:paraId="00FE99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2A0BD6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47E8E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（3）在采购过程中符合竞争要求的供应商或者报价未超过采购预算的供应商不足3家的，但《政府采购竞争性磋商采购方式管理暂行办法》第二十一条规定的情形除外。</w:t>
      </w:r>
    </w:p>
    <w:p w14:paraId="4D927CDC">
      <w:pPr>
        <w:keepNext/>
        <w:keepLines/>
        <w:spacing w:line="360" w:lineRule="auto"/>
        <w:ind w:firstLine="643" w:firstLineChars="200"/>
        <w:jc w:val="center"/>
        <w:outlineLvl w:val="1"/>
        <w:rPr>
          <w:rFonts w:hint="eastAsia" w:ascii="宋体" w:hAnsi="宋体" w:eastAsia="宋体" w:cs="宋体"/>
          <w:b/>
          <w:bCs w:val="0"/>
          <w:color w:val="auto"/>
          <w:sz w:val="32"/>
          <w:szCs w:val="32"/>
          <w:highlight w:val="none"/>
          <w:lang w:val="zh-CN"/>
        </w:rPr>
      </w:pPr>
      <w:bookmarkStart w:id="38" w:name="_Toc80205935"/>
      <w:bookmarkStart w:id="39" w:name="_Toc80886939"/>
    </w:p>
    <w:p w14:paraId="0247CBE2">
      <w:pPr>
        <w:keepNext/>
        <w:keepLines/>
        <w:spacing w:line="360" w:lineRule="auto"/>
        <w:ind w:firstLine="643" w:firstLineChars="200"/>
        <w:jc w:val="center"/>
        <w:outlineLvl w:val="1"/>
        <w:rPr>
          <w:rFonts w:hint="eastAsia" w:ascii="宋体" w:hAnsi="宋体" w:eastAsia="宋体" w:cs="宋体"/>
          <w:bCs/>
          <w:color w:val="auto"/>
          <w:sz w:val="32"/>
          <w:szCs w:val="32"/>
          <w:highlight w:val="none"/>
          <w:lang w:val="zh-CN"/>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三</w:t>
      </w:r>
      <w:r>
        <w:rPr>
          <w:rFonts w:hint="eastAsia" w:ascii="宋体" w:hAnsi="宋体" w:eastAsia="宋体" w:cs="宋体"/>
          <w:b/>
          <w:bCs w:val="0"/>
          <w:color w:val="auto"/>
          <w:sz w:val="32"/>
          <w:szCs w:val="32"/>
          <w:highlight w:val="none"/>
          <w:lang w:val="zh-CN"/>
        </w:rPr>
        <w:t>节 评</w:t>
      </w:r>
      <w:r>
        <w:rPr>
          <w:rFonts w:hint="eastAsia" w:ascii="宋体" w:hAnsi="宋体" w:cs="宋体"/>
          <w:b/>
          <w:bCs w:val="0"/>
          <w:color w:val="auto"/>
          <w:sz w:val="32"/>
          <w:szCs w:val="32"/>
          <w:highlight w:val="none"/>
          <w:lang w:val="en-US" w:eastAsia="zh-CN"/>
        </w:rPr>
        <w:t>审</w:t>
      </w:r>
      <w:r>
        <w:rPr>
          <w:rFonts w:hint="eastAsia" w:ascii="宋体" w:hAnsi="宋体" w:eastAsia="宋体" w:cs="宋体"/>
          <w:b/>
          <w:bCs w:val="0"/>
          <w:color w:val="auto"/>
          <w:sz w:val="32"/>
          <w:szCs w:val="32"/>
          <w:highlight w:val="none"/>
          <w:lang w:val="zh-CN"/>
        </w:rPr>
        <w:t>报告</w:t>
      </w:r>
      <w:bookmarkEnd w:id="38"/>
      <w:bookmarkEnd w:id="39"/>
    </w:p>
    <w:p w14:paraId="2CA2FF65">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1.成交标准</w:t>
      </w:r>
    </w:p>
    <w:p w14:paraId="588420F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0E7BAF4">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2.评标争议事项处理</w:t>
      </w:r>
    </w:p>
    <w:p w14:paraId="0D787852">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5339D97">
      <w:pPr>
        <w:keepNext/>
        <w:keepLines/>
        <w:spacing w:line="360" w:lineRule="auto"/>
        <w:ind w:firstLine="640" w:firstLineChars="200"/>
        <w:jc w:val="center"/>
        <w:outlineLvl w:val="1"/>
        <w:rPr>
          <w:rFonts w:hint="eastAsia" w:ascii="宋体" w:hAnsi="宋体" w:eastAsia="宋体" w:cs="宋体"/>
          <w:bCs/>
          <w:color w:val="auto"/>
          <w:sz w:val="32"/>
          <w:szCs w:val="32"/>
          <w:highlight w:val="none"/>
          <w:lang w:val="zh-CN"/>
        </w:rPr>
      </w:pPr>
      <w:bookmarkStart w:id="40" w:name="_Toc80886940"/>
      <w:bookmarkStart w:id="41" w:name="_Toc80205936"/>
    </w:p>
    <w:p w14:paraId="14072580">
      <w:pPr>
        <w:keepNext/>
        <w:keepLines/>
        <w:spacing w:line="360" w:lineRule="auto"/>
        <w:ind w:firstLine="643" w:firstLineChars="200"/>
        <w:jc w:val="center"/>
        <w:outlineLvl w:val="1"/>
        <w:rPr>
          <w:rFonts w:hint="eastAsia" w:ascii="宋体" w:hAnsi="宋体" w:eastAsia="宋体" w:cs="宋体"/>
          <w:b/>
          <w:bCs w:val="0"/>
          <w:color w:val="auto"/>
          <w:sz w:val="32"/>
          <w:szCs w:val="32"/>
          <w:highlight w:val="none"/>
          <w:lang w:val="zh-CN"/>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lang w:val="zh-CN"/>
        </w:rPr>
        <w:t>节 评审过程的保密与录像</w:t>
      </w:r>
      <w:bookmarkEnd w:id="40"/>
      <w:bookmarkEnd w:id="41"/>
    </w:p>
    <w:p w14:paraId="2E0CC062">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1.保密</w:t>
      </w:r>
    </w:p>
    <w:p w14:paraId="52B7108E">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E29884">
      <w:pPr>
        <w:widowControl/>
        <w:numPr>
          <w:ilvl w:val="0"/>
          <w:numId w:val="3"/>
        </w:num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录音录像</w:t>
      </w:r>
    </w:p>
    <w:p w14:paraId="50892122">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5F390E96">
      <w:pPr>
        <w:spacing w:line="400" w:lineRule="exact"/>
        <w:ind w:firstLine="420" w:firstLineChars="200"/>
        <w:rPr>
          <w:rFonts w:hint="eastAsia" w:ascii="宋体" w:hAnsi="宋体" w:eastAsia="宋体" w:cs="宋体"/>
          <w:color w:val="auto"/>
          <w:highlight w:val="none"/>
        </w:rPr>
      </w:pPr>
    </w:p>
    <w:p w14:paraId="3C93F8C5">
      <w:pPr>
        <w:pStyle w:val="4"/>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1DFB07">
      <w:pPr>
        <w:pStyle w:val="3"/>
        <w:numPr>
          <w:ilvl w:val="0"/>
          <w:numId w:val="1"/>
        </w:numPr>
        <w:bidi w:val="0"/>
        <w:jc w:val="center"/>
        <w:rPr>
          <w:rFonts w:hint="eastAsia"/>
        </w:rPr>
        <w:sectPr>
          <w:footerReference r:id="rId12" w:type="first"/>
          <w:footerReference r:id="rId11" w:type="default"/>
          <w:pgSz w:w="11910" w:h="16840"/>
          <w:pgMar w:top="1440" w:right="1080" w:bottom="1440" w:left="1080" w:header="720" w:footer="720" w:gutter="0"/>
          <w:cols w:space="720" w:num="1"/>
        </w:sectPr>
      </w:pPr>
      <w:bookmarkStart w:id="42" w:name="_Toc80886941"/>
      <w:r>
        <w:rPr>
          <w:rFonts w:hint="eastAsia"/>
        </w:rPr>
        <w:t>响应文件格式</w:t>
      </w:r>
      <w:bookmarkEnd w:id="42"/>
    </w:p>
    <w:p w14:paraId="3F5AD116">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43" w:name="_Toc80205938"/>
      <w:bookmarkStart w:id="44" w:name="_Toc80886942"/>
      <w:r>
        <w:rPr>
          <w:rFonts w:hint="eastAsia" w:ascii="宋体" w:hAnsi="宋体" w:eastAsia="宋体" w:cs="宋体"/>
          <w:b/>
          <w:bCs w:val="0"/>
          <w:color w:val="auto"/>
          <w:sz w:val="32"/>
          <w:szCs w:val="32"/>
          <w:highlight w:val="none"/>
        </w:rPr>
        <w:t>第一节 封面格式</w:t>
      </w:r>
      <w:bookmarkEnd w:id="43"/>
      <w:bookmarkEnd w:id="44"/>
    </w:p>
    <w:p w14:paraId="406DBA51">
      <w:pPr>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7D3E6257">
      <w:pPr>
        <w:snapToGrid w:val="0"/>
        <w:spacing w:before="120" w:beforeLines="50" w:after="50"/>
        <w:rPr>
          <w:rFonts w:hint="eastAsia" w:ascii="宋体" w:hAnsi="宋体" w:eastAsia="宋体" w:cs="宋体"/>
          <w:color w:val="auto"/>
          <w:sz w:val="24"/>
          <w:szCs w:val="20"/>
          <w:highlight w:val="none"/>
        </w:rPr>
      </w:pPr>
    </w:p>
    <w:p w14:paraId="3B27B1E6">
      <w:pPr>
        <w:snapToGrid w:val="0"/>
        <w:spacing w:before="120" w:beforeLines="50" w:after="50"/>
        <w:jc w:val="center"/>
        <w:rPr>
          <w:rFonts w:hint="eastAsia" w:ascii="宋体" w:hAnsi="宋体" w:eastAsia="宋体" w:cs="宋体"/>
          <w:bCs/>
          <w:color w:val="auto"/>
          <w:sz w:val="24"/>
          <w:szCs w:val="20"/>
          <w:highlight w:val="none"/>
        </w:rPr>
      </w:pPr>
    </w:p>
    <w:p w14:paraId="46CFBD98">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D16E678">
      <w:pPr>
        <w:snapToGrid w:val="0"/>
        <w:spacing w:before="120" w:beforeLines="50" w:after="50"/>
        <w:rPr>
          <w:rFonts w:hint="eastAsia" w:ascii="宋体" w:hAnsi="宋体" w:eastAsia="宋体" w:cs="宋体"/>
          <w:bCs/>
          <w:color w:val="auto"/>
          <w:sz w:val="24"/>
          <w:szCs w:val="20"/>
          <w:highlight w:val="none"/>
        </w:rPr>
      </w:pPr>
    </w:p>
    <w:p w14:paraId="391D3AA8">
      <w:pPr>
        <w:snapToGrid w:val="0"/>
        <w:spacing w:before="120" w:beforeLines="50" w:after="50"/>
        <w:rPr>
          <w:rFonts w:hint="eastAsia" w:ascii="宋体" w:hAnsi="宋体" w:eastAsia="宋体" w:cs="宋体"/>
          <w:bCs/>
          <w:color w:val="auto"/>
          <w:sz w:val="24"/>
          <w:szCs w:val="20"/>
          <w:highlight w:val="none"/>
        </w:rPr>
      </w:pPr>
    </w:p>
    <w:p w14:paraId="3E5FF0DC">
      <w:pPr>
        <w:snapToGrid w:val="0"/>
        <w:spacing w:before="120" w:beforeLines="50" w:after="50"/>
        <w:rPr>
          <w:rFonts w:hint="eastAsia" w:ascii="宋体" w:hAnsi="宋体" w:eastAsia="宋体" w:cs="宋体"/>
          <w:bCs/>
          <w:color w:val="auto"/>
          <w:sz w:val="32"/>
          <w:szCs w:val="32"/>
          <w:highlight w:val="none"/>
        </w:rPr>
      </w:pPr>
    </w:p>
    <w:p w14:paraId="7C44FD6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30C03F6">
      <w:pPr>
        <w:snapToGrid w:val="0"/>
        <w:spacing w:before="120" w:beforeLines="50" w:after="50"/>
        <w:ind w:firstLine="480" w:firstLineChars="150"/>
        <w:rPr>
          <w:rFonts w:hint="eastAsia" w:ascii="宋体" w:hAnsi="宋体" w:eastAsia="宋体" w:cs="宋体"/>
          <w:bCs/>
          <w:color w:val="auto"/>
          <w:sz w:val="32"/>
          <w:szCs w:val="32"/>
          <w:highlight w:val="none"/>
        </w:rPr>
      </w:pPr>
    </w:p>
    <w:p w14:paraId="453A951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EA1F77D">
      <w:pPr>
        <w:snapToGrid w:val="0"/>
        <w:spacing w:before="120" w:beforeLines="50" w:after="50"/>
        <w:ind w:firstLine="480" w:firstLineChars="150"/>
        <w:rPr>
          <w:rFonts w:hint="eastAsia" w:ascii="宋体" w:hAnsi="宋体" w:eastAsia="宋体" w:cs="宋体"/>
          <w:bCs/>
          <w:color w:val="auto"/>
          <w:sz w:val="32"/>
          <w:szCs w:val="32"/>
          <w:highlight w:val="none"/>
        </w:rPr>
      </w:pPr>
    </w:p>
    <w:p w14:paraId="4CAC401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62E39F7">
      <w:pPr>
        <w:snapToGrid w:val="0"/>
        <w:spacing w:before="120" w:beforeLines="50" w:after="50"/>
        <w:rPr>
          <w:rFonts w:hint="eastAsia" w:ascii="宋体" w:hAnsi="宋体" w:eastAsia="宋体" w:cs="宋体"/>
          <w:bCs/>
          <w:color w:val="auto"/>
          <w:sz w:val="32"/>
          <w:szCs w:val="32"/>
          <w:highlight w:val="none"/>
        </w:rPr>
      </w:pPr>
    </w:p>
    <w:p w14:paraId="5D2B699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3FD7C93">
      <w:pPr>
        <w:snapToGrid w:val="0"/>
        <w:spacing w:before="120" w:beforeLines="50" w:after="50"/>
        <w:rPr>
          <w:rFonts w:hint="eastAsia" w:ascii="宋体" w:hAnsi="宋体" w:eastAsia="宋体" w:cs="宋体"/>
          <w:bCs/>
          <w:color w:val="auto"/>
          <w:sz w:val="32"/>
          <w:szCs w:val="32"/>
          <w:highlight w:val="none"/>
        </w:rPr>
      </w:pPr>
    </w:p>
    <w:p w14:paraId="45E3AE8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B46BA2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56690D4A">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8221B8">
      <w:pPr>
        <w:rPr>
          <w:rFonts w:hint="eastAsia" w:ascii="宋体" w:hAnsi="宋体" w:eastAsia="宋体" w:cs="宋体"/>
          <w:color w:val="auto"/>
          <w:highlight w:val="none"/>
        </w:rPr>
        <w:sectPr>
          <w:pgSz w:w="11910" w:h="16840"/>
          <w:pgMar w:top="1440" w:right="1080" w:bottom="1440" w:left="1080" w:header="720" w:footer="720" w:gutter="0"/>
          <w:cols w:space="720" w:num="1"/>
        </w:sectPr>
      </w:pPr>
    </w:p>
    <w:p w14:paraId="655CE1D0">
      <w:pPr>
        <w:keepNext/>
        <w:keepLines/>
        <w:spacing w:before="260" w:after="260" w:line="416" w:lineRule="auto"/>
        <w:jc w:val="center"/>
        <w:outlineLvl w:val="1"/>
        <w:rPr>
          <w:rFonts w:hint="eastAsia" w:ascii="宋体" w:hAnsi="宋体" w:eastAsia="宋体" w:cs="宋体"/>
          <w:b/>
          <w:color w:val="auto"/>
          <w:sz w:val="32"/>
          <w:szCs w:val="32"/>
          <w:highlight w:val="none"/>
          <w:lang w:val="zh-CN"/>
        </w:rPr>
      </w:pPr>
      <w:bookmarkStart w:id="45" w:name="_Toc80205939"/>
      <w:bookmarkStart w:id="46" w:name="_Toc80886943"/>
      <w:r>
        <w:rPr>
          <w:rFonts w:hint="eastAsia" w:ascii="宋体" w:hAnsi="宋体" w:eastAsia="宋体" w:cs="宋体"/>
          <w:b/>
          <w:color w:val="auto"/>
          <w:sz w:val="32"/>
          <w:szCs w:val="32"/>
          <w:highlight w:val="none"/>
          <w:lang w:val="zh-CN"/>
        </w:rPr>
        <w:t>第二节 资格证明文件格式</w:t>
      </w:r>
      <w:bookmarkEnd w:id="45"/>
      <w:bookmarkEnd w:id="46"/>
    </w:p>
    <w:p w14:paraId="3A6C76A5">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CD20D42">
      <w:pPr>
        <w:snapToGrid w:val="0"/>
        <w:spacing w:before="120" w:beforeLines="50" w:after="50"/>
        <w:rPr>
          <w:rFonts w:hint="eastAsia" w:ascii="宋体" w:hAnsi="宋体" w:eastAsia="宋体" w:cs="宋体"/>
          <w:color w:val="auto"/>
          <w:sz w:val="24"/>
          <w:szCs w:val="20"/>
          <w:highlight w:val="none"/>
        </w:rPr>
      </w:pPr>
    </w:p>
    <w:p w14:paraId="792676F1">
      <w:pPr>
        <w:snapToGrid w:val="0"/>
        <w:spacing w:before="120" w:beforeLines="50" w:after="50"/>
        <w:rPr>
          <w:rFonts w:hint="eastAsia" w:ascii="宋体" w:hAnsi="宋体" w:eastAsia="宋体" w:cs="宋体"/>
          <w:color w:val="auto"/>
          <w:sz w:val="24"/>
          <w:szCs w:val="20"/>
          <w:highlight w:val="none"/>
        </w:rPr>
      </w:pPr>
    </w:p>
    <w:p w14:paraId="09C692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4AC30B9">
      <w:pPr>
        <w:snapToGrid w:val="0"/>
        <w:spacing w:before="120" w:beforeLines="50" w:after="50"/>
        <w:rPr>
          <w:rFonts w:hint="eastAsia" w:ascii="宋体" w:hAnsi="宋体" w:eastAsia="宋体" w:cs="宋体"/>
          <w:bCs/>
          <w:color w:val="auto"/>
          <w:sz w:val="24"/>
          <w:szCs w:val="20"/>
          <w:highlight w:val="none"/>
        </w:rPr>
      </w:pPr>
    </w:p>
    <w:p w14:paraId="53DF2A7C">
      <w:pPr>
        <w:snapToGrid w:val="0"/>
        <w:spacing w:before="120" w:beforeLines="50" w:after="50"/>
        <w:rPr>
          <w:rFonts w:hint="eastAsia" w:ascii="宋体" w:hAnsi="宋体" w:eastAsia="宋体" w:cs="宋体"/>
          <w:bCs/>
          <w:color w:val="auto"/>
          <w:sz w:val="24"/>
          <w:szCs w:val="20"/>
          <w:highlight w:val="none"/>
        </w:rPr>
      </w:pPr>
    </w:p>
    <w:p w14:paraId="2B277A20">
      <w:pPr>
        <w:snapToGrid w:val="0"/>
        <w:spacing w:before="120" w:beforeLines="50" w:after="50"/>
        <w:rPr>
          <w:rFonts w:hint="eastAsia" w:ascii="宋体" w:hAnsi="宋体" w:eastAsia="宋体" w:cs="宋体"/>
          <w:bCs/>
          <w:color w:val="auto"/>
          <w:sz w:val="24"/>
          <w:szCs w:val="20"/>
          <w:highlight w:val="none"/>
        </w:rPr>
      </w:pPr>
    </w:p>
    <w:p w14:paraId="2AF87718">
      <w:pPr>
        <w:snapToGrid w:val="0"/>
        <w:spacing w:before="120" w:beforeLines="50" w:after="50"/>
        <w:rPr>
          <w:rFonts w:hint="eastAsia" w:ascii="宋体" w:hAnsi="宋体" w:eastAsia="宋体" w:cs="宋体"/>
          <w:bCs/>
          <w:color w:val="auto"/>
          <w:sz w:val="24"/>
          <w:szCs w:val="20"/>
          <w:highlight w:val="none"/>
        </w:rPr>
      </w:pPr>
    </w:p>
    <w:p w14:paraId="013D4455">
      <w:pPr>
        <w:snapToGrid w:val="0"/>
        <w:spacing w:before="120" w:beforeLines="50" w:after="50"/>
        <w:rPr>
          <w:rFonts w:hint="eastAsia" w:ascii="宋体" w:hAnsi="宋体" w:eastAsia="宋体" w:cs="宋体"/>
          <w:bCs/>
          <w:color w:val="auto"/>
          <w:sz w:val="24"/>
          <w:szCs w:val="20"/>
          <w:highlight w:val="none"/>
        </w:rPr>
      </w:pPr>
    </w:p>
    <w:p w14:paraId="4135CCC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A629550">
      <w:pPr>
        <w:snapToGrid w:val="0"/>
        <w:spacing w:before="120" w:beforeLines="50" w:after="50"/>
        <w:ind w:firstLine="720" w:firstLineChars="225"/>
        <w:rPr>
          <w:rFonts w:hint="eastAsia" w:ascii="宋体" w:hAnsi="宋体" w:eastAsia="宋体" w:cs="宋体"/>
          <w:bCs/>
          <w:color w:val="auto"/>
          <w:sz w:val="32"/>
          <w:szCs w:val="32"/>
          <w:highlight w:val="none"/>
        </w:rPr>
      </w:pPr>
    </w:p>
    <w:p w14:paraId="107916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041D5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CCB19A7">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5D9A99B">
      <w:pPr>
        <w:snapToGrid w:val="0"/>
        <w:spacing w:before="120" w:beforeLines="50" w:after="50"/>
        <w:ind w:firstLine="720" w:firstLineChars="225"/>
        <w:rPr>
          <w:rFonts w:hint="eastAsia" w:ascii="宋体" w:hAnsi="宋体" w:eastAsia="宋体" w:cs="宋体"/>
          <w:bCs/>
          <w:color w:val="auto"/>
          <w:sz w:val="32"/>
          <w:szCs w:val="32"/>
          <w:highlight w:val="none"/>
        </w:rPr>
      </w:pPr>
    </w:p>
    <w:p w14:paraId="22914508">
      <w:pPr>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26654A4">
      <w:pPr>
        <w:snapToGrid w:val="0"/>
        <w:spacing w:before="50" w:after="50"/>
        <w:ind w:firstLine="720" w:firstLineChars="225"/>
        <w:rPr>
          <w:rFonts w:hint="eastAsia" w:ascii="宋体" w:hAnsi="宋体" w:eastAsia="宋体" w:cs="宋体"/>
          <w:bCs/>
          <w:color w:val="auto"/>
          <w:sz w:val="32"/>
          <w:szCs w:val="32"/>
          <w:highlight w:val="none"/>
        </w:rPr>
      </w:pPr>
    </w:p>
    <w:p w14:paraId="4CF1F9A5">
      <w:pPr>
        <w:snapToGrid w:val="0"/>
        <w:spacing w:before="50" w:after="50"/>
        <w:ind w:firstLine="720" w:firstLineChars="225"/>
        <w:rPr>
          <w:rFonts w:hint="eastAsia" w:ascii="宋体" w:hAnsi="宋体" w:eastAsia="宋体" w:cs="宋体"/>
          <w:bCs/>
          <w:color w:val="auto"/>
          <w:sz w:val="32"/>
          <w:szCs w:val="32"/>
          <w:highlight w:val="none"/>
        </w:rPr>
      </w:pPr>
    </w:p>
    <w:p w14:paraId="01E3A866">
      <w:pPr>
        <w:snapToGrid w:val="0"/>
        <w:spacing w:before="50" w:after="50"/>
        <w:ind w:firstLine="720" w:firstLineChars="225"/>
        <w:rPr>
          <w:rFonts w:hint="eastAsia" w:ascii="宋体" w:hAnsi="宋体" w:eastAsia="宋体" w:cs="宋体"/>
          <w:bCs/>
          <w:color w:val="auto"/>
          <w:sz w:val="32"/>
          <w:szCs w:val="32"/>
          <w:highlight w:val="none"/>
        </w:rPr>
      </w:pPr>
    </w:p>
    <w:p w14:paraId="13ACBC69">
      <w:pPr>
        <w:snapToGrid w:val="0"/>
        <w:spacing w:before="50" w:after="50"/>
        <w:ind w:firstLine="1280" w:firstLineChars="400"/>
        <w:rPr>
          <w:rFonts w:hint="eastAsia" w:ascii="宋体" w:hAnsi="宋体" w:eastAsia="宋体" w:cs="宋体"/>
          <w:bCs/>
          <w:color w:val="auto"/>
          <w:sz w:val="32"/>
          <w:szCs w:val="32"/>
          <w:highlight w:val="none"/>
        </w:rPr>
      </w:pPr>
    </w:p>
    <w:p w14:paraId="13A93257">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BCC610C">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0C766F28">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7DB79F93">
      <w:pPr>
        <w:snapToGrid w:val="0"/>
        <w:spacing w:line="360" w:lineRule="auto"/>
        <w:rPr>
          <w:rFonts w:hint="eastAsia" w:ascii="宋体" w:hAnsi="宋体" w:eastAsia="宋体" w:cs="宋体"/>
          <w:color w:val="auto"/>
          <w:kern w:val="0"/>
          <w:sz w:val="24"/>
          <w:highlight w:val="none"/>
        </w:rPr>
      </w:pPr>
    </w:p>
    <w:p w14:paraId="6263AC0E">
      <w:pPr>
        <w:snapToGrid w:val="0"/>
        <w:spacing w:before="120" w:beforeLines="50" w:after="50" w:line="360" w:lineRule="auto"/>
        <w:ind w:left="142"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根据</w:t>
      </w:r>
      <w:r>
        <w:rPr>
          <w:rFonts w:hint="eastAsia" w:ascii="宋体" w:hAnsi="宋体" w:eastAsia="宋体" w:cs="宋体"/>
          <w:b/>
          <w:bCs/>
          <w:color w:val="auto"/>
          <w:szCs w:val="21"/>
          <w:highlight w:val="none"/>
          <w:lang w:val="en-US" w:eastAsia="zh-CN"/>
        </w:rPr>
        <w:t>竞争性磋商</w:t>
      </w:r>
      <w:r>
        <w:rPr>
          <w:rFonts w:hint="eastAsia" w:ascii="宋体" w:hAnsi="宋体" w:eastAsia="宋体" w:cs="宋体"/>
          <w:b/>
          <w:bCs/>
          <w:color w:val="auto"/>
          <w:szCs w:val="21"/>
          <w:highlight w:val="none"/>
        </w:rPr>
        <w:t>文件规定及</w:t>
      </w:r>
      <w:r>
        <w:rPr>
          <w:rFonts w:hint="eastAsia" w:ascii="宋体" w:hAnsi="宋体" w:eastAsia="宋体" w:cs="宋体"/>
          <w:b/>
          <w:bCs/>
          <w:color w:val="auto"/>
          <w:szCs w:val="21"/>
          <w:highlight w:val="none"/>
          <w:lang w:val="en-US" w:eastAsia="zh-CN"/>
        </w:rPr>
        <w:t>竞标</w:t>
      </w:r>
      <w:r>
        <w:rPr>
          <w:rFonts w:hint="eastAsia" w:ascii="宋体" w:hAnsi="宋体" w:eastAsia="宋体" w:cs="宋体"/>
          <w:b/>
          <w:bCs/>
          <w:color w:val="auto"/>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725219B7">
      <w:pPr>
        <w:spacing w:line="300" w:lineRule="auto"/>
        <w:rPr>
          <w:rFonts w:hint="eastAsia" w:ascii="宋体" w:hAnsi="宋体" w:eastAsia="宋体" w:cs="宋体"/>
          <w:color w:val="auto"/>
          <w:szCs w:val="21"/>
          <w:highlight w:val="none"/>
        </w:rPr>
      </w:pPr>
    </w:p>
    <w:p w14:paraId="19E9154F">
      <w:pPr>
        <w:spacing w:line="300" w:lineRule="auto"/>
        <w:rPr>
          <w:rFonts w:hint="eastAsia" w:ascii="宋体" w:hAnsi="宋体" w:eastAsia="宋体" w:cs="宋体"/>
          <w:color w:val="auto"/>
          <w:szCs w:val="21"/>
          <w:highlight w:val="none"/>
        </w:rPr>
      </w:pPr>
    </w:p>
    <w:p w14:paraId="62C904A3">
      <w:pPr>
        <w:spacing w:line="300" w:lineRule="auto"/>
        <w:rPr>
          <w:rFonts w:hint="eastAsia" w:ascii="宋体" w:hAnsi="宋体" w:eastAsia="宋体" w:cs="宋体"/>
          <w:color w:val="auto"/>
          <w:szCs w:val="21"/>
          <w:highlight w:val="none"/>
        </w:rPr>
      </w:pPr>
    </w:p>
    <w:p w14:paraId="730CBBFC">
      <w:pPr>
        <w:spacing w:line="300" w:lineRule="auto"/>
        <w:rPr>
          <w:rFonts w:hint="eastAsia" w:ascii="宋体" w:hAnsi="宋体" w:eastAsia="宋体" w:cs="宋体"/>
          <w:color w:val="auto"/>
          <w:szCs w:val="21"/>
          <w:highlight w:val="none"/>
        </w:rPr>
      </w:pPr>
    </w:p>
    <w:p w14:paraId="4C957E16">
      <w:pPr>
        <w:spacing w:line="300" w:lineRule="auto"/>
        <w:rPr>
          <w:rFonts w:hint="eastAsia" w:ascii="宋体" w:hAnsi="宋体" w:eastAsia="宋体" w:cs="宋体"/>
          <w:color w:val="auto"/>
          <w:szCs w:val="21"/>
          <w:highlight w:val="none"/>
        </w:rPr>
      </w:pPr>
    </w:p>
    <w:p w14:paraId="52BD45CD">
      <w:pPr>
        <w:spacing w:line="300" w:lineRule="auto"/>
        <w:rPr>
          <w:rFonts w:hint="eastAsia" w:ascii="宋体" w:hAnsi="宋体" w:eastAsia="宋体" w:cs="宋体"/>
          <w:color w:val="auto"/>
          <w:szCs w:val="21"/>
          <w:highlight w:val="none"/>
        </w:rPr>
      </w:pPr>
    </w:p>
    <w:p w14:paraId="14B7C849">
      <w:pPr>
        <w:spacing w:line="300" w:lineRule="auto"/>
        <w:rPr>
          <w:rFonts w:hint="eastAsia" w:ascii="宋体" w:hAnsi="宋体" w:eastAsia="宋体" w:cs="宋体"/>
          <w:color w:val="auto"/>
          <w:szCs w:val="21"/>
          <w:highlight w:val="none"/>
        </w:rPr>
      </w:pPr>
    </w:p>
    <w:p w14:paraId="23AF1432">
      <w:pPr>
        <w:spacing w:line="300" w:lineRule="auto"/>
        <w:rPr>
          <w:rFonts w:hint="eastAsia" w:ascii="宋体" w:hAnsi="宋体" w:eastAsia="宋体" w:cs="宋体"/>
          <w:color w:val="auto"/>
          <w:szCs w:val="21"/>
          <w:highlight w:val="none"/>
        </w:rPr>
      </w:pPr>
    </w:p>
    <w:p w14:paraId="2FCC4995">
      <w:pPr>
        <w:spacing w:line="300" w:lineRule="auto"/>
        <w:rPr>
          <w:rFonts w:hint="eastAsia" w:ascii="宋体" w:hAnsi="宋体" w:eastAsia="宋体" w:cs="宋体"/>
          <w:color w:val="auto"/>
          <w:szCs w:val="21"/>
          <w:highlight w:val="none"/>
        </w:rPr>
      </w:pPr>
    </w:p>
    <w:p w14:paraId="78359D6D">
      <w:pPr>
        <w:autoSpaceDE w:val="0"/>
        <w:autoSpaceDN w:val="0"/>
        <w:spacing w:line="360" w:lineRule="auto"/>
        <w:ind w:firstLine="510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0"/>
          <w:szCs w:val="21"/>
          <w:highlight w:val="none"/>
          <w:lang w:val="zh-CN"/>
        </w:rPr>
        <w:br w:type="page"/>
      </w:r>
    </w:p>
    <w:p w14:paraId="4F201467">
      <w:pPr>
        <w:jc w:val="center"/>
        <w:rPr>
          <w:rFonts w:hint="eastAsia" w:ascii="宋体" w:hAnsi="宋体" w:eastAsia="宋体" w:cs="宋体"/>
          <w:b/>
          <w:bCs/>
          <w:color w:val="auto"/>
          <w:sz w:val="28"/>
          <w:szCs w:val="28"/>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 w:val="28"/>
          <w:szCs w:val="28"/>
          <w:lang w:val="en-US" w:eastAsia="zh-CN"/>
        </w:rPr>
        <w:t>百色市政府采购供应商信用承诺函(格式)</w:t>
      </w:r>
    </w:p>
    <w:p w14:paraId="1433EF86">
      <w:pPr>
        <w:jc w:val="center"/>
        <w:rPr>
          <w:rFonts w:hint="eastAsia" w:ascii="宋体" w:hAnsi="宋体" w:eastAsia="宋体" w:cs="宋体"/>
          <w:b/>
          <w:bCs/>
          <w:color w:val="auto"/>
          <w:sz w:val="28"/>
          <w:szCs w:val="28"/>
          <w:lang w:val="en-US" w:eastAsia="zh-CN"/>
        </w:rPr>
      </w:pPr>
    </w:p>
    <w:p w14:paraId="6159916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w:t>
      </w:r>
      <w:r>
        <w:rPr>
          <w:rFonts w:hint="eastAsia" w:ascii="宋体" w:hAnsi="宋体" w:eastAsia="宋体" w:cs="宋体"/>
          <w:color w:val="auto"/>
          <w:sz w:val="24"/>
          <w:szCs w:val="24"/>
          <w:u w:val="single"/>
          <w:lang w:val="en-US" w:eastAsia="zh-CN"/>
        </w:rPr>
        <w:t xml:space="preserve">_             </w:t>
      </w:r>
      <w:r>
        <w:rPr>
          <w:rFonts w:hint="eastAsia" w:ascii="宋体" w:hAnsi="宋体" w:eastAsia="宋体" w:cs="宋体"/>
          <w:color w:val="auto"/>
          <w:sz w:val="24"/>
          <w:szCs w:val="24"/>
          <w:lang w:val="en-US" w:eastAsia="zh-CN"/>
        </w:rPr>
        <w:t>(采购人或采购代理机构) :</w:t>
      </w:r>
    </w:p>
    <w:p w14:paraId="1E5B3FA9">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供应商名称:</w:t>
      </w:r>
      <w:r>
        <w:rPr>
          <w:rFonts w:hint="eastAsia" w:ascii="宋体" w:hAnsi="宋体" w:eastAsia="宋体" w:cs="宋体"/>
          <w:color w:val="auto"/>
          <w:sz w:val="24"/>
          <w:szCs w:val="24"/>
          <w:u w:val="single"/>
          <w:lang w:val="en-US" w:eastAsia="zh-CN"/>
        </w:rPr>
        <w:t xml:space="preserve">                           </w:t>
      </w:r>
    </w:p>
    <w:p w14:paraId="3C21DF90">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统一社会信用代码:</w:t>
      </w:r>
      <w:r>
        <w:rPr>
          <w:rFonts w:hint="eastAsia" w:ascii="宋体" w:hAnsi="宋体" w:eastAsia="宋体" w:cs="宋体"/>
          <w:color w:val="auto"/>
          <w:sz w:val="24"/>
          <w:szCs w:val="24"/>
          <w:u w:val="single"/>
          <w:lang w:val="en-US" w:eastAsia="zh-CN"/>
        </w:rPr>
        <w:t xml:space="preserve">                     </w:t>
      </w:r>
    </w:p>
    <w:p w14:paraId="24EAACBB">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供应商地址:</w:t>
      </w:r>
      <w:r>
        <w:rPr>
          <w:rFonts w:hint="eastAsia" w:ascii="宋体" w:hAnsi="宋体" w:eastAsia="宋体" w:cs="宋体"/>
          <w:color w:val="auto"/>
          <w:sz w:val="24"/>
          <w:szCs w:val="24"/>
          <w:u w:val="single"/>
          <w:lang w:val="en-US" w:eastAsia="zh-CN"/>
        </w:rPr>
        <w:t xml:space="preserve">                           </w:t>
      </w:r>
    </w:p>
    <w:p w14:paraId="60B163A3">
      <w:pPr>
        <w:spacing w:line="360" w:lineRule="auto"/>
        <w:ind w:firstLine="480" w:firstLineChars="200"/>
        <w:rPr>
          <w:rFonts w:hint="eastAsia" w:ascii="宋体" w:hAnsi="宋体" w:eastAsia="宋体" w:cs="宋体"/>
          <w:color w:val="auto"/>
          <w:sz w:val="24"/>
          <w:szCs w:val="24"/>
          <w:lang w:val="en-US" w:eastAsia="zh-CN"/>
        </w:rPr>
      </w:pPr>
    </w:p>
    <w:p w14:paraId="6798999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我方自愿参加_</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(项目名称)项目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项目编号)的政府采购活动，严格遵守《中华人民共和国政府采购法》及相关法律法规，依法诚信经营，无条件遵守本次政府采购活动的各项规定。并郑重承诺，我方符合《中华人民共和国政府采购法》第二十二条规定的条件:</w:t>
      </w:r>
    </w:p>
    <w:p w14:paraId="1623756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w:t>
      </w:r>
    </w:p>
    <w:p w14:paraId="6AABDCA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2.具有符合采购文件资格要求的财务状况报告。</w:t>
      </w:r>
    </w:p>
    <w:p w14:paraId="087C388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3.具有符合采购文件资格要求的依法缴纳税收和社会保障记录的良好记录。</w:t>
      </w:r>
    </w:p>
    <w:p w14:paraId="7855149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4.具有符合采购文件资格要求履行合同所必需的设备和专业技术能力。</w:t>
      </w:r>
    </w:p>
    <w:p w14:paraId="27FF017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5.参加政府采购活动前三年内，在经营活动中没有重大违法记录。</w:t>
      </w:r>
    </w:p>
    <w:p w14:paraId="46C6D7CA">
      <w:pPr>
        <w:numPr>
          <w:ilvl w:val="0"/>
          <w:numId w:val="4"/>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法律、行政法规规定的其他条件。</w:t>
      </w:r>
    </w:p>
    <w:p w14:paraId="29D471DE">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若我方保证上述承诺事项的真实性。如有虚假，将依法承担相应的法律责任。</w:t>
      </w:r>
    </w:p>
    <w:p w14:paraId="78C3E2E1">
      <w:pPr>
        <w:numPr>
          <w:ilvl w:val="0"/>
          <w:numId w:val="0"/>
        </w:numPr>
        <w:spacing w:line="360" w:lineRule="auto"/>
        <w:ind w:firstLine="240" w:firstLineChars="100"/>
        <w:rPr>
          <w:rFonts w:hint="eastAsia" w:ascii="宋体" w:hAnsi="宋体" w:eastAsia="宋体" w:cs="宋体"/>
          <w:color w:val="auto"/>
          <w:sz w:val="24"/>
          <w:szCs w:val="24"/>
          <w:lang w:val="en-US" w:eastAsia="zh-CN"/>
        </w:rPr>
      </w:pPr>
    </w:p>
    <w:p w14:paraId="7268B6D4">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供应商名称(公章):</w:t>
      </w:r>
    </w:p>
    <w:p w14:paraId="7A2C1E16">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9D994E6">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法定代表人或授权代表(签名):</w:t>
      </w:r>
    </w:p>
    <w:p w14:paraId="0E6E4953">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26D59CE8">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日期:   年   月   日</w:t>
      </w:r>
    </w:p>
    <w:p w14:paraId="26352E3A">
      <w:pPr>
        <w:numPr>
          <w:ilvl w:val="0"/>
          <w:numId w:val="0"/>
        </w:numPr>
        <w:spacing w:line="360" w:lineRule="auto"/>
        <w:rPr>
          <w:rFonts w:hint="eastAsia" w:ascii="宋体" w:hAnsi="宋体" w:eastAsia="宋体" w:cs="宋体"/>
          <w:color w:val="auto"/>
          <w:sz w:val="24"/>
          <w:szCs w:val="24"/>
          <w:lang w:val="en-US" w:eastAsia="zh-CN"/>
        </w:rPr>
      </w:pPr>
    </w:p>
    <w:p w14:paraId="4080F63E">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注:供应商的法定代表人(其他组织的为负责人)或者授权代表的签名或盖章应真实、有效，如由授权代表签名或盖章的，应提供“法定代表人授权书”</w:t>
      </w:r>
    </w:p>
    <w:p w14:paraId="6C0321E0">
      <w:pPr>
        <w:numPr>
          <w:ilvl w:val="0"/>
          <w:numId w:val="0"/>
        </w:numPr>
        <w:spacing w:line="360" w:lineRule="auto"/>
        <w:rPr>
          <w:rFonts w:hint="eastAsia" w:ascii="宋体" w:hAnsi="宋体" w:eastAsia="宋体" w:cs="宋体"/>
          <w:color w:val="auto"/>
          <w:sz w:val="24"/>
          <w:szCs w:val="24"/>
          <w:lang w:val="en-US" w:eastAsia="zh-CN"/>
        </w:rPr>
      </w:pPr>
    </w:p>
    <w:p w14:paraId="3D508860">
      <w:pPr>
        <w:pStyle w:val="22"/>
        <w:rPr>
          <w:rFonts w:hint="eastAsia" w:ascii="宋体" w:hAnsi="宋体" w:eastAsia="宋体" w:cs="宋体"/>
          <w:color w:val="auto"/>
          <w:highlight w:val="none"/>
        </w:rPr>
      </w:pPr>
    </w:p>
    <w:p w14:paraId="30368BA3">
      <w:pPr>
        <w:rPr>
          <w:rFonts w:hint="eastAsia" w:ascii="宋体" w:hAnsi="宋体" w:eastAsia="宋体" w:cs="宋体"/>
          <w:color w:val="auto"/>
          <w:highlight w:val="none"/>
        </w:rPr>
      </w:pPr>
    </w:p>
    <w:p w14:paraId="10DE63A8">
      <w:pPr>
        <w:spacing w:line="360" w:lineRule="auto"/>
        <w:contextualSpacing/>
        <w:rPr>
          <w:rFonts w:hint="eastAsia" w:ascii="宋体" w:hAnsi="宋体" w:eastAsia="宋体" w:cs="宋体"/>
          <w:b/>
          <w:color w:val="auto"/>
          <w:kern w:val="0"/>
          <w:sz w:val="30"/>
          <w:szCs w:val="30"/>
          <w:highlight w:val="none"/>
          <w:lang w:val="zh-CN"/>
        </w:rPr>
      </w:pPr>
    </w:p>
    <w:p w14:paraId="36EF2F71">
      <w:pPr>
        <w:spacing w:line="360" w:lineRule="auto"/>
        <w:contextualSpacing/>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t>供应商直接控股股东信息</w:t>
      </w:r>
    </w:p>
    <w:p w14:paraId="12CF95C0">
      <w:pPr>
        <w:spacing w:line="360" w:lineRule="auto"/>
        <w:contextualSpacing/>
        <w:jc w:val="center"/>
        <w:rPr>
          <w:rFonts w:hint="eastAsia" w:ascii="宋体" w:hAnsi="宋体" w:eastAsia="宋体" w:cs="宋体"/>
          <w:b/>
          <w:color w:val="auto"/>
          <w:sz w:val="24"/>
          <w:highlight w:val="none"/>
        </w:rPr>
      </w:pPr>
    </w:p>
    <w:tbl>
      <w:tblPr>
        <w:tblStyle w:val="3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1B1B15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CBB46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03928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AD1DE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F85C4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B2BBC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CC02E8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83CA7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86C2C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B4DFC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3C045E">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35FB16">
            <w:pPr>
              <w:widowControl/>
              <w:spacing w:line="360" w:lineRule="auto"/>
              <w:contextualSpacing/>
              <w:jc w:val="center"/>
              <w:rPr>
                <w:rFonts w:hint="eastAsia" w:ascii="宋体" w:hAnsi="宋体" w:eastAsia="宋体" w:cs="宋体"/>
                <w:color w:val="auto"/>
                <w:kern w:val="0"/>
                <w:sz w:val="24"/>
                <w:highlight w:val="none"/>
              </w:rPr>
            </w:pPr>
          </w:p>
        </w:tc>
      </w:tr>
      <w:tr w14:paraId="23ED07A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1C317D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259312">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19F1B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30423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5C954B">
            <w:pPr>
              <w:widowControl/>
              <w:spacing w:line="360" w:lineRule="auto"/>
              <w:contextualSpacing/>
              <w:jc w:val="center"/>
              <w:rPr>
                <w:rFonts w:hint="eastAsia" w:ascii="宋体" w:hAnsi="宋体" w:eastAsia="宋体" w:cs="宋体"/>
                <w:color w:val="auto"/>
                <w:kern w:val="0"/>
                <w:sz w:val="24"/>
                <w:highlight w:val="none"/>
              </w:rPr>
            </w:pPr>
          </w:p>
        </w:tc>
      </w:tr>
      <w:tr w14:paraId="44E1659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210AD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E6706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93F2D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524B5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E9BC37">
            <w:pPr>
              <w:widowControl/>
              <w:spacing w:line="360" w:lineRule="auto"/>
              <w:contextualSpacing/>
              <w:jc w:val="center"/>
              <w:rPr>
                <w:rFonts w:hint="eastAsia" w:ascii="宋体" w:hAnsi="宋体" w:eastAsia="宋体" w:cs="宋体"/>
                <w:color w:val="auto"/>
                <w:kern w:val="0"/>
                <w:sz w:val="24"/>
                <w:highlight w:val="none"/>
              </w:rPr>
            </w:pPr>
          </w:p>
        </w:tc>
      </w:tr>
      <w:tr w14:paraId="1A51B2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06C89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81DDB5">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6AACE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CE4C841">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A86F24">
            <w:pPr>
              <w:widowControl/>
              <w:spacing w:line="360" w:lineRule="auto"/>
              <w:contextualSpacing/>
              <w:jc w:val="center"/>
              <w:rPr>
                <w:rFonts w:hint="eastAsia" w:ascii="宋体" w:hAnsi="宋体" w:eastAsia="宋体" w:cs="宋体"/>
                <w:color w:val="auto"/>
                <w:kern w:val="0"/>
                <w:sz w:val="24"/>
                <w:highlight w:val="none"/>
              </w:rPr>
            </w:pPr>
          </w:p>
        </w:tc>
      </w:tr>
    </w:tbl>
    <w:p w14:paraId="56C65B48">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C3A0A0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B476A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3436C9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89EB3E4">
      <w:pPr>
        <w:snapToGrid w:val="0"/>
        <w:spacing w:line="360" w:lineRule="auto"/>
        <w:jc w:val="left"/>
        <w:rPr>
          <w:rFonts w:hint="eastAsia" w:ascii="宋体" w:hAnsi="宋体" w:eastAsia="宋体" w:cs="宋体"/>
          <w:color w:val="auto"/>
          <w:sz w:val="24"/>
          <w:highlight w:val="none"/>
        </w:rPr>
      </w:pPr>
    </w:p>
    <w:p w14:paraId="1DD83ED9">
      <w:pPr>
        <w:snapToGrid w:val="0"/>
        <w:spacing w:line="360" w:lineRule="auto"/>
        <w:jc w:val="left"/>
        <w:rPr>
          <w:rFonts w:hint="eastAsia" w:ascii="宋体" w:hAnsi="宋体" w:eastAsia="宋体" w:cs="宋体"/>
          <w:color w:val="auto"/>
          <w:sz w:val="24"/>
          <w:highlight w:val="none"/>
        </w:rPr>
      </w:pPr>
    </w:p>
    <w:p w14:paraId="33432B2F">
      <w:pPr>
        <w:snapToGrid w:val="0"/>
        <w:spacing w:line="360" w:lineRule="auto"/>
        <w:jc w:val="left"/>
        <w:rPr>
          <w:rFonts w:hint="eastAsia" w:ascii="宋体" w:hAnsi="宋体" w:eastAsia="宋体" w:cs="宋体"/>
          <w:color w:val="auto"/>
          <w:sz w:val="24"/>
          <w:highlight w:val="none"/>
        </w:rPr>
      </w:pPr>
    </w:p>
    <w:p w14:paraId="370AB51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289DD7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C4FEECA">
      <w:pPr>
        <w:snapToGrid w:val="0"/>
        <w:rPr>
          <w:rFonts w:hint="eastAsia" w:ascii="宋体" w:hAnsi="宋体" w:eastAsia="宋体" w:cs="宋体"/>
          <w:b/>
          <w:color w:val="auto"/>
          <w:kern w:val="0"/>
          <w:sz w:val="30"/>
          <w:szCs w:val="30"/>
          <w:highlight w:val="none"/>
          <w:lang w:val="zh-CN"/>
        </w:rPr>
      </w:pPr>
    </w:p>
    <w:p w14:paraId="5F9FCEB2">
      <w:pPr>
        <w:pStyle w:val="2"/>
        <w:rPr>
          <w:rFonts w:hint="eastAsia" w:ascii="宋体" w:hAnsi="宋体" w:eastAsia="宋体" w:cs="宋体"/>
          <w:b/>
          <w:color w:val="auto"/>
          <w:kern w:val="0"/>
          <w:sz w:val="30"/>
          <w:szCs w:val="30"/>
          <w:highlight w:val="none"/>
          <w:lang w:val="zh-CN"/>
        </w:rPr>
      </w:pPr>
    </w:p>
    <w:p w14:paraId="5F84679A">
      <w:pPr>
        <w:rPr>
          <w:rFonts w:hint="eastAsia" w:ascii="宋体" w:hAnsi="宋体" w:eastAsia="宋体" w:cs="宋体"/>
          <w:b/>
          <w:color w:val="auto"/>
          <w:kern w:val="0"/>
          <w:sz w:val="30"/>
          <w:szCs w:val="30"/>
          <w:highlight w:val="none"/>
          <w:lang w:val="zh-CN"/>
        </w:rPr>
      </w:pPr>
    </w:p>
    <w:p w14:paraId="7EADAF7C">
      <w:pPr>
        <w:pStyle w:val="2"/>
        <w:rPr>
          <w:rFonts w:hint="eastAsia" w:ascii="宋体" w:hAnsi="宋体" w:eastAsia="宋体" w:cs="宋体"/>
          <w:b/>
          <w:color w:val="auto"/>
          <w:kern w:val="0"/>
          <w:sz w:val="30"/>
          <w:szCs w:val="30"/>
          <w:highlight w:val="none"/>
          <w:lang w:val="zh-CN"/>
        </w:rPr>
      </w:pPr>
    </w:p>
    <w:p w14:paraId="1233DE0F">
      <w:pPr>
        <w:pStyle w:val="22"/>
        <w:rPr>
          <w:rFonts w:hint="eastAsia" w:ascii="宋体" w:hAnsi="宋体" w:eastAsia="宋体" w:cs="宋体"/>
          <w:b/>
          <w:color w:val="auto"/>
          <w:kern w:val="0"/>
          <w:sz w:val="30"/>
          <w:szCs w:val="30"/>
          <w:highlight w:val="none"/>
          <w:lang w:val="zh-CN"/>
        </w:rPr>
      </w:pPr>
    </w:p>
    <w:p w14:paraId="0D8FA053">
      <w:pPr>
        <w:rPr>
          <w:rFonts w:hint="eastAsia" w:ascii="宋体" w:hAnsi="宋体" w:eastAsia="宋体" w:cs="宋体"/>
          <w:b/>
          <w:color w:val="auto"/>
          <w:kern w:val="0"/>
          <w:sz w:val="30"/>
          <w:szCs w:val="30"/>
          <w:highlight w:val="none"/>
          <w:lang w:val="zh-CN"/>
        </w:rPr>
      </w:pPr>
    </w:p>
    <w:p w14:paraId="08DD1BAA">
      <w:pPr>
        <w:pStyle w:val="47"/>
        <w:rPr>
          <w:rFonts w:hint="eastAsia" w:ascii="宋体" w:hAnsi="宋体" w:eastAsia="宋体" w:cs="宋体"/>
          <w:color w:val="auto"/>
          <w:highlight w:val="none"/>
          <w:lang w:val="zh-CN"/>
        </w:rPr>
      </w:pPr>
    </w:p>
    <w:p w14:paraId="56745892">
      <w:pPr>
        <w:snapToGrid w:val="0"/>
        <w:rPr>
          <w:rFonts w:hint="eastAsia" w:ascii="宋体" w:hAnsi="宋体" w:eastAsia="宋体" w:cs="宋体"/>
          <w:b/>
          <w:color w:val="auto"/>
          <w:kern w:val="0"/>
          <w:sz w:val="30"/>
          <w:szCs w:val="30"/>
          <w:highlight w:val="none"/>
          <w:lang w:val="zh-CN"/>
        </w:rPr>
      </w:pPr>
    </w:p>
    <w:p w14:paraId="2BA07C4A">
      <w:pPr>
        <w:snapToGrid w:val="0"/>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t>供应商直接管理关系信息表</w:t>
      </w:r>
    </w:p>
    <w:p w14:paraId="6DEB302A">
      <w:pPr>
        <w:snapToGrid w:val="0"/>
        <w:rPr>
          <w:rFonts w:hint="eastAsia" w:ascii="宋体" w:hAnsi="宋体" w:eastAsia="宋体" w:cs="宋体"/>
          <w:b/>
          <w:color w:val="auto"/>
          <w:kern w:val="0"/>
          <w:sz w:val="30"/>
          <w:szCs w:val="30"/>
          <w:highlight w:val="none"/>
          <w:lang w:val="zh-CN"/>
        </w:rPr>
      </w:pPr>
    </w:p>
    <w:tbl>
      <w:tblPr>
        <w:tblStyle w:val="3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EB3F3C">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57BC5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D7AA8D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65C2D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3914F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C45A14">
        <w:tblPrEx>
          <w:tblCellMar>
            <w:top w:w="0" w:type="dxa"/>
            <w:left w:w="0" w:type="dxa"/>
            <w:bottom w:w="0" w:type="dxa"/>
            <w:right w:w="0" w:type="dxa"/>
          </w:tblCellMar>
        </w:tblPrEx>
        <w:trPr>
          <w:trHeight w:val="486"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F52C2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75BC6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7264D5">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A1052A">
            <w:pPr>
              <w:widowControl/>
              <w:spacing w:line="360" w:lineRule="auto"/>
              <w:contextualSpacing/>
              <w:jc w:val="center"/>
              <w:rPr>
                <w:rFonts w:hint="eastAsia" w:ascii="宋体" w:hAnsi="宋体" w:eastAsia="宋体" w:cs="宋体"/>
                <w:color w:val="auto"/>
                <w:kern w:val="0"/>
                <w:sz w:val="24"/>
                <w:highlight w:val="none"/>
              </w:rPr>
            </w:pPr>
          </w:p>
        </w:tc>
      </w:tr>
      <w:tr w14:paraId="22E0965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ACF57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09A7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C058C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A4220F">
            <w:pPr>
              <w:widowControl/>
              <w:spacing w:line="360" w:lineRule="auto"/>
              <w:contextualSpacing/>
              <w:jc w:val="center"/>
              <w:rPr>
                <w:rFonts w:hint="eastAsia" w:ascii="宋体" w:hAnsi="宋体" w:eastAsia="宋体" w:cs="宋体"/>
                <w:color w:val="auto"/>
                <w:kern w:val="0"/>
                <w:sz w:val="24"/>
                <w:highlight w:val="none"/>
              </w:rPr>
            </w:pPr>
          </w:p>
        </w:tc>
      </w:tr>
      <w:tr w14:paraId="67CADCD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B1838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CC378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1E283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8FD5BF">
            <w:pPr>
              <w:widowControl/>
              <w:spacing w:line="360" w:lineRule="auto"/>
              <w:contextualSpacing/>
              <w:jc w:val="center"/>
              <w:rPr>
                <w:rFonts w:hint="eastAsia" w:ascii="宋体" w:hAnsi="宋体" w:eastAsia="宋体" w:cs="宋体"/>
                <w:color w:val="auto"/>
                <w:kern w:val="0"/>
                <w:sz w:val="24"/>
                <w:highlight w:val="none"/>
              </w:rPr>
            </w:pPr>
          </w:p>
        </w:tc>
      </w:tr>
      <w:tr w14:paraId="6D4DB705">
        <w:tblPrEx>
          <w:tblCellMar>
            <w:top w:w="0" w:type="dxa"/>
            <w:left w:w="0" w:type="dxa"/>
            <w:bottom w:w="0" w:type="dxa"/>
            <w:right w:w="0" w:type="dxa"/>
          </w:tblCellMar>
        </w:tblPrEx>
        <w:trPr>
          <w:trHeight w:val="466"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91D56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8D703C">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67C60B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072680">
            <w:pPr>
              <w:widowControl/>
              <w:spacing w:line="360" w:lineRule="auto"/>
              <w:contextualSpacing/>
              <w:jc w:val="center"/>
              <w:rPr>
                <w:rFonts w:hint="eastAsia" w:ascii="宋体" w:hAnsi="宋体" w:eastAsia="宋体" w:cs="宋体"/>
                <w:color w:val="auto"/>
                <w:kern w:val="0"/>
                <w:sz w:val="24"/>
                <w:highlight w:val="none"/>
              </w:rPr>
            </w:pPr>
          </w:p>
        </w:tc>
      </w:tr>
    </w:tbl>
    <w:p w14:paraId="2909135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57B5C7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55EBEB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42CFB0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0906BE5">
      <w:pPr>
        <w:spacing w:line="360" w:lineRule="auto"/>
        <w:contextualSpacing/>
        <w:jc w:val="left"/>
        <w:rPr>
          <w:rFonts w:hint="eastAsia" w:ascii="宋体" w:hAnsi="宋体" w:eastAsia="宋体" w:cs="宋体"/>
          <w:color w:val="auto"/>
          <w:sz w:val="24"/>
          <w:highlight w:val="none"/>
        </w:rPr>
      </w:pPr>
    </w:p>
    <w:p w14:paraId="3844DD7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072648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4A1CDE5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1A784F7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96AEAF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84B043">
      <w:pPr>
        <w:autoSpaceDE w:val="0"/>
        <w:autoSpaceDN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月   日</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lang w:val="zh-CN"/>
        </w:rPr>
        <w:t>资格声明函</w:t>
      </w:r>
    </w:p>
    <w:p w14:paraId="0640C70D">
      <w:pPr>
        <w:spacing w:line="320" w:lineRule="exact"/>
        <w:jc w:val="center"/>
        <w:rPr>
          <w:rFonts w:hint="eastAsia" w:ascii="宋体" w:hAnsi="宋体" w:eastAsia="宋体" w:cs="宋体"/>
          <w:b/>
          <w:color w:val="auto"/>
          <w:sz w:val="32"/>
          <w:szCs w:val="32"/>
          <w:highlight w:val="none"/>
        </w:rPr>
      </w:pPr>
    </w:p>
    <w:p w14:paraId="1EB6AA77">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473D7ADC">
      <w:pPr>
        <w:spacing w:line="320" w:lineRule="exact"/>
        <w:jc w:val="center"/>
        <w:rPr>
          <w:rFonts w:hint="eastAsia" w:ascii="宋体" w:hAnsi="宋体" w:eastAsia="宋体" w:cs="宋体"/>
          <w:color w:val="auto"/>
          <w:sz w:val="24"/>
          <w:szCs w:val="20"/>
          <w:highlight w:val="none"/>
        </w:rPr>
      </w:pPr>
    </w:p>
    <w:p w14:paraId="628A36E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2F818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DD2BE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B5E53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496192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AD6089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04801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7C664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49FE81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62F78A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61557FF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2D5A2E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63978E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7EB9A8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016C8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65665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2F7A6BB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0F49C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08667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8C6B1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76905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C6EAD80">
      <w:pPr>
        <w:spacing w:line="360" w:lineRule="auto"/>
        <w:ind w:firstLine="480" w:firstLineChars="200"/>
        <w:contextualSpacing/>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zh-CN"/>
        </w:rPr>
        <w:t>7.与本磋商有关的一切正式往来信函请寄：</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邮政编号：</w:t>
      </w:r>
      <w:r>
        <w:rPr>
          <w:rFonts w:hint="eastAsia" w:ascii="宋体" w:hAnsi="宋体" w:eastAsia="宋体" w:cs="宋体"/>
          <w:color w:val="auto"/>
          <w:kern w:val="0"/>
          <w:sz w:val="24"/>
          <w:highlight w:val="none"/>
          <w:u w:val="single"/>
          <w:lang w:val="zh-CN"/>
        </w:rPr>
        <w:t xml:space="preserve">        </w:t>
      </w:r>
    </w:p>
    <w:p w14:paraId="2C83300C">
      <w:pPr>
        <w:spacing w:line="360" w:lineRule="auto"/>
        <w:ind w:firstLine="480" w:firstLineChars="200"/>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电话/传真：</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电子函件：</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w:t>
      </w:r>
    </w:p>
    <w:p w14:paraId="72647080">
      <w:pPr>
        <w:tabs>
          <w:tab w:val="left" w:pos="939"/>
        </w:tabs>
        <w:spacing w:line="360" w:lineRule="auto"/>
        <w:ind w:left="141" w:leftChars="67" w:firstLine="360" w:firstLineChars="1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588D4848">
      <w:pPr>
        <w:tabs>
          <w:tab w:val="left" w:pos="939"/>
        </w:tabs>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39FB11F5">
      <w:pPr>
        <w:tabs>
          <w:tab w:val="left" w:pos="939"/>
        </w:tabs>
        <w:spacing w:line="360" w:lineRule="auto"/>
        <w:ind w:left="141" w:leftChars="67" w:firstLine="360" w:firstLineChars="1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BB9486D">
      <w:pPr>
        <w:tabs>
          <w:tab w:val="left" w:pos="939"/>
        </w:tabs>
        <w:spacing w:line="360" w:lineRule="auto"/>
        <w:ind w:firstLine="480" w:firstLineChars="200"/>
        <w:contextualSpacing/>
        <w:rPr>
          <w:rFonts w:hint="eastAsia" w:ascii="宋体" w:hAnsi="宋体" w:eastAsia="宋体" w:cs="宋体"/>
          <w:color w:val="auto"/>
          <w:sz w:val="24"/>
          <w:highlight w:val="none"/>
        </w:rPr>
      </w:pPr>
    </w:p>
    <w:p w14:paraId="2F1F32C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C66296">
      <w:pPr>
        <w:overflowPunct w:val="0"/>
        <w:spacing w:line="520" w:lineRule="exact"/>
        <w:jc w:val="center"/>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月   日</w:t>
      </w:r>
    </w:p>
    <w:p w14:paraId="0292F09A">
      <w:pPr>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br w:type="page"/>
      </w:r>
    </w:p>
    <w:p w14:paraId="20B39E31">
      <w:pPr>
        <w:overflowPunct w:val="0"/>
        <w:spacing w:line="520" w:lineRule="exact"/>
        <w:jc w:val="both"/>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zh-CN"/>
        </w:rPr>
        <w:t>联合体协议书（如有）</w:t>
      </w:r>
    </w:p>
    <w:p w14:paraId="1AF2F813">
      <w:pPr>
        <w:spacing w:line="600" w:lineRule="exact"/>
        <w:jc w:val="center"/>
        <w:rPr>
          <w:rFonts w:hint="eastAsia" w:ascii="宋体" w:hAnsi="宋体" w:eastAsia="宋体" w:cs="宋体"/>
          <w:color w:val="auto"/>
          <w:sz w:val="44"/>
          <w:szCs w:val="44"/>
          <w:highlight w:val="none"/>
        </w:rPr>
      </w:pPr>
    </w:p>
    <w:p w14:paraId="59717CE3">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联合体竞标协议书（格式）</w:t>
      </w:r>
    </w:p>
    <w:p w14:paraId="1DFD4DA3">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4BF0E6F0">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1C8D167C">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270C0482">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AC3E229">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E0FFD46">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________________________________________________</w:t>
      </w:r>
      <w:r>
        <w:rPr>
          <w:rFonts w:hint="eastAsia" w:ascii="宋体" w:hAnsi="宋体" w:eastAsia="宋体" w:cs="宋体"/>
          <w:color w:val="auto"/>
          <w:kern w:val="0"/>
          <w:sz w:val="24"/>
          <w:highlight w:val="none"/>
        </w:rPr>
        <w:t>。</w:t>
      </w:r>
    </w:p>
    <w:p w14:paraId="57DDBED3">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5、本联合体中</w:t>
      </w:r>
      <w:r>
        <w:rPr>
          <w:rFonts w:hint="eastAsia" w:ascii="宋体" w:hAnsi="宋体" w:eastAsia="宋体" w:cs="宋体"/>
          <w:color w:val="auto"/>
          <w:kern w:val="0"/>
          <w:sz w:val="24"/>
          <w:highlight w:val="none"/>
          <w:u w:val="single"/>
          <w:lang w:val="zh-CN"/>
        </w:rPr>
        <w:t>，________________________（某成员单位名称）为______</w:t>
      </w:r>
      <w:r>
        <w:rPr>
          <w:rFonts w:hint="eastAsia" w:ascii="宋体" w:hAnsi="宋体" w:eastAsia="宋体" w:cs="宋体"/>
          <w:color w:val="auto"/>
          <w:kern w:val="0"/>
          <w:sz w:val="24"/>
          <w:highlight w:val="none"/>
          <w:lang w:val="zh-CN"/>
        </w:rPr>
        <w:t>（请填写：中型、小型、微型）企业，其协议合同金额占联合体协议合同总金额的</w:t>
      </w:r>
      <w:r>
        <w:rPr>
          <w:rFonts w:hint="eastAsia" w:ascii="宋体" w:hAnsi="宋体" w:eastAsia="宋体" w:cs="宋体"/>
          <w:color w:val="auto"/>
          <w:kern w:val="0"/>
          <w:sz w:val="24"/>
          <w:highlight w:val="none"/>
          <w:u w:val="single"/>
          <w:lang w:val="zh-CN"/>
        </w:rPr>
        <w:t>______</w:t>
      </w:r>
      <w:r>
        <w:rPr>
          <w:rFonts w:hint="eastAsia" w:ascii="宋体" w:hAnsi="宋体" w:eastAsia="宋体" w:cs="宋体"/>
          <w:color w:val="auto"/>
          <w:kern w:val="0"/>
          <w:sz w:val="24"/>
          <w:highlight w:val="none"/>
          <w:lang w:val="zh-CN"/>
        </w:rPr>
        <w:t>%。【如联合体成员中有小型、微型企业的，请填写此条，否则无需填写；如联合体成员中有多个小型、微型企业的，请逐一列出。】</w:t>
      </w:r>
    </w:p>
    <w:p w14:paraId="364E749C">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8EFDCE6">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66F125C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签字的，应附</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身份证明；本协议书由委托代理人签字的，应附</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授权委托书。</w:t>
      </w:r>
    </w:p>
    <w:p w14:paraId="7633C69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5AA5F08">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7441D1B">
      <w:pPr>
        <w:autoSpaceDE w:val="0"/>
        <w:autoSpaceDN w:val="0"/>
        <w:adjustRightInd w:val="0"/>
        <w:spacing w:line="360" w:lineRule="auto"/>
        <w:jc w:val="left"/>
        <w:rPr>
          <w:rFonts w:hint="eastAsia" w:ascii="宋体" w:hAnsi="宋体" w:eastAsia="宋体" w:cs="宋体"/>
          <w:color w:val="auto"/>
          <w:kern w:val="0"/>
          <w:sz w:val="24"/>
          <w:highlight w:val="none"/>
        </w:rPr>
      </w:pPr>
    </w:p>
    <w:p w14:paraId="1FADAC9E">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3B85EF1">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1876FEFF">
      <w:pPr>
        <w:autoSpaceDE w:val="0"/>
        <w:autoSpaceDN w:val="0"/>
        <w:adjustRightInd w:val="0"/>
        <w:spacing w:line="360" w:lineRule="auto"/>
        <w:jc w:val="left"/>
        <w:rPr>
          <w:rFonts w:hint="eastAsia" w:ascii="宋体" w:hAnsi="宋体" w:eastAsia="宋体" w:cs="宋体"/>
          <w:color w:val="auto"/>
          <w:kern w:val="0"/>
          <w:szCs w:val="21"/>
          <w:highlight w:val="none"/>
        </w:rPr>
      </w:pPr>
    </w:p>
    <w:p w14:paraId="2A59087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1784998">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rPr>
        <w:t>签字或盖章）</w:t>
      </w:r>
    </w:p>
    <w:p w14:paraId="271E3F87">
      <w:pPr>
        <w:autoSpaceDE w:val="0"/>
        <w:autoSpaceDN w:val="0"/>
        <w:adjustRightInd w:val="0"/>
        <w:spacing w:line="360" w:lineRule="auto"/>
        <w:jc w:val="left"/>
        <w:rPr>
          <w:rFonts w:hint="eastAsia" w:ascii="宋体" w:hAnsi="宋体" w:eastAsia="宋体" w:cs="宋体"/>
          <w:color w:val="auto"/>
          <w:kern w:val="0"/>
          <w:sz w:val="24"/>
          <w:highlight w:val="none"/>
        </w:rPr>
      </w:pPr>
    </w:p>
    <w:p w14:paraId="3CA6490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55A8DE5">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172AB9E1">
      <w:pPr>
        <w:pStyle w:val="21"/>
        <w:spacing w:line="500" w:lineRule="exac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附件：中小企业声明函</w:t>
      </w:r>
    </w:p>
    <w:p w14:paraId="142709C7">
      <w:pPr>
        <w:spacing w:line="300" w:lineRule="auto"/>
        <w:ind w:firstLine="2200" w:firstLineChars="500"/>
        <w:rPr>
          <w:rFonts w:hint="eastAsia" w:ascii="宋体" w:hAnsi="宋体" w:eastAsia="宋体" w:cs="宋体"/>
          <w:color w:val="auto"/>
          <w:sz w:val="44"/>
          <w:szCs w:val="44"/>
          <w:highlight w:val="none"/>
        </w:rPr>
      </w:pPr>
    </w:p>
    <w:p w14:paraId="7EBB75A1">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4FCF2C2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本公司(联合体)郑重声明，根据《政府采购促进中小企业发展管理办法》(财库﹝20200﹞46号)的规定，本公司(联合体)参加</w:t>
      </w:r>
      <w:r>
        <w:rPr>
          <w:rFonts w:hint="eastAsia" w:ascii="宋体" w:hAnsi="宋体" w:eastAsia="宋体" w:cs="宋体"/>
          <w:color w:val="auto"/>
          <w:sz w:val="24"/>
          <w:highlight w:val="none"/>
          <w:u w:val="single"/>
          <w:lang w:val="en-US" w:eastAsia="zh-CN"/>
        </w:rPr>
        <w:t xml:space="preserve"> (单位名称)</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lang w:val="en-US" w:eastAsia="zh-CN"/>
        </w:rPr>
        <w:t>采购活动，工程的施工单位全部为符合政策要求的中小企业 (或者：服务全部由符合政策要求的中小企业承接)。相关企业(含联合体中的中小企业 、签订分包意向协议的中小企业)的具体情况如下：</w:t>
      </w:r>
    </w:p>
    <w:p w14:paraId="298D165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u w:val="single"/>
          <w:lang w:val="en-US" w:eastAsia="zh-CN"/>
        </w:rPr>
        <w:t xml:space="preserve">(标的名称) </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lang w:val="en-US" w:eastAsia="zh-CN"/>
        </w:rPr>
        <w:t>；承建(承接)企业为</w:t>
      </w:r>
      <w:r>
        <w:rPr>
          <w:rFonts w:hint="eastAsia" w:ascii="宋体" w:hAnsi="宋体" w:eastAsia="宋体" w:cs="宋体"/>
          <w:color w:val="auto"/>
          <w:sz w:val="24"/>
          <w:highlight w:val="none"/>
          <w:u w:val="single"/>
          <w:lang w:val="en-US" w:eastAsia="zh-CN"/>
        </w:rPr>
        <w:t xml:space="preserve"> (企</w:t>
      </w:r>
    </w:p>
    <w:p w14:paraId="0C98FE35">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(中型企业、小型企业、微型企业)；</w:t>
      </w:r>
    </w:p>
    <w:p w14:paraId="3B1F019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u w:val="single"/>
          <w:lang w:val="en-US" w:eastAsia="zh-CN"/>
        </w:rPr>
        <w:t xml:space="preserve"> (标的名称) ，</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lang w:val="en-US" w:eastAsia="zh-CN"/>
        </w:rPr>
        <w:t>；承建(承接)企业为</w:t>
      </w:r>
      <w:r>
        <w:rPr>
          <w:rFonts w:hint="eastAsia" w:ascii="宋体" w:hAnsi="宋体" w:eastAsia="宋体" w:cs="宋体"/>
          <w:color w:val="auto"/>
          <w:sz w:val="24"/>
          <w:highlight w:val="none"/>
          <w:u w:val="single"/>
          <w:lang w:val="en-US" w:eastAsia="zh-CN"/>
        </w:rPr>
        <w:t>(企</w:t>
      </w:r>
    </w:p>
    <w:p w14:paraId="59EF026A">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 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(中型企业、 小型企业、微型企业)；</w:t>
      </w:r>
    </w:p>
    <w:p w14:paraId="5A77988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w:t>
      </w:r>
    </w:p>
    <w:p w14:paraId="58D79C5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以上企业，不属于大企业的分支机构，不存在控股股东为大企业的情形，也不</w:t>
      </w:r>
    </w:p>
    <w:p w14:paraId="587A080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存在与大企业的负责人为同一人的情形。</w:t>
      </w:r>
    </w:p>
    <w:p w14:paraId="4F844FE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本企业对上述声明内容的真实性负责。如有虚假，将依法承担相应责任。</w:t>
      </w:r>
    </w:p>
    <w:p w14:paraId="11C2BBD8">
      <w:pPr>
        <w:pStyle w:val="2"/>
        <w:spacing w:after="0" w:line="360" w:lineRule="auto"/>
        <w:ind w:left="-426" w:right="142" w:firstLine="567"/>
        <w:contextualSpacing/>
        <w:jc w:val="left"/>
        <w:rPr>
          <w:rFonts w:hint="eastAsia" w:ascii="宋体" w:hAnsi="宋体" w:eastAsia="宋体" w:cs="宋体"/>
          <w:color w:val="auto"/>
          <w:sz w:val="24"/>
          <w:highlight w:val="none"/>
        </w:rPr>
      </w:pPr>
    </w:p>
    <w:p w14:paraId="413C3D6F">
      <w:pPr>
        <w:pStyle w:val="2"/>
        <w:spacing w:after="0" w:line="360" w:lineRule="auto"/>
        <w:ind w:left="3960" w:right="1808"/>
        <w:contextualSpacing/>
        <w:rPr>
          <w:rFonts w:hint="eastAsia" w:ascii="宋体" w:hAnsi="宋体" w:eastAsia="宋体" w:cs="宋体"/>
          <w:color w:val="auto"/>
          <w:sz w:val="24"/>
          <w:highlight w:val="none"/>
        </w:rPr>
      </w:pPr>
    </w:p>
    <w:p w14:paraId="789458F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E2C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BC95451">
      <w:pPr>
        <w:pStyle w:val="2"/>
        <w:spacing w:after="0" w:line="360" w:lineRule="auto"/>
        <w:ind w:left="3960" w:right="1808"/>
        <w:contextualSpacing/>
        <w:rPr>
          <w:rFonts w:hint="eastAsia" w:ascii="宋体" w:hAnsi="宋体" w:eastAsia="宋体" w:cs="宋体"/>
          <w:color w:val="auto"/>
          <w:highlight w:val="none"/>
        </w:rPr>
      </w:pPr>
    </w:p>
    <w:p w14:paraId="6B1261A9">
      <w:pPr>
        <w:spacing w:line="360" w:lineRule="auto"/>
        <w:contextualSpacing/>
        <w:jc w:val="left"/>
        <w:rPr>
          <w:rFonts w:hint="eastAsia" w:ascii="宋体" w:hAnsi="宋体" w:eastAsia="宋体" w:cs="宋体"/>
          <w:b/>
          <w:bCs/>
          <w:color w:val="auto"/>
          <w:sz w:val="32"/>
          <w:szCs w:val="32"/>
          <w:highlight w:val="none"/>
        </w:rPr>
        <w:sectPr>
          <w:pgSz w:w="11910" w:h="16840"/>
          <w:pgMar w:top="1440" w:right="1080" w:bottom="1440" w:left="1080" w:header="720" w:footer="720" w:gutter="0"/>
          <w:cols w:space="720" w:num="1"/>
        </w:sect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w:t>
      </w:r>
      <w:bookmarkStart w:id="47" w:name="_Toc35611438"/>
      <w:bookmarkStart w:id="48" w:name="_Toc35611516"/>
      <w:bookmarkStart w:id="49" w:name="_Toc44229899"/>
      <w:bookmarkStart w:id="50" w:name="_Toc31723070"/>
      <w:bookmarkStart w:id="51" w:name="_Toc31728084"/>
    </w:p>
    <w:bookmarkEnd w:id="47"/>
    <w:bookmarkEnd w:id="48"/>
    <w:bookmarkEnd w:id="49"/>
    <w:bookmarkEnd w:id="50"/>
    <w:bookmarkEnd w:id="51"/>
    <w:p w14:paraId="18E22403">
      <w:pPr>
        <w:keepNext/>
        <w:keepLines/>
        <w:spacing w:before="260" w:after="260" w:line="416" w:lineRule="auto"/>
        <w:jc w:val="center"/>
        <w:outlineLvl w:val="1"/>
        <w:rPr>
          <w:rFonts w:hint="eastAsia" w:ascii="宋体" w:hAnsi="宋体" w:eastAsia="宋体" w:cs="宋体"/>
          <w:b/>
          <w:bCs/>
          <w:color w:val="auto"/>
          <w:sz w:val="32"/>
          <w:szCs w:val="32"/>
          <w:highlight w:val="none"/>
          <w:lang w:val="zh-CN"/>
        </w:rPr>
      </w:pPr>
      <w:bookmarkStart w:id="52" w:name="_Toc80886944"/>
      <w:bookmarkStart w:id="53" w:name="_Toc80205940"/>
      <w:r>
        <w:rPr>
          <w:rFonts w:hint="eastAsia" w:ascii="宋体" w:hAnsi="宋体" w:eastAsia="宋体" w:cs="宋体"/>
          <w:b/>
          <w:bCs/>
          <w:color w:val="auto"/>
          <w:sz w:val="32"/>
          <w:szCs w:val="32"/>
          <w:highlight w:val="none"/>
          <w:lang w:val="zh-CN"/>
        </w:rPr>
        <w:t>第三节 商务技术文件格式</w:t>
      </w:r>
      <w:bookmarkEnd w:id="52"/>
      <w:bookmarkEnd w:id="53"/>
    </w:p>
    <w:p w14:paraId="7F8BD267">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71A62E4">
      <w:pPr>
        <w:snapToGrid w:val="0"/>
        <w:spacing w:before="120" w:beforeLines="50" w:after="50"/>
        <w:rPr>
          <w:rFonts w:hint="eastAsia" w:ascii="宋体" w:hAnsi="宋体" w:eastAsia="宋体" w:cs="宋体"/>
          <w:color w:val="auto"/>
          <w:sz w:val="24"/>
          <w:szCs w:val="20"/>
          <w:highlight w:val="none"/>
        </w:rPr>
      </w:pPr>
    </w:p>
    <w:p w14:paraId="3E10AA7D">
      <w:pPr>
        <w:snapToGrid w:val="0"/>
        <w:spacing w:before="120" w:beforeLines="50" w:after="50"/>
        <w:rPr>
          <w:rFonts w:hint="eastAsia" w:ascii="宋体" w:hAnsi="宋体" w:eastAsia="宋体" w:cs="宋体"/>
          <w:color w:val="auto"/>
          <w:sz w:val="24"/>
          <w:szCs w:val="20"/>
          <w:highlight w:val="none"/>
        </w:rPr>
      </w:pPr>
    </w:p>
    <w:p w14:paraId="45D5574A">
      <w:pPr>
        <w:snapToGrid w:val="0"/>
        <w:spacing w:before="120" w:beforeLines="50" w:after="50"/>
        <w:rPr>
          <w:rFonts w:hint="eastAsia" w:ascii="宋体" w:hAnsi="宋体" w:eastAsia="宋体" w:cs="宋体"/>
          <w:color w:val="auto"/>
          <w:sz w:val="24"/>
          <w:szCs w:val="20"/>
          <w:highlight w:val="none"/>
        </w:rPr>
      </w:pPr>
    </w:p>
    <w:p w14:paraId="6EA6B0EE">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648F8F84">
      <w:pPr>
        <w:snapToGrid w:val="0"/>
        <w:spacing w:before="120" w:beforeLines="50" w:after="50"/>
        <w:rPr>
          <w:rFonts w:hint="eastAsia" w:ascii="宋体" w:hAnsi="宋体" w:eastAsia="宋体" w:cs="宋体"/>
          <w:bCs/>
          <w:color w:val="auto"/>
          <w:sz w:val="24"/>
          <w:szCs w:val="20"/>
          <w:highlight w:val="none"/>
        </w:rPr>
      </w:pPr>
    </w:p>
    <w:p w14:paraId="3E45D3E7">
      <w:pPr>
        <w:snapToGrid w:val="0"/>
        <w:spacing w:before="120" w:beforeLines="50" w:after="50"/>
        <w:rPr>
          <w:rFonts w:hint="eastAsia" w:ascii="宋体" w:hAnsi="宋体" w:eastAsia="宋体" w:cs="宋体"/>
          <w:bCs/>
          <w:color w:val="auto"/>
          <w:sz w:val="24"/>
          <w:szCs w:val="20"/>
          <w:highlight w:val="none"/>
        </w:rPr>
      </w:pPr>
    </w:p>
    <w:p w14:paraId="1008472F">
      <w:pPr>
        <w:snapToGrid w:val="0"/>
        <w:spacing w:before="120" w:beforeLines="50" w:after="50"/>
        <w:rPr>
          <w:rFonts w:hint="eastAsia" w:ascii="宋体" w:hAnsi="宋体" w:eastAsia="宋体" w:cs="宋体"/>
          <w:bCs/>
          <w:color w:val="auto"/>
          <w:sz w:val="24"/>
          <w:szCs w:val="20"/>
          <w:highlight w:val="none"/>
        </w:rPr>
      </w:pPr>
    </w:p>
    <w:p w14:paraId="17DFB48F">
      <w:pPr>
        <w:snapToGrid w:val="0"/>
        <w:spacing w:before="120" w:beforeLines="50" w:after="50"/>
        <w:rPr>
          <w:rFonts w:hint="eastAsia" w:ascii="宋体" w:hAnsi="宋体" w:eastAsia="宋体" w:cs="宋体"/>
          <w:bCs/>
          <w:color w:val="auto"/>
          <w:sz w:val="24"/>
          <w:szCs w:val="20"/>
          <w:highlight w:val="none"/>
        </w:rPr>
      </w:pPr>
    </w:p>
    <w:p w14:paraId="7B0EAE54">
      <w:pPr>
        <w:snapToGrid w:val="0"/>
        <w:spacing w:before="120" w:beforeLines="50" w:after="50"/>
        <w:rPr>
          <w:rFonts w:hint="eastAsia" w:ascii="宋体" w:hAnsi="宋体" w:eastAsia="宋体" w:cs="宋体"/>
          <w:bCs/>
          <w:color w:val="auto"/>
          <w:sz w:val="24"/>
          <w:szCs w:val="20"/>
          <w:highlight w:val="none"/>
        </w:rPr>
      </w:pPr>
    </w:p>
    <w:p w14:paraId="407C312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FCC7148">
      <w:pPr>
        <w:snapToGrid w:val="0"/>
        <w:spacing w:before="120" w:beforeLines="50" w:after="50"/>
        <w:ind w:firstLine="720" w:firstLineChars="225"/>
        <w:rPr>
          <w:rFonts w:hint="eastAsia" w:ascii="宋体" w:hAnsi="宋体" w:eastAsia="宋体" w:cs="宋体"/>
          <w:bCs/>
          <w:color w:val="auto"/>
          <w:sz w:val="32"/>
          <w:szCs w:val="32"/>
          <w:highlight w:val="none"/>
        </w:rPr>
      </w:pPr>
    </w:p>
    <w:p w14:paraId="533195F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0787A7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45B931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3D8BCF8">
      <w:pPr>
        <w:snapToGrid w:val="0"/>
        <w:spacing w:before="120" w:beforeLines="50" w:after="50"/>
        <w:ind w:firstLine="720" w:firstLineChars="225"/>
        <w:rPr>
          <w:rFonts w:hint="eastAsia" w:ascii="宋体" w:hAnsi="宋体" w:eastAsia="宋体" w:cs="宋体"/>
          <w:bCs/>
          <w:color w:val="auto"/>
          <w:sz w:val="32"/>
          <w:szCs w:val="32"/>
          <w:highlight w:val="none"/>
        </w:rPr>
      </w:pPr>
    </w:p>
    <w:p w14:paraId="6E3B98B5">
      <w:pPr>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67331F">
      <w:pPr>
        <w:snapToGrid w:val="0"/>
        <w:spacing w:before="50" w:after="50"/>
        <w:ind w:firstLine="720" w:firstLineChars="225"/>
        <w:rPr>
          <w:rFonts w:hint="eastAsia" w:ascii="宋体" w:hAnsi="宋体" w:eastAsia="宋体" w:cs="宋体"/>
          <w:bCs/>
          <w:color w:val="auto"/>
          <w:sz w:val="32"/>
          <w:szCs w:val="32"/>
          <w:highlight w:val="none"/>
        </w:rPr>
      </w:pPr>
    </w:p>
    <w:p w14:paraId="1556A679">
      <w:pPr>
        <w:snapToGrid w:val="0"/>
        <w:spacing w:before="50" w:after="50"/>
        <w:ind w:firstLine="720" w:firstLineChars="225"/>
        <w:rPr>
          <w:rFonts w:hint="eastAsia" w:ascii="宋体" w:hAnsi="宋体" w:eastAsia="宋体" w:cs="宋体"/>
          <w:bCs/>
          <w:color w:val="auto"/>
          <w:sz w:val="32"/>
          <w:szCs w:val="32"/>
          <w:highlight w:val="none"/>
        </w:rPr>
      </w:pPr>
    </w:p>
    <w:p w14:paraId="69BC8A68">
      <w:pPr>
        <w:snapToGrid w:val="0"/>
        <w:spacing w:before="50" w:after="50"/>
        <w:ind w:firstLine="1280" w:firstLineChars="400"/>
        <w:rPr>
          <w:rFonts w:hint="eastAsia" w:ascii="宋体" w:hAnsi="宋体" w:eastAsia="宋体" w:cs="宋体"/>
          <w:bCs/>
          <w:color w:val="auto"/>
          <w:sz w:val="32"/>
          <w:szCs w:val="32"/>
          <w:highlight w:val="none"/>
        </w:rPr>
      </w:pPr>
    </w:p>
    <w:p w14:paraId="78CDCC8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C8471BF">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cols w:space="720" w:num="1"/>
        </w:sectPr>
      </w:pPr>
    </w:p>
    <w:p w14:paraId="251280CF">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0BBE88B3">
      <w:pPr>
        <w:jc w:val="center"/>
        <w:rPr>
          <w:rFonts w:hint="eastAsia" w:ascii="宋体" w:hAnsi="宋体" w:eastAsia="宋体" w:cs="宋体"/>
          <w:b/>
          <w:color w:val="auto"/>
          <w:kern w:val="0"/>
          <w:sz w:val="28"/>
          <w:szCs w:val="28"/>
          <w:highlight w:val="none"/>
        </w:rPr>
      </w:pPr>
    </w:p>
    <w:p w14:paraId="534374D0">
      <w:pPr>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根据</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文件规定及</w:t>
      </w:r>
      <w:r>
        <w:rPr>
          <w:rFonts w:hint="eastAsia" w:ascii="宋体" w:hAnsi="宋体" w:eastAsia="宋体" w:cs="宋体"/>
          <w:b/>
          <w:bCs/>
          <w:color w:val="auto"/>
          <w:sz w:val="21"/>
          <w:szCs w:val="21"/>
          <w:highlight w:val="none"/>
          <w:lang w:val="en-US" w:eastAsia="zh-CN"/>
        </w:rPr>
        <w:t>竞标</w:t>
      </w:r>
      <w:r>
        <w:rPr>
          <w:rFonts w:hint="eastAsia" w:ascii="宋体" w:hAnsi="宋体" w:eastAsia="宋体" w:cs="宋体"/>
          <w:b/>
          <w:bCs/>
          <w:color w:val="auto"/>
          <w:sz w:val="21"/>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4079ED45">
      <w:pPr>
        <w:spacing w:line="520" w:lineRule="exac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61F279B7">
      <w:pPr>
        <w:spacing w:line="520" w:lineRule="exact"/>
        <w:jc w:val="center"/>
        <w:rPr>
          <w:rFonts w:hint="eastAsia" w:ascii="宋体" w:hAnsi="宋体" w:eastAsia="宋体" w:cs="宋体"/>
          <w:color w:val="auto"/>
          <w:sz w:val="44"/>
          <w:szCs w:val="44"/>
          <w:highlight w:val="none"/>
        </w:rPr>
      </w:pPr>
    </w:p>
    <w:p w14:paraId="04F06D3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55E1F7B0">
      <w:pPr>
        <w:spacing w:line="520" w:lineRule="exact"/>
        <w:ind w:firstLine="640" w:firstLineChars="200"/>
        <w:rPr>
          <w:rFonts w:hint="eastAsia" w:ascii="宋体" w:hAnsi="宋体" w:eastAsia="宋体" w:cs="宋体"/>
          <w:color w:val="auto"/>
          <w:sz w:val="32"/>
          <w:szCs w:val="32"/>
          <w:highlight w:val="none"/>
        </w:rPr>
      </w:pPr>
    </w:p>
    <w:p w14:paraId="183767F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929BD7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eastAsia="宋体" w:cs="宋体"/>
          <w:color w:val="auto"/>
          <w:sz w:val="24"/>
        </w:rPr>
        <w:t>或不同投标人报名的</w:t>
      </w:r>
      <w:r>
        <w:rPr>
          <w:rFonts w:hint="eastAsia" w:ascii="宋体" w:hAnsi="宋体" w:eastAsia="宋体" w:cs="宋体"/>
          <w:color w:val="auto"/>
          <w:sz w:val="24"/>
          <w:lang w:val="en-US"/>
        </w:rPr>
        <w:t>IP</w:t>
      </w:r>
      <w:r>
        <w:rPr>
          <w:rFonts w:hint="eastAsia" w:ascii="宋体" w:hAnsi="宋体" w:eastAsia="宋体" w:cs="宋体"/>
          <w:color w:val="auto"/>
          <w:sz w:val="24"/>
        </w:rPr>
        <w:t>地址一致的</w:t>
      </w:r>
      <w:r>
        <w:rPr>
          <w:rFonts w:hint="eastAsia" w:ascii="宋体" w:hAnsi="宋体" w:eastAsia="宋体" w:cs="宋体"/>
          <w:color w:val="auto"/>
          <w:sz w:val="24"/>
          <w:highlight w:val="none"/>
        </w:rPr>
        <w:t xml:space="preserve">； </w:t>
      </w:r>
    </w:p>
    <w:p w14:paraId="6B546B1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56F9BB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59859A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A038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A737FC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0629774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04061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680AE32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F3A4A0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B45541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500060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6CD38D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F88E3D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101C953">
      <w:pPr>
        <w:spacing w:line="360" w:lineRule="auto"/>
        <w:ind w:firstLine="480" w:firstLineChars="200"/>
        <w:contextualSpacing/>
        <w:rPr>
          <w:rFonts w:hint="eastAsia" w:ascii="宋体" w:hAnsi="宋体" w:eastAsia="宋体" w:cs="宋体"/>
          <w:color w:val="auto"/>
          <w:sz w:val="24"/>
          <w:highlight w:val="none"/>
        </w:rPr>
      </w:pPr>
    </w:p>
    <w:p w14:paraId="3BD61D6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B54631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ABF720A">
      <w:pPr>
        <w:spacing w:line="520" w:lineRule="exact"/>
        <w:ind w:left="239" w:leftChars="114" w:firstLine="6120" w:firstLineChars="25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年  月   日  </w:t>
      </w:r>
    </w:p>
    <w:p w14:paraId="5044C138">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2BE04E55">
      <w:pPr>
        <w:spacing w:line="520" w:lineRule="exact"/>
        <w:jc w:val="left"/>
        <w:rPr>
          <w:rFonts w:hint="eastAsia" w:ascii="宋体" w:hAnsi="宋体" w:eastAsia="宋体" w:cs="宋体"/>
          <w:bCs/>
          <w:color w:val="auto"/>
          <w:sz w:val="44"/>
          <w:szCs w:val="44"/>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身份证明及</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有效身份证正反面复印件</w:t>
      </w:r>
    </w:p>
    <w:p w14:paraId="71B861C2">
      <w:pPr>
        <w:spacing w:line="520" w:lineRule="exact"/>
        <w:jc w:val="center"/>
        <w:rPr>
          <w:rFonts w:hint="eastAsia" w:ascii="宋体" w:hAnsi="宋体" w:eastAsia="宋体" w:cs="宋体"/>
          <w:bCs/>
          <w:color w:val="auto"/>
          <w:sz w:val="44"/>
          <w:szCs w:val="44"/>
          <w:highlight w:val="none"/>
          <w:lang w:eastAsia="zh-CN"/>
        </w:rPr>
      </w:pPr>
    </w:p>
    <w:p w14:paraId="77D977EC">
      <w:pPr>
        <w:spacing w:line="520" w:lineRule="exact"/>
        <w:jc w:val="center"/>
        <w:rPr>
          <w:rFonts w:hint="eastAsia" w:ascii="宋体" w:hAnsi="宋体" w:eastAsia="宋体" w:cs="宋体"/>
          <w:bCs/>
          <w:color w:val="auto"/>
          <w:sz w:val="44"/>
          <w:szCs w:val="44"/>
          <w:highlight w:val="none"/>
          <w:lang w:eastAsia="zh-CN"/>
        </w:rPr>
      </w:pPr>
    </w:p>
    <w:p w14:paraId="7C56B0CB">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lang w:eastAsia="zh-CN"/>
        </w:rPr>
        <w:t>法定代表人（负责人）</w:t>
      </w:r>
      <w:r>
        <w:rPr>
          <w:rFonts w:hint="eastAsia" w:ascii="宋体" w:hAnsi="宋体" w:eastAsia="宋体" w:cs="宋体"/>
          <w:bCs/>
          <w:color w:val="auto"/>
          <w:sz w:val="44"/>
          <w:szCs w:val="44"/>
          <w:highlight w:val="none"/>
        </w:rPr>
        <w:t>证明书</w:t>
      </w:r>
    </w:p>
    <w:p w14:paraId="482B9140">
      <w:pPr>
        <w:spacing w:line="360" w:lineRule="auto"/>
        <w:ind w:left="540"/>
        <w:contextualSpacing/>
        <w:rPr>
          <w:rFonts w:hint="eastAsia" w:ascii="宋体" w:hAnsi="宋体" w:eastAsia="宋体" w:cs="宋体"/>
          <w:color w:val="auto"/>
          <w:sz w:val="32"/>
          <w:szCs w:val="32"/>
          <w:highlight w:val="none"/>
        </w:rPr>
      </w:pPr>
    </w:p>
    <w:p w14:paraId="0363B83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E0050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E81CCE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DC61A6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2A5AF7F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C421D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w:t>
      </w:r>
    </w:p>
    <w:p w14:paraId="3E5BE6D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785DCC2">
      <w:pPr>
        <w:spacing w:line="360" w:lineRule="auto"/>
        <w:ind w:left="540"/>
        <w:contextualSpacing/>
        <w:rPr>
          <w:rFonts w:hint="eastAsia" w:ascii="宋体" w:hAnsi="宋体" w:eastAsia="宋体" w:cs="宋体"/>
          <w:color w:val="auto"/>
          <w:sz w:val="24"/>
          <w:highlight w:val="none"/>
        </w:rPr>
      </w:pPr>
    </w:p>
    <w:p w14:paraId="71BAFA02">
      <w:pPr>
        <w:spacing w:line="360" w:lineRule="auto"/>
        <w:ind w:left="540"/>
        <w:contextualSpacing/>
        <w:rPr>
          <w:rFonts w:hint="eastAsia" w:ascii="宋体" w:hAnsi="宋体" w:eastAsia="宋体" w:cs="宋体"/>
          <w:color w:val="auto"/>
          <w:sz w:val="24"/>
          <w:highlight w:val="none"/>
        </w:rPr>
      </w:pPr>
    </w:p>
    <w:p w14:paraId="351DE36E">
      <w:pPr>
        <w:spacing w:line="360" w:lineRule="auto"/>
        <w:ind w:left="540"/>
        <w:contextualSpacing/>
        <w:rPr>
          <w:rFonts w:hint="eastAsia" w:ascii="宋体" w:hAnsi="宋体" w:eastAsia="宋体" w:cs="宋体"/>
          <w:color w:val="auto"/>
          <w:sz w:val="24"/>
          <w:highlight w:val="none"/>
        </w:rPr>
      </w:pPr>
    </w:p>
    <w:p w14:paraId="60D9A64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有效身份证正反面复印件</w:t>
      </w:r>
    </w:p>
    <w:p w14:paraId="6F79F9E7">
      <w:pPr>
        <w:spacing w:line="360" w:lineRule="auto"/>
        <w:ind w:left="540"/>
        <w:contextualSpacing/>
        <w:rPr>
          <w:rFonts w:hint="eastAsia" w:ascii="宋体" w:hAnsi="宋体" w:eastAsia="宋体" w:cs="宋体"/>
          <w:color w:val="auto"/>
          <w:sz w:val="24"/>
          <w:highlight w:val="none"/>
        </w:rPr>
      </w:pPr>
    </w:p>
    <w:p w14:paraId="0BD5BC1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885634">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8C6DF54">
      <w:pPr>
        <w:spacing w:line="360" w:lineRule="auto"/>
        <w:contextualSpacing/>
        <w:jc w:val="left"/>
        <w:rPr>
          <w:rFonts w:hint="eastAsia" w:ascii="宋体" w:hAnsi="宋体" w:eastAsia="宋体" w:cs="宋体"/>
          <w:color w:val="auto"/>
          <w:sz w:val="24"/>
          <w:highlight w:val="none"/>
        </w:rPr>
      </w:pPr>
    </w:p>
    <w:p w14:paraId="016396A9">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45911D69">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6"/>
        <w:tblpPr w:leftFromText="180" w:rightFromText="180" w:vertAnchor="text" w:horzAnchor="margin" w:tblpX="109" w:tblpY="1169"/>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8"/>
      </w:tblGrid>
      <w:tr w14:paraId="3314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768" w:type="dxa"/>
            <w:noWrap w:val="0"/>
            <w:vAlign w:val="top"/>
          </w:tcPr>
          <w:p w14:paraId="0A5EF3A2">
            <w:pPr>
              <w:spacing w:line="360" w:lineRule="auto"/>
              <w:rPr>
                <w:rFonts w:hint="eastAsia" w:ascii="宋体" w:hAnsi="宋体" w:eastAsia="宋体" w:cs="宋体"/>
                <w:b/>
                <w:color w:val="auto"/>
                <w:sz w:val="24"/>
                <w:highlight w:val="none"/>
              </w:rPr>
            </w:pPr>
          </w:p>
          <w:p w14:paraId="2C464E0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40CB18A3">
      <w:pPr>
        <w:spacing w:line="360" w:lineRule="auto"/>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7578362C">
      <w:pPr>
        <w:adjustRightInd w:val="0"/>
        <w:snapToGrid w:val="0"/>
        <w:spacing w:line="300" w:lineRule="auto"/>
        <w:jc w:val="left"/>
        <w:rPr>
          <w:rFonts w:hint="eastAsia" w:ascii="宋体" w:hAnsi="宋体" w:eastAsia="宋体" w:cs="宋体"/>
          <w:b/>
          <w:color w:val="auto"/>
          <w:szCs w:val="21"/>
          <w:highlight w:val="none"/>
        </w:rPr>
      </w:pPr>
    </w:p>
    <w:p w14:paraId="7202EFD4">
      <w:pPr>
        <w:spacing w:line="520" w:lineRule="exact"/>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授权委托书</w:t>
      </w:r>
    </w:p>
    <w:p w14:paraId="463FDA9D">
      <w:pPr>
        <w:spacing w:line="500" w:lineRule="exact"/>
        <w:jc w:val="center"/>
        <w:rPr>
          <w:rFonts w:hint="eastAsia" w:ascii="宋体" w:hAnsi="宋体" w:eastAsia="宋体" w:cs="宋体"/>
          <w:color w:val="auto"/>
          <w:sz w:val="44"/>
          <w:szCs w:val="44"/>
          <w:highlight w:val="none"/>
        </w:rPr>
      </w:pPr>
    </w:p>
    <w:p w14:paraId="036FF1F0">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7A46A3D6">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855FF88">
      <w:pPr>
        <w:spacing w:line="520" w:lineRule="exact"/>
        <w:rPr>
          <w:rFonts w:hint="eastAsia" w:ascii="宋体" w:hAnsi="宋体" w:eastAsia="宋体" w:cs="宋体"/>
          <w:color w:val="auto"/>
          <w:sz w:val="32"/>
          <w:szCs w:val="32"/>
          <w:highlight w:val="none"/>
        </w:rPr>
      </w:pPr>
    </w:p>
    <w:p w14:paraId="5AAE42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D02C9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21188B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DE733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15FB0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A9A31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身份证明书及委托代理人有效身份证正反面复印件</w:t>
      </w:r>
    </w:p>
    <w:p w14:paraId="509FDE61">
      <w:pPr>
        <w:spacing w:line="360" w:lineRule="auto"/>
        <w:rPr>
          <w:rFonts w:hint="eastAsia" w:ascii="宋体" w:hAnsi="宋体" w:eastAsia="宋体" w:cs="宋体"/>
          <w:color w:val="auto"/>
          <w:sz w:val="24"/>
          <w:highlight w:val="none"/>
        </w:rPr>
      </w:pPr>
    </w:p>
    <w:p w14:paraId="5DCACF5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 xml:space="preserve">（签字或盖章）：                    </w:t>
      </w:r>
    </w:p>
    <w:p w14:paraId="753D8CF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192A0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2DD640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5A387B5">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BC2FCB3">
      <w:pPr>
        <w:spacing w:line="360" w:lineRule="auto"/>
        <w:rPr>
          <w:rFonts w:hint="eastAsia" w:ascii="宋体" w:hAnsi="宋体" w:eastAsia="宋体" w:cs="宋体"/>
          <w:color w:val="auto"/>
          <w:sz w:val="24"/>
          <w:highlight w:val="none"/>
        </w:rPr>
      </w:pPr>
    </w:p>
    <w:p w14:paraId="12CC9FC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95983A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00EC17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19069F23">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186706CB">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3D0FA2D5">
      <w:pPr>
        <w:spacing w:line="500" w:lineRule="exact"/>
        <w:jc w:val="center"/>
        <w:rPr>
          <w:rFonts w:hint="eastAsia" w:ascii="宋体" w:hAnsi="宋体" w:eastAsia="宋体" w:cs="宋体"/>
          <w:color w:val="auto"/>
          <w:sz w:val="44"/>
          <w:szCs w:val="44"/>
          <w:highlight w:val="none"/>
        </w:rPr>
      </w:pPr>
    </w:p>
    <w:p w14:paraId="4BE7782B">
      <w:pPr>
        <w:spacing w:line="500" w:lineRule="exact"/>
        <w:jc w:val="center"/>
        <w:rPr>
          <w:rFonts w:hint="eastAsia" w:ascii="宋体" w:hAnsi="宋体" w:eastAsia="宋体" w:cs="宋体"/>
          <w:color w:val="auto"/>
          <w:sz w:val="32"/>
          <w:szCs w:val="32"/>
          <w:highlight w:val="none"/>
        </w:rPr>
      </w:pPr>
    </w:p>
    <w:p w14:paraId="6E93CAC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63101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AECA1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D060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8C3D8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56ADE7A">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（签字或盖章）：</w:t>
      </w:r>
    </w:p>
    <w:p w14:paraId="2B877663">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48A8D5D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30145CC">
      <w:pPr>
        <w:spacing w:line="360" w:lineRule="auto"/>
        <w:rPr>
          <w:rFonts w:hint="eastAsia" w:ascii="宋体" w:hAnsi="宋体" w:eastAsia="宋体" w:cs="宋体"/>
          <w:color w:val="auto"/>
          <w:sz w:val="24"/>
          <w:highlight w:val="none"/>
        </w:rPr>
      </w:pPr>
    </w:p>
    <w:p w14:paraId="525ECCFC">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61F00C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4871236">
      <w:pPr>
        <w:spacing w:line="360" w:lineRule="auto"/>
        <w:rPr>
          <w:rFonts w:hint="eastAsia" w:ascii="宋体" w:hAnsi="宋体" w:eastAsia="宋体" w:cs="宋体"/>
          <w:color w:val="auto"/>
          <w:sz w:val="24"/>
          <w:highlight w:val="none"/>
        </w:rPr>
      </w:pPr>
    </w:p>
    <w:p w14:paraId="411328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250551F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按上述规定签署。</w:t>
      </w:r>
    </w:p>
    <w:p w14:paraId="243211C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A1D5C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5BC735E4">
      <w:pPr>
        <w:spacing w:line="360" w:lineRule="auto"/>
        <w:jc w:val="left"/>
        <w:rPr>
          <w:rFonts w:hint="eastAsia" w:ascii="宋体" w:hAnsi="宋体" w:eastAsia="宋体" w:cs="宋体"/>
          <w:color w:val="auto"/>
          <w:sz w:val="24"/>
          <w:highlight w:val="none"/>
        </w:rPr>
      </w:pPr>
    </w:p>
    <w:tbl>
      <w:tblPr>
        <w:tblStyle w:val="36"/>
        <w:tblpPr w:leftFromText="180" w:rightFromText="180" w:vertAnchor="text" w:horzAnchor="page" w:tblpX="1189" w:tblpY="114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66E0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9740" w:type="dxa"/>
            <w:noWrap w:val="0"/>
            <w:vAlign w:val="top"/>
          </w:tcPr>
          <w:p w14:paraId="42AFF8E8">
            <w:pPr>
              <w:spacing w:line="360" w:lineRule="auto"/>
              <w:rPr>
                <w:rFonts w:hint="eastAsia" w:ascii="宋体" w:hAnsi="宋体" w:eastAsia="宋体" w:cs="宋体"/>
                <w:b/>
                <w:color w:val="auto"/>
                <w:sz w:val="24"/>
                <w:highlight w:val="none"/>
              </w:rPr>
            </w:pPr>
          </w:p>
          <w:p w14:paraId="61F89B6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委托代理人</w:t>
            </w:r>
            <w:r>
              <w:rPr>
                <w:rFonts w:hint="eastAsia" w:ascii="宋体" w:hAnsi="宋体" w:eastAsia="宋体" w:cs="宋体"/>
                <w:b/>
                <w:color w:val="auto"/>
                <w:sz w:val="24"/>
                <w:highlight w:val="none"/>
              </w:rPr>
              <w:t>身份证复印件粘帖处（正、反面）</w:t>
            </w:r>
          </w:p>
        </w:tc>
      </w:tr>
    </w:tbl>
    <w:p w14:paraId="5B2B745D">
      <w:pPr>
        <w:spacing w:line="360" w:lineRule="auto"/>
        <w:contextualSpacing/>
        <w:jc w:val="left"/>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11E2CE35">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5B8FB3B4">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6CDA741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3E4908E0">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3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2D5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06E677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36D14D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BD9BB9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47B8C5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715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B3335C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9CE6E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F10DED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DAC81D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910E00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63CC0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2E88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E68F31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703CE8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5B6FCA5">
            <w:pPr>
              <w:spacing w:line="300" w:lineRule="exact"/>
              <w:rPr>
                <w:rFonts w:hint="eastAsia" w:ascii="宋体" w:hAnsi="宋体" w:eastAsia="宋体" w:cs="宋体"/>
                <w:color w:val="auto"/>
                <w:szCs w:val="21"/>
                <w:highlight w:val="none"/>
              </w:rPr>
            </w:pPr>
          </w:p>
        </w:tc>
      </w:tr>
      <w:tr w14:paraId="605F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495A9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B9C7A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DBF3E3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FF6039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8179A8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D0E4F0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951383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6E503A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2691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D0097D6">
            <w:pPr>
              <w:spacing w:line="300" w:lineRule="exact"/>
              <w:rPr>
                <w:rFonts w:hint="eastAsia" w:ascii="宋体" w:hAnsi="宋体" w:eastAsia="宋体" w:cs="宋体"/>
                <w:color w:val="auto"/>
                <w:szCs w:val="21"/>
                <w:highlight w:val="none"/>
              </w:rPr>
            </w:pPr>
          </w:p>
        </w:tc>
      </w:tr>
      <w:tr w14:paraId="5DCD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35990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62B4A0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1E8E97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D4393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AE952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BB42A1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567DE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B287A3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1C3439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74824C">
            <w:pPr>
              <w:spacing w:line="300" w:lineRule="exact"/>
              <w:rPr>
                <w:rFonts w:hint="eastAsia" w:ascii="宋体" w:hAnsi="宋体" w:eastAsia="宋体" w:cs="宋体"/>
                <w:color w:val="auto"/>
                <w:szCs w:val="21"/>
                <w:highlight w:val="none"/>
              </w:rPr>
            </w:pPr>
          </w:p>
        </w:tc>
      </w:tr>
    </w:tbl>
    <w:p w14:paraId="2EA8ACC2">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4D2949D9">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1.说明：应对照磋商文件“第二章 采购需求”中的商务条款逐条作出明确响应，并作出偏离说明。</w:t>
      </w:r>
    </w:p>
    <w:p w14:paraId="560F1403">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8B6B45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7AF27858">
      <w:pPr>
        <w:spacing w:line="400" w:lineRule="exact"/>
        <w:contextualSpacing/>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highlight w:val="none"/>
          <w:lang w:val="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450CBB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3651746">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71AB5D8">
      <w:pPr>
        <w:snapToGrid w:val="0"/>
        <w:spacing w:line="360" w:lineRule="auto"/>
        <w:ind w:firstLine="602" w:firstLineChars="200"/>
        <w:rPr>
          <w:rFonts w:hint="eastAsia" w:ascii="宋体" w:hAnsi="宋体" w:eastAsia="宋体" w:cs="宋体"/>
          <w:b/>
          <w:color w:val="auto"/>
          <w:sz w:val="30"/>
          <w:szCs w:val="30"/>
          <w:highlight w:val="none"/>
        </w:rPr>
      </w:pPr>
    </w:p>
    <w:p w14:paraId="2461C0DA">
      <w:pPr>
        <w:spacing w:line="500" w:lineRule="exact"/>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br w:type="page"/>
      </w: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、服务需求偏离表</w:t>
      </w:r>
    </w:p>
    <w:p w14:paraId="417063CE">
      <w:pPr>
        <w:pStyle w:val="29"/>
        <w:rPr>
          <w:rFonts w:hint="eastAsia" w:ascii="宋体" w:hAnsi="宋体" w:eastAsia="宋体" w:cs="宋体"/>
          <w:color w:val="auto"/>
          <w:highlight w:val="none"/>
        </w:rPr>
      </w:pPr>
    </w:p>
    <w:p w14:paraId="0F2471E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竞标服务需求偏离表</w:t>
      </w:r>
    </w:p>
    <w:p w14:paraId="1DCF967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0449E9DF">
      <w:pPr>
        <w:spacing w:line="360" w:lineRule="auto"/>
        <w:contextualSpacing/>
        <w:jc w:val="left"/>
        <w:rPr>
          <w:rFonts w:hint="eastAsia" w:ascii="宋体" w:hAnsi="宋体" w:eastAsia="宋体" w:cs="宋体"/>
          <w:color w:val="auto"/>
          <w:sz w:val="24"/>
          <w:highlight w:val="none"/>
        </w:rPr>
      </w:pPr>
    </w:p>
    <w:p w14:paraId="01C6EE40">
      <w:pPr>
        <w:spacing w:line="360" w:lineRule="auto"/>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所竞分标：</w:t>
      </w:r>
      <w:r>
        <w:rPr>
          <w:rFonts w:hint="eastAsia" w:ascii="宋体" w:hAnsi="宋体" w:eastAsia="宋体" w:cs="宋体"/>
          <w:color w:val="auto"/>
          <w:kern w:val="0"/>
          <w:sz w:val="24"/>
          <w:highlight w:val="none"/>
          <w:u w:val="single"/>
          <w:lang w:val="zh-CN"/>
        </w:rPr>
        <w:t xml:space="preserve">              </w:t>
      </w:r>
    </w:p>
    <w:tbl>
      <w:tblPr>
        <w:tblStyle w:val="36"/>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269"/>
        <w:gridCol w:w="3306"/>
        <w:gridCol w:w="1653"/>
      </w:tblGrid>
      <w:tr w14:paraId="1CF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39F5D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A0E42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306" w:type="dxa"/>
            <w:tcBorders>
              <w:top w:val="single" w:color="auto" w:sz="4" w:space="0"/>
              <w:left w:val="single" w:color="auto" w:sz="4" w:space="0"/>
              <w:bottom w:val="single" w:color="auto" w:sz="4" w:space="0"/>
              <w:right w:val="single" w:color="auto" w:sz="4" w:space="0"/>
            </w:tcBorders>
            <w:noWrap w:val="0"/>
            <w:vAlign w:val="center"/>
          </w:tcPr>
          <w:p w14:paraId="7C58C9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3B6E910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1FB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346FB2F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0A7F928">
            <w:pPr>
              <w:rPr>
                <w:rFonts w:hint="eastAsia" w:ascii="宋体" w:hAnsi="宋体" w:eastAsia="宋体" w:cs="宋体"/>
                <w:color w:val="auto"/>
                <w:szCs w:val="21"/>
                <w:highlight w:val="none"/>
              </w:rPr>
            </w:pPr>
          </w:p>
        </w:tc>
        <w:tc>
          <w:tcPr>
            <w:tcW w:w="3306" w:type="dxa"/>
            <w:tcBorders>
              <w:top w:val="single" w:color="auto" w:sz="4" w:space="0"/>
              <w:left w:val="single" w:color="auto" w:sz="4" w:space="0"/>
              <w:bottom w:val="single" w:color="auto" w:sz="4" w:space="0"/>
              <w:right w:val="single" w:color="auto" w:sz="4" w:space="0"/>
            </w:tcBorders>
            <w:noWrap w:val="0"/>
            <w:vAlign w:val="center"/>
          </w:tcPr>
          <w:p w14:paraId="6D20FDC7">
            <w:pPr>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40BAA86">
            <w:pPr>
              <w:rPr>
                <w:rFonts w:hint="eastAsia" w:ascii="宋体" w:hAnsi="宋体" w:eastAsia="宋体" w:cs="宋体"/>
                <w:color w:val="auto"/>
                <w:szCs w:val="21"/>
                <w:highlight w:val="none"/>
              </w:rPr>
            </w:pPr>
          </w:p>
        </w:tc>
      </w:tr>
      <w:tr w14:paraId="3BED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C1039E2">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BAD70FD">
            <w:pPr>
              <w:rPr>
                <w:rFonts w:hint="eastAsia" w:ascii="宋体" w:hAnsi="宋体" w:eastAsia="宋体" w:cs="宋体"/>
                <w:color w:val="auto"/>
                <w:szCs w:val="21"/>
                <w:highlight w:val="none"/>
              </w:rPr>
            </w:pPr>
          </w:p>
        </w:tc>
        <w:tc>
          <w:tcPr>
            <w:tcW w:w="3306" w:type="dxa"/>
            <w:tcBorders>
              <w:top w:val="single" w:color="auto" w:sz="4" w:space="0"/>
              <w:left w:val="single" w:color="auto" w:sz="4" w:space="0"/>
              <w:bottom w:val="single" w:color="auto" w:sz="4" w:space="0"/>
              <w:right w:val="single" w:color="auto" w:sz="4" w:space="0"/>
            </w:tcBorders>
            <w:noWrap w:val="0"/>
            <w:vAlign w:val="center"/>
          </w:tcPr>
          <w:p w14:paraId="4C6A889F">
            <w:pPr>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BB39E84">
            <w:pPr>
              <w:rPr>
                <w:rFonts w:hint="eastAsia" w:ascii="宋体" w:hAnsi="宋体" w:eastAsia="宋体" w:cs="宋体"/>
                <w:color w:val="auto"/>
                <w:szCs w:val="21"/>
                <w:highlight w:val="none"/>
              </w:rPr>
            </w:pPr>
          </w:p>
        </w:tc>
      </w:tr>
      <w:tr w14:paraId="2B51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2EAB9AA">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624141C">
            <w:pPr>
              <w:rPr>
                <w:rFonts w:hint="eastAsia" w:ascii="宋体" w:hAnsi="宋体" w:eastAsia="宋体" w:cs="宋体"/>
                <w:color w:val="auto"/>
                <w:szCs w:val="21"/>
                <w:highlight w:val="none"/>
              </w:rPr>
            </w:pPr>
          </w:p>
        </w:tc>
        <w:tc>
          <w:tcPr>
            <w:tcW w:w="3306" w:type="dxa"/>
            <w:tcBorders>
              <w:top w:val="single" w:color="auto" w:sz="4" w:space="0"/>
              <w:left w:val="single" w:color="auto" w:sz="4" w:space="0"/>
              <w:bottom w:val="single" w:color="auto" w:sz="4" w:space="0"/>
              <w:right w:val="single" w:color="auto" w:sz="4" w:space="0"/>
            </w:tcBorders>
            <w:noWrap w:val="0"/>
            <w:vAlign w:val="center"/>
          </w:tcPr>
          <w:p w14:paraId="1BDE263E">
            <w:pPr>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3AAF3EEB">
            <w:pPr>
              <w:rPr>
                <w:rFonts w:hint="eastAsia" w:ascii="宋体" w:hAnsi="宋体" w:eastAsia="宋体" w:cs="宋体"/>
                <w:color w:val="auto"/>
                <w:szCs w:val="21"/>
                <w:highlight w:val="none"/>
              </w:rPr>
            </w:pPr>
          </w:p>
        </w:tc>
      </w:tr>
    </w:tbl>
    <w:p w14:paraId="6399089E">
      <w:pPr>
        <w:spacing w:line="360" w:lineRule="auto"/>
        <w:contextualSpacing/>
        <w:rPr>
          <w:rFonts w:hint="eastAsia" w:ascii="宋体" w:hAnsi="宋体" w:eastAsia="宋体" w:cs="宋体"/>
          <w:color w:val="auto"/>
          <w:kern w:val="0"/>
          <w:sz w:val="24"/>
          <w:highlight w:val="none"/>
          <w:lang w:val="zh-CN"/>
        </w:rPr>
      </w:pPr>
    </w:p>
    <w:p w14:paraId="6989B703">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14:paraId="7B50EAA4">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1.说明：应对照磋商文件“第二章”中“服务需求一览表”的采购清单及技术参数条款逐条作出明确响应，并作出偏离说明。</w:t>
      </w:r>
    </w:p>
    <w:p w14:paraId="649A17FF">
      <w:pPr>
        <w:spacing w:line="400" w:lineRule="exact"/>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665991C">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2548E7FD">
      <w:pPr>
        <w:spacing w:line="400" w:lineRule="exact"/>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F0E08CE">
      <w:pPr>
        <w:spacing w:line="360" w:lineRule="auto"/>
        <w:contextualSpacing/>
        <w:rPr>
          <w:rFonts w:hint="eastAsia" w:ascii="宋体" w:hAnsi="宋体" w:eastAsia="宋体" w:cs="宋体"/>
          <w:color w:val="auto"/>
          <w:kern w:val="0"/>
          <w:sz w:val="24"/>
          <w:szCs w:val="20"/>
          <w:highlight w:val="none"/>
          <w:lang w:val="zh-CN"/>
        </w:rPr>
      </w:pPr>
      <w:r>
        <w:rPr>
          <w:rFonts w:hint="eastAsia" w:ascii="宋体" w:hAnsi="宋体" w:eastAsia="宋体" w:cs="宋体"/>
          <w:color w:val="auto"/>
          <w:kern w:val="0"/>
          <w:szCs w:val="21"/>
          <w:highlight w:val="none"/>
          <w:lang w:val="zh-CN"/>
        </w:rPr>
        <w:t>5. 如技术偏离表中的竞标响应与佐证材料不一致的，以佐证材料为准。</w:t>
      </w:r>
    </w:p>
    <w:p w14:paraId="2D9662C7">
      <w:pPr>
        <w:snapToGrid w:val="0"/>
        <w:spacing w:line="360" w:lineRule="auto"/>
        <w:ind w:firstLine="602" w:firstLineChars="200"/>
        <w:rPr>
          <w:rFonts w:hint="eastAsia" w:ascii="宋体" w:hAnsi="宋体" w:eastAsia="宋体" w:cs="宋体"/>
          <w:b/>
          <w:color w:val="auto"/>
          <w:sz w:val="30"/>
          <w:szCs w:val="30"/>
          <w:highlight w:val="none"/>
        </w:rPr>
      </w:pPr>
    </w:p>
    <w:p w14:paraId="50146A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4E755CD">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3C0224A">
      <w:pPr>
        <w:spacing w:line="500" w:lineRule="exact"/>
        <w:jc w:val="center"/>
        <w:rPr>
          <w:rFonts w:hint="eastAsia" w:ascii="宋体" w:hAnsi="宋体" w:eastAsia="宋体" w:cs="宋体"/>
          <w:color w:val="auto"/>
          <w:kern w:val="0"/>
          <w:sz w:val="24"/>
          <w:highlight w:val="none"/>
          <w:lang w:val="zh-CN"/>
        </w:rPr>
        <w:sectPr>
          <w:pgSz w:w="11910" w:h="16840"/>
          <w:pgMar w:top="1440" w:right="1080" w:bottom="1440" w:left="1080" w:header="720" w:footer="720" w:gutter="0"/>
          <w:cols w:space="720" w:num="1"/>
        </w:sectPr>
      </w:pPr>
    </w:p>
    <w:p w14:paraId="38F464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、服务方案</w:t>
      </w:r>
    </w:p>
    <w:p w14:paraId="452CFB5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r>
        <w:rPr>
          <w:rFonts w:hint="eastAsia" w:ascii="宋体" w:hAnsi="宋体" w:eastAsia="宋体" w:cs="宋体"/>
          <w:color w:val="auto"/>
          <w:sz w:val="24"/>
          <w:highlight w:val="none"/>
          <w:lang w:eastAsia="zh-CN"/>
        </w:rPr>
        <w:t>，格式自拟</w:t>
      </w:r>
      <w:r>
        <w:rPr>
          <w:rFonts w:hint="eastAsia" w:ascii="宋体" w:hAnsi="宋体" w:eastAsia="宋体" w:cs="宋体"/>
          <w:color w:val="auto"/>
          <w:sz w:val="24"/>
          <w:highlight w:val="none"/>
        </w:rPr>
        <w:t>）</w:t>
      </w:r>
    </w:p>
    <w:p w14:paraId="3C7D8620">
      <w:pPr>
        <w:spacing w:line="500" w:lineRule="exact"/>
        <w:rPr>
          <w:rFonts w:hint="eastAsia" w:ascii="宋体" w:hAnsi="宋体" w:eastAsia="宋体" w:cs="宋体"/>
          <w:color w:val="auto"/>
          <w:sz w:val="32"/>
          <w:szCs w:val="32"/>
          <w:highlight w:val="none"/>
        </w:rPr>
      </w:pPr>
    </w:p>
    <w:p w14:paraId="6292860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EE4F97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F915BC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C9D6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D44B3F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681F774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D7F4D11">
      <w:pPr>
        <w:spacing w:line="500" w:lineRule="exact"/>
        <w:rPr>
          <w:rFonts w:hint="eastAsia" w:ascii="宋体" w:hAnsi="宋体" w:eastAsia="宋体" w:cs="宋体"/>
          <w:color w:val="auto"/>
          <w:sz w:val="32"/>
          <w:szCs w:val="32"/>
          <w:highlight w:val="none"/>
        </w:rPr>
        <w:sectPr>
          <w:pgSz w:w="11910" w:h="16840"/>
          <w:pgMar w:top="1440" w:right="1080" w:bottom="1440" w:left="1080" w:header="720" w:footer="720" w:gutter="0"/>
          <w:cols w:space="720" w:num="1"/>
        </w:sectPr>
      </w:pPr>
    </w:p>
    <w:p w14:paraId="36C05AF6">
      <w:pPr>
        <w:snapToGrid w:val="0"/>
        <w:spacing w:before="120" w:beforeLines="50" w:after="5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、服务</w:t>
      </w:r>
      <w:r>
        <w:rPr>
          <w:rFonts w:hint="eastAsia" w:ascii="宋体" w:hAnsi="宋体" w:eastAsia="宋体" w:cs="宋体"/>
          <w:b/>
          <w:color w:val="auto"/>
          <w:sz w:val="30"/>
          <w:szCs w:val="30"/>
          <w:highlight w:val="none"/>
          <w:lang w:val="en-US" w:eastAsia="zh-CN"/>
        </w:rPr>
        <w:t>承诺</w:t>
      </w:r>
    </w:p>
    <w:p w14:paraId="3D34E6DD">
      <w:pPr>
        <w:snapToGrid w:val="0"/>
        <w:spacing w:before="120" w:beforeLines="50" w:after="50"/>
        <w:ind w:left="143" w:leftChars="68"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由竞标人按本项目竞争性磋商采购文件第二章“服务需求一览表”中商务条款部分的服务要求自行</w:t>
      </w:r>
      <w:r>
        <w:rPr>
          <w:rFonts w:hint="eastAsia" w:ascii="宋体" w:hAnsi="宋体" w:eastAsia="宋体" w:cs="宋体"/>
          <w:color w:val="auto"/>
          <w:highlight w:val="none"/>
          <w:lang w:eastAsia="zh-CN"/>
        </w:rPr>
        <w:t>编制</w:t>
      </w:r>
      <w:r>
        <w:rPr>
          <w:rFonts w:hint="eastAsia" w:ascii="宋体" w:hAnsi="宋体" w:eastAsia="宋体" w:cs="宋体"/>
          <w:color w:val="auto"/>
          <w:highlight w:val="none"/>
        </w:rPr>
        <w:t>，其中要包含服务承诺书</w:t>
      </w:r>
      <w:r>
        <w:rPr>
          <w:rFonts w:hint="eastAsia" w:ascii="宋体" w:hAnsi="宋体" w:eastAsia="宋体" w:cs="宋体"/>
          <w:color w:val="auto"/>
          <w:highlight w:val="none"/>
          <w:lang w:eastAsia="zh-CN"/>
        </w:rPr>
        <w:t>，格式自拟。</w:t>
      </w:r>
    </w:p>
    <w:p w14:paraId="2F42AD01">
      <w:pPr>
        <w:autoSpaceDE w:val="0"/>
        <w:autoSpaceDN w:val="0"/>
        <w:spacing w:line="360" w:lineRule="auto"/>
        <w:rPr>
          <w:rFonts w:hint="eastAsia" w:ascii="宋体" w:hAnsi="宋体" w:eastAsia="宋体" w:cs="宋体"/>
          <w:color w:val="auto"/>
          <w:kern w:val="0"/>
          <w:sz w:val="24"/>
          <w:highlight w:val="none"/>
        </w:rPr>
      </w:pPr>
    </w:p>
    <w:p w14:paraId="531F7536">
      <w:pPr>
        <w:spacing w:line="500" w:lineRule="exact"/>
        <w:rPr>
          <w:rFonts w:hint="eastAsia" w:ascii="宋体" w:hAnsi="宋体" w:eastAsia="宋体" w:cs="宋体"/>
          <w:color w:val="auto"/>
          <w:sz w:val="32"/>
          <w:szCs w:val="32"/>
          <w:highlight w:val="none"/>
          <w:lang w:val="zh-CN"/>
        </w:rPr>
      </w:pPr>
    </w:p>
    <w:p w14:paraId="5298C7A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8BAFD4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21867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3D1FE6">
      <w:pPr>
        <w:snapToGrid w:val="0"/>
        <w:spacing w:line="360" w:lineRule="auto"/>
        <w:ind w:firstLine="6120" w:firstLineChars="2550"/>
        <w:rPr>
          <w:rFonts w:hint="eastAsia" w:ascii="宋体" w:hAnsi="宋体" w:eastAsia="宋体" w:cs="宋体"/>
          <w:color w:val="auto"/>
          <w:kern w:val="0"/>
          <w:sz w:val="24"/>
          <w:highlight w:val="none"/>
          <w:lang w:val="zh-CN"/>
        </w:rPr>
      </w:pPr>
    </w:p>
    <w:p w14:paraId="1A3C2B88">
      <w:pPr>
        <w:snapToGrid w:val="0"/>
        <w:spacing w:line="360" w:lineRule="auto"/>
        <w:ind w:firstLine="6120" w:firstLineChars="2550"/>
        <w:rPr>
          <w:rFonts w:hint="eastAsia" w:ascii="宋体" w:hAnsi="宋体" w:eastAsia="宋体" w:cs="宋体"/>
          <w:color w:val="auto"/>
          <w:kern w:val="0"/>
          <w:sz w:val="24"/>
          <w:highlight w:val="none"/>
          <w:lang w:val="zh-CN"/>
        </w:rPr>
      </w:pPr>
    </w:p>
    <w:p w14:paraId="4CC3D3DA">
      <w:pPr>
        <w:snapToGrid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cols w:space="720" w:num="1"/>
        </w:sectPr>
      </w:pPr>
      <w:r>
        <w:rPr>
          <w:rFonts w:hint="eastAsia" w:ascii="宋体" w:hAnsi="宋体" w:eastAsia="宋体" w:cs="宋体"/>
          <w:color w:val="auto"/>
          <w:kern w:val="0"/>
          <w:sz w:val="24"/>
          <w:highlight w:val="none"/>
          <w:lang w:val="zh-CN"/>
        </w:rPr>
        <w:t>日期：  年  月   日</w:t>
      </w:r>
    </w:p>
    <w:p w14:paraId="67240A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rPr>
        <w:t>、项目实施人员一览表</w:t>
      </w:r>
    </w:p>
    <w:p w14:paraId="271262D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235CE035">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响应分标：</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分标</w:t>
      </w:r>
    </w:p>
    <w:p w14:paraId="023B70D2">
      <w:pPr>
        <w:pStyle w:val="21"/>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highlight w:val="none"/>
        </w:rPr>
        <w:t>拟投入项目的实施人员一览表</w:t>
      </w:r>
      <w:r>
        <w:rPr>
          <w:rFonts w:hint="eastAsia" w:ascii="宋体" w:hAnsi="宋体" w:eastAsia="宋体" w:cs="宋体"/>
          <w:b/>
          <w:bCs/>
          <w:color w:val="auto"/>
          <w:sz w:val="32"/>
          <w:szCs w:val="32"/>
          <w:highlight w:val="none"/>
        </w:rPr>
        <w:t>（格式）</w:t>
      </w:r>
    </w:p>
    <w:tbl>
      <w:tblPr>
        <w:tblStyle w:val="3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56"/>
        <w:gridCol w:w="709"/>
        <w:gridCol w:w="1450"/>
        <w:gridCol w:w="1371"/>
        <w:gridCol w:w="2163"/>
        <w:gridCol w:w="2000"/>
      </w:tblGrid>
      <w:tr w14:paraId="2768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center"/>
          </w:tcPr>
          <w:p w14:paraId="7B04893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6" w:type="dxa"/>
            <w:noWrap w:val="0"/>
            <w:vAlign w:val="center"/>
          </w:tcPr>
          <w:p w14:paraId="6FEC144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709" w:type="dxa"/>
            <w:noWrap w:val="0"/>
            <w:vAlign w:val="center"/>
          </w:tcPr>
          <w:p w14:paraId="09E7F00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50" w:type="dxa"/>
            <w:noWrap w:val="0"/>
            <w:vAlign w:val="center"/>
          </w:tcPr>
          <w:p w14:paraId="06F916E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371" w:type="dxa"/>
            <w:noWrap w:val="0"/>
            <w:vAlign w:val="center"/>
          </w:tcPr>
          <w:p w14:paraId="335C951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163" w:type="dxa"/>
            <w:noWrap w:val="0"/>
            <w:vAlign w:val="center"/>
          </w:tcPr>
          <w:p w14:paraId="732EF69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w:t>
            </w:r>
          </w:p>
          <w:p w14:paraId="0415FAA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工作时间</w:t>
            </w:r>
          </w:p>
        </w:tc>
        <w:tc>
          <w:tcPr>
            <w:tcW w:w="2000" w:type="dxa"/>
            <w:noWrap w:val="0"/>
            <w:vAlign w:val="center"/>
          </w:tcPr>
          <w:p w14:paraId="130A6A4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53B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38D8E395">
            <w:pPr>
              <w:spacing w:line="400" w:lineRule="exact"/>
              <w:rPr>
                <w:rFonts w:hint="eastAsia" w:ascii="宋体" w:hAnsi="宋体" w:eastAsia="宋体" w:cs="宋体"/>
                <w:color w:val="auto"/>
                <w:szCs w:val="21"/>
                <w:highlight w:val="none"/>
              </w:rPr>
            </w:pPr>
          </w:p>
        </w:tc>
        <w:tc>
          <w:tcPr>
            <w:tcW w:w="856" w:type="dxa"/>
            <w:noWrap w:val="0"/>
            <w:vAlign w:val="top"/>
          </w:tcPr>
          <w:p w14:paraId="47102B9B">
            <w:pPr>
              <w:spacing w:line="400" w:lineRule="exact"/>
              <w:rPr>
                <w:rFonts w:hint="eastAsia" w:ascii="宋体" w:hAnsi="宋体" w:eastAsia="宋体" w:cs="宋体"/>
                <w:color w:val="auto"/>
                <w:szCs w:val="21"/>
                <w:highlight w:val="none"/>
              </w:rPr>
            </w:pPr>
          </w:p>
        </w:tc>
        <w:tc>
          <w:tcPr>
            <w:tcW w:w="709" w:type="dxa"/>
            <w:noWrap w:val="0"/>
            <w:vAlign w:val="top"/>
          </w:tcPr>
          <w:p w14:paraId="1767801A">
            <w:pPr>
              <w:spacing w:line="400" w:lineRule="exact"/>
              <w:rPr>
                <w:rFonts w:hint="eastAsia" w:ascii="宋体" w:hAnsi="宋体" w:eastAsia="宋体" w:cs="宋体"/>
                <w:color w:val="auto"/>
                <w:szCs w:val="21"/>
                <w:highlight w:val="none"/>
              </w:rPr>
            </w:pPr>
          </w:p>
        </w:tc>
        <w:tc>
          <w:tcPr>
            <w:tcW w:w="1450" w:type="dxa"/>
            <w:noWrap w:val="0"/>
            <w:vAlign w:val="top"/>
          </w:tcPr>
          <w:p w14:paraId="73281237">
            <w:pPr>
              <w:spacing w:line="400" w:lineRule="exact"/>
              <w:rPr>
                <w:rFonts w:hint="eastAsia" w:ascii="宋体" w:hAnsi="宋体" w:eastAsia="宋体" w:cs="宋体"/>
                <w:color w:val="auto"/>
                <w:szCs w:val="21"/>
                <w:highlight w:val="none"/>
              </w:rPr>
            </w:pPr>
          </w:p>
        </w:tc>
        <w:tc>
          <w:tcPr>
            <w:tcW w:w="1371" w:type="dxa"/>
            <w:noWrap w:val="0"/>
            <w:vAlign w:val="top"/>
          </w:tcPr>
          <w:p w14:paraId="5AD0E6AA">
            <w:pPr>
              <w:spacing w:line="400" w:lineRule="exact"/>
              <w:rPr>
                <w:rFonts w:hint="eastAsia" w:ascii="宋体" w:hAnsi="宋体" w:eastAsia="宋体" w:cs="宋体"/>
                <w:color w:val="auto"/>
                <w:szCs w:val="21"/>
                <w:highlight w:val="none"/>
              </w:rPr>
            </w:pPr>
          </w:p>
        </w:tc>
        <w:tc>
          <w:tcPr>
            <w:tcW w:w="2163" w:type="dxa"/>
            <w:noWrap w:val="0"/>
            <w:vAlign w:val="top"/>
          </w:tcPr>
          <w:p w14:paraId="4F95DAE2">
            <w:pPr>
              <w:spacing w:line="400" w:lineRule="exact"/>
              <w:rPr>
                <w:rFonts w:hint="eastAsia" w:ascii="宋体" w:hAnsi="宋体" w:eastAsia="宋体" w:cs="宋体"/>
                <w:color w:val="auto"/>
                <w:szCs w:val="21"/>
                <w:highlight w:val="none"/>
              </w:rPr>
            </w:pPr>
          </w:p>
        </w:tc>
        <w:tc>
          <w:tcPr>
            <w:tcW w:w="2000" w:type="dxa"/>
            <w:noWrap w:val="0"/>
            <w:vAlign w:val="top"/>
          </w:tcPr>
          <w:p w14:paraId="4A2268FC">
            <w:pPr>
              <w:spacing w:line="400" w:lineRule="exact"/>
              <w:rPr>
                <w:rFonts w:hint="eastAsia" w:ascii="宋体" w:hAnsi="宋体" w:eastAsia="宋体" w:cs="宋体"/>
                <w:color w:val="auto"/>
                <w:szCs w:val="21"/>
                <w:highlight w:val="none"/>
              </w:rPr>
            </w:pPr>
          </w:p>
        </w:tc>
      </w:tr>
      <w:tr w14:paraId="584D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53918350">
            <w:pPr>
              <w:spacing w:line="400" w:lineRule="exact"/>
              <w:rPr>
                <w:rFonts w:hint="eastAsia" w:ascii="宋体" w:hAnsi="宋体" w:eastAsia="宋体" w:cs="宋体"/>
                <w:color w:val="auto"/>
                <w:szCs w:val="21"/>
                <w:highlight w:val="none"/>
              </w:rPr>
            </w:pPr>
          </w:p>
        </w:tc>
        <w:tc>
          <w:tcPr>
            <w:tcW w:w="856" w:type="dxa"/>
            <w:noWrap w:val="0"/>
            <w:vAlign w:val="top"/>
          </w:tcPr>
          <w:p w14:paraId="15B557EE">
            <w:pPr>
              <w:spacing w:line="400" w:lineRule="exact"/>
              <w:rPr>
                <w:rFonts w:hint="eastAsia" w:ascii="宋体" w:hAnsi="宋体" w:eastAsia="宋体" w:cs="宋体"/>
                <w:color w:val="auto"/>
                <w:szCs w:val="21"/>
                <w:highlight w:val="none"/>
              </w:rPr>
            </w:pPr>
          </w:p>
        </w:tc>
        <w:tc>
          <w:tcPr>
            <w:tcW w:w="709" w:type="dxa"/>
            <w:noWrap w:val="0"/>
            <w:vAlign w:val="top"/>
          </w:tcPr>
          <w:p w14:paraId="7712E9C1">
            <w:pPr>
              <w:spacing w:line="400" w:lineRule="exact"/>
              <w:rPr>
                <w:rFonts w:hint="eastAsia" w:ascii="宋体" w:hAnsi="宋体" w:eastAsia="宋体" w:cs="宋体"/>
                <w:color w:val="auto"/>
                <w:szCs w:val="21"/>
                <w:highlight w:val="none"/>
              </w:rPr>
            </w:pPr>
          </w:p>
        </w:tc>
        <w:tc>
          <w:tcPr>
            <w:tcW w:w="1450" w:type="dxa"/>
            <w:noWrap w:val="0"/>
            <w:vAlign w:val="top"/>
          </w:tcPr>
          <w:p w14:paraId="35352644">
            <w:pPr>
              <w:spacing w:line="400" w:lineRule="exact"/>
              <w:rPr>
                <w:rFonts w:hint="eastAsia" w:ascii="宋体" w:hAnsi="宋体" w:eastAsia="宋体" w:cs="宋体"/>
                <w:color w:val="auto"/>
                <w:szCs w:val="21"/>
                <w:highlight w:val="none"/>
              </w:rPr>
            </w:pPr>
          </w:p>
        </w:tc>
        <w:tc>
          <w:tcPr>
            <w:tcW w:w="1371" w:type="dxa"/>
            <w:noWrap w:val="0"/>
            <w:vAlign w:val="top"/>
          </w:tcPr>
          <w:p w14:paraId="0B42593E">
            <w:pPr>
              <w:spacing w:line="400" w:lineRule="exact"/>
              <w:rPr>
                <w:rFonts w:hint="eastAsia" w:ascii="宋体" w:hAnsi="宋体" w:eastAsia="宋体" w:cs="宋体"/>
                <w:color w:val="auto"/>
                <w:szCs w:val="21"/>
                <w:highlight w:val="none"/>
              </w:rPr>
            </w:pPr>
          </w:p>
        </w:tc>
        <w:tc>
          <w:tcPr>
            <w:tcW w:w="2163" w:type="dxa"/>
            <w:noWrap w:val="0"/>
            <w:vAlign w:val="top"/>
          </w:tcPr>
          <w:p w14:paraId="21AEB200">
            <w:pPr>
              <w:spacing w:line="400" w:lineRule="exact"/>
              <w:rPr>
                <w:rFonts w:hint="eastAsia" w:ascii="宋体" w:hAnsi="宋体" w:eastAsia="宋体" w:cs="宋体"/>
                <w:color w:val="auto"/>
                <w:szCs w:val="21"/>
                <w:highlight w:val="none"/>
              </w:rPr>
            </w:pPr>
          </w:p>
        </w:tc>
        <w:tc>
          <w:tcPr>
            <w:tcW w:w="2000" w:type="dxa"/>
            <w:noWrap w:val="0"/>
            <w:vAlign w:val="top"/>
          </w:tcPr>
          <w:p w14:paraId="7377F919">
            <w:pPr>
              <w:spacing w:line="400" w:lineRule="exact"/>
              <w:rPr>
                <w:rFonts w:hint="eastAsia" w:ascii="宋体" w:hAnsi="宋体" w:eastAsia="宋体" w:cs="宋体"/>
                <w:color w:val="auto"/>
                <w:szCs w:val="21"/>
                <w:highlight w:val="none"/>
              </w:rPr>
            </w:pPr>
          </w:p>
        </w:tc>
      </w:tr>
      <w:tr w14:paraId="172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32DC5AA2">
            <w:pPr>
              <w:spacing w:line="400" w:lineRule="exact"/>
              <w:rPr>
                <w:rFonts w:hint="eastAsia" w:ascii="宋体" w:hAnsi="宋体" w:eastAsia="宋体" w:cs="宋体"/>
                <w:color w:val="auto"/>
                <w:szCs w:val="21"/>
                <w:highlight w:val="none"/>
              </w:rPr>
            </w:pPr>
          </w:p>
        </w:tc>
        <w:tc>
          <w:tcPr>
            <w:tcW w:w="856" w:type="dxa"/>
            <w:noWrap w:val="0"/>
            <w:vAlign w:val="top"/>
          </w:tcPr>
          <w:p w14:paraId="03ECD1D6">
            <w:pPr>
              <w:spacing w:line="400" w:lineRule="exact"/>
              <w:rPr>
                <w:rFonts w:hint="eastAsia" w:ascii="宋体" w:hAnsi="宋体" w:eastAsia="宋体" w:cs="宋体"/>
                <w:color w:val="auto"/>
                <w:szCs w:val="21"/>
                <w:highlight w:val="none"/>
              </w:rPr>
            </w:pPr>
          </w:p>
        </w:tc>
        <w:tc>
          <w:tcPr>
            <w:tcW w:w="709" w:type="dxa"/>
            <w:noWrap w:val="0"/>
            <w:vAlign w:val="top"/>
          </w:tcPr>
          <w:p w14:paraId="6B8D8079">
            <w:pPr>
              <w:spacing w:line="400" w:lineRule="exact"/>
              <w:rPr>
                <w:rFonts w:hint="eastAsia" w:ascii="宋体" w:hAnsi="宋体" w:eastAsia="宋体" w:cs="宋体"/>
                <w:color w:val="auto"/>
                <w:szCs w:val="21"/>
                <w:highlight w:val="none"/>
              </w:rPr>
            </w:pPr>
          </w:p>
        </w:tc>
        <w:tc>
          <w:tcPr>
            <w:tcW w:w="1450" w:type="dxa"/>
            <w:noWrap w:val="0"/>
            <w:vAlign w:val="top"/>
          </w:tcPr>
          <w:p w14:paraId="61B3099B">
            <w:pPr>
              <w:spacing w:line="400" w:lineRule="exact"/>
              <w:rPr>
                <w:rFonts w:hint="eastAsia" w:ascii="宋体" w:hAnsi="宋体" w:eastAsia="宋体" w:cs="宋体"/>
                <w:color w:val="auto"/>
                <w:szCs w:val="21"/>
                <w:highlight w:val="none"/>
              </w:rPr>
            </w:pPr>
          </w:p>
        </w:tc>
        <w:tc>
          <w:tcPr>
            <w:tcW w:w="1371" w:type="dxa"/>
            <w:noWrap w:val="0"/>
            <w:vAlign w:val="top"/>
          </w:tcPr>
          <w:p w14:paraId="0ED47760">
            <w:pPr>
              <w:spacing w:line="400" w:lineRule="exact"/>
              <w:rPr>
                <w:rFonts w:hint="eastAsia" w:ascii="宋体" w:hAnsi="宋体" w:eastAsia="宋体" w:cs="宋体"/>
                <w:color w:val="auto"/>
                <w:szCs w:val="21"/>
                <w:highlight w:val="none"/>
              </w:rPr>
            </w:pPr>
          </w:p>
        </w:tc>
        <w:tc>
          <w:tcPr>
            <w:tcW w:w="2163" w:type="dxa"/>
            <w:noWrap w:val="0"/>
            <w:vAlign w:val="top"/>
          </w:tcPr>
          <w:p w14:paraId="0CFBB0F0">
            <w:pPr>
              <w:spacing w:line="400" w:lineRule="exact"/>
              <w:rPr>
                <w:rFonts w:hint="eastAsia" w:ascii="宋体" w:hAnsi="宋体" w:eastAsia="宋体" w:cs="宋体"/>
                <w:color w:val="auto"/>
                <w:szCs w:val="21"/>
                <w:highlight w:val="none"/>
              </w:rPr>
            </w:pPr>
          </w:p>
        </w:tc>
        <w:tc>
          <w:tcPr>
            <w:tcW w:w="2000" w:type="dxa"/>
            <w:noWrap w:val="0"/>
            <w:vAlign w:val="top"/>
          </w:tcPr>
          <w:p w14:paraId="6F9B4181">
            <w:pPr>
              <w:spacing w:line="400" w:lineRule="exact"/>
              <w:rPr>
                <w:rFonts w:hint="eastAsia" w:ascii="宋体" w:hAnsi="宋体" w:eastAsia="宋体" w:cs="宋体"/>
                <w:color w:val="auto"/>
                <w:szCs w:val="21"/>
                <w:highlight w:val="none"/>
              </w:rPr>
            </w:pPr>
          </w:p>
        </w:tc>
      </w:tr>
      <w:tr w14:paraId="39AA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02EE7A2A">
            <w:pPr>
              <w:spacing w:line="400" w:lineRule="exact"/>
              <w:rPr>
                <w:rFonts w:hint="eastAsia" w:ascii="宋体" w:hAnsi="宋体" w:eastAsia="宋体" w:cs="宋体"/>
                <w:color w:val="auto"/>
                <w:szCs w:val="21"/>
                <w:highlight w:val="none"/>
              </w:rPr>
            </w:pPr>
          </w:p>
        </w:tc>
        <w:tc>
          <w:tcPr>
            <w:tcW w:w="856" w:type="dxa"/>
            <w:noWrap w:val="0"/>
            <w:vAlign w:val="top"/>
          </w:tcPr>
          <w:p w14:paraId="3EF889DB">
            <w:pPr>
              <w:spacing w:line="400" w:lineRule="exact"/>
              <w:rPr>
                <w:rFonts w:hint="eastAsia" w:ascii="宋体" w:hAnsi="宋体" w:eastAsia="宋体" w:cs="宋体"/>
                <w:color w:val="auto"/>
                <w:szCs w:val="21"/>
                <w:highlight w:val="none"/>
              </w:rPr>
            </w:pPr>
          </w:p>
        </w:tc>
        <w:tc>
          <w:tcPr>
            <w:tcW w:w="709" w:type="dxa"/>
            <w:noWrap w:val="0"/>
            <w:vAlign w:val="top"/>
          </w:tcPr>
          <w:p w14:paraId="25B6EFCD">
            <w:pPr>
              <w:spacing w:line="400" w:lineRule="exact"/>
              <w:rPr>
                <w:rFonts w:hint="eastAsia" w:ascii="宋体" w:hAnsi="宋体" w:eastAsia="宋体" w:cs="宋体"/>
                <w:color w:val="auto"/>
                <w:szCs w:val="21"/>
                <w:highlight w:val="none"/>
              </w:rPr>
            </w:pPr>
          </w:p>
        </w:tc>
        <w:tc>
          <w:tcPr>
            <w:tcW w:w="1450" w:type="dxa"/>
            <w:noWrap w:val="0"/>
            <w:vAlign w:val="top"/>
          </w:tcPr>
          <w:p w14:paraId="6AEAE0F7">
            <w:pPr>
              <w:spacing w:line="400" w:lineRule="exact"/>
              <w:rPr>
                <w:rFonts w:hint="eastAsia" w:ascii="宋体" w:hAnsi="宋体" w:eastAsia="宋体" w:cs="宋体"/>
                <w:color w:val="auto"/>
                <w:szCs w:val="21"/>
                <w:highlight w:val="none"/>
              </w:rPr>
            </w:pPr>
          </w:p>
        </w:tc>
        <w:tc>
          <w:tcPr>
            <w:tcW w:w="1371" w:type="dxa"/>
            <w:noWrap w:val="0"/>
            <w:vAlign w:val="top"/>
          </w:tcPr>
          <w:p w14:paraId="6AA49E40">
            <w:pPr>
              <w:spacing w:line="400" w:lineRule="exact"/>
              <w:rPr>
                <w:rFonts w:hint="eastAsia" w:ascii="宋体" w:hAnsi="宋体" w:eastAsia="宋体" w:cs="宋体"/>
                <w:color w:val="auto"/>
                <w:szCs w:val="21"/>
                <w:highlight w:val="none"/>
              </w:rPr>
            </w:pPr>
          </w:p>
        </w:tc>
        <w:tc>
          <w:tcPr>
            <w:tcW w:w="2163" w:type="dxa"/>
            <w:noWrap w:val="0"/>
            <w:vAlign w:val="top"/>
          </w:tcPr>
          <w:p w14:paraId="55865DA1">
            <w:pPr>
              <w:spacing w:line="400" w:lineRule="exact"/>
              <w:rPr>
                <w:rFonts w:hint="eastAsia" w:ascii="宋体" w:hAnsi="宋体" w:eastAsia="宋体" w:cs="宋体"/>
                <w:color w:val="auto"/>
                <w:szCs w:val="21"/>
                <w:highlight w:val="none"/>
              </w:rPr>
            </w:pPr>
          </w:p>
        </w:tc>
        <w:tc>
          <w:tcPr>
            <w:tcW w:w="2000" w:type="dxa"/>
            <w:noWrap w:val="0"/>
            <w:vAlign w:val="top"/>
          </w:tcPr>
          <w:p w14:paraId="6326EDD8">
            <w:pPr>
              <w:spacing w:line="400" w:lineRule="exact"/>
              <w:rPr>
                <w:rFonts w:hint="eastAsia" w:ascii="宋体" w:hAnsi="宋体" w:eastAsia="宋体" w:cs="宋体"/>
                <w:color w:val="auto"/>
                <w:szCs w:val="21"/>
                <w:highlight w:val="none"/>
              </w:rPr>
            </w:pPr>
          </w:p>
        </w:tc>
      </w:tr>
      <w:tr w14:paraId="1F0B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2BFFD465">
            <w:pPr>
              <w:spacing w:line="400" w:lineRule="exact"/>
              <w:rPr>
                <w:rFonts w:hint="eastAsia" w:ascii="宋体" w:hAnsi="宋体" w:eastAsia="宋体" w:cs="宋体"/>
                <w:color w:val="auto"/>
                <w:szCs w:val="21"/>
                <w:highlight w:val="none"/>
              </w:rPr>
            </w:pPr>
          </w:p>
        </w:tc>
        <w:tc>
          <w:tcPr>
            <w:tcW w:w="856" w:type="dxa"/>
            <w:noWrap w:val="0"/>
            <w:vAlign w:val="top"/>
          </w:tcPr>
          <w:p w14:paraId="2C3E2F8D">
            <w:pPr>
              <w:spacing w:line="400" w:lineRule="exact"/>
              <w:rPr>
                <w:rFonts w:hint="eastAsia" w:ascii="宋体" w:hAnsi="宋体" w:eastAsia="宋体" w:cs="宋体"/>
                <w:color w:val="auto"/>
                <w:szCs w:val="21"/>
                <w:highlight w:val="none"/>
              </w:rPr>
            </w:pPr>
          </w:p>
        </w:tc>
        <w:tc>
          <w:tcPr>
            <w:tcW w:w="709" w:type="dxa"/>
            <w:noWrap w:val="0"/>
            <w:vAlign w:val="top"/>
          </w:tcPr>
          <w:p w14:paraId="334BD838">
            <w:pPr>
              <w:spacing w:line="400" w:lineRule="exact"/>
              <w:rPr>
                <w:rFonts w:hint="eastAsia" w:ascii="宋体" w:hAnsi="宋体" w:eastAsia="宋体" w:cs="宋体"/>
                <w:color w:val="auto"/>
                <w:szCs w:val="21"/>
                <w:highlight w:val="none"/>
              </w:rPr>
            </w:pPr>
          </w:p>
        </w:tc>
        <w:tc>
          <w:tcPr>
            <w:tcW w:w="1450" w:type="dxa"/>
            <w:noWrap w:val="0"/>
            <w:vAlign w:val="top"/>
          </w:tcPr>
          <w:p w14:paraId="26DDFB47">
            <w:pPr>
              <w:spacing w:line="400" w:lineRule="exact"/>
              <w:rPr>
                <w:rFonts w:hint="eastAsia" w:ascii="宋体" w:hAnsi="宋体" w:eastAsia="宋体" w:cs="宋体"/>
                <w:color w:val="auto"/>
                <w:szCs w:val="21"/>
                <w:highlight w:val="none"/>
              </w:rPr>
            </w:pPr>
          </w:p>
        </w:tc>
        <w:tc>
          <w:tcPr>
            <w:tcW w:w="1371" w:type="dxa"/>
            <w:noWrap w:val="0"/>
            <w:vAlign w:val="top"/>
          </w:tcPr>
          <w:p w14:paraId="4ADA4A9A">
            <w:pPr>
              <w:spacing w:line="400" w:lineRule="exact"/>
              <w:rPr>
                <w:rFonts w:hint="eastAsia" w:ascii="宋体" w:hAnsi="宋体" w:eastAsia="宋体" w:cs="宋体"/>
                <w:color w:val="auto"/>
                <w:szCs w:val="21"/>
                <w:highlight w:val="none"/>
              </w:rPr>
            </w:pPr>
          </w:p>
        </w:tc>
        <w:tc>
          <w:tcPr>
            <w:tcW w:w="2163" w:type="dxa"/>
            <w:noWrap w:val="0"/>
            <w:vAlign w:val="top"/>
          </w:tcPr>
          <w:p w14:paraId="0C2E27B7">
            <w:pPr>
              <w:spacing w:line="400" w:lineRule="exact"/>
              <w:rPr>
                <w:rFonts w:hint="eastAsia" w:ascii="宋体" w:hAnsi="宋体" w:eastAsia="宋体" w:cs="宋体"/>
                <w:color w:val="auto"/>
                <w:szCs w:val="21"/>
                <w:highlight w:val="none"/>
              </w:rPr>
            </w:pPr>
          </w:p>
        </w:tc>
        <w:tc>
          <w:tcPr>
            <w:tcW w:w="2000" w:type="dxa"/>
            <w:noWrap w:val="0"/>
            <w:vAlign w:val="top"/>
          </w:tcPr>
          <w:p w14:paraId="1AB62888">
            <w:pPr>
              <w:spacing w:line="400" w:lineRule="exact"/>
              <w:rPr>
                <w:rFonts w:hint="eastAsia" w:ascii="宋体" w:hAnsi="宋体" w:eastAsia="宋体" w:cs="宋体"/>
                <w:color w:val="auto"/>
                <w:szCs w:val="21"/>
                <w:highlight w:val="none"/>
              </w:rPr>
            </w:pPr>
          </w:p>
        </w:tc>
      </w:tr>
      <w:tr w14:paraId="5A50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34E1C983">
            <w:pPr>
              <w:spacing w:line="400" w:lineRule="exact"/>
              <w:rPr>
                <w:rFonts w:hint="eastAsia" w:ascii="宋体" w:hAnsi="宋体" w:eastAsia="宋体" w:cs="宋体"/>
                <w:color w:val="auto"/>
                <w:szCs w:val="21"/>
                <w:highlight w:val="none"/>
              </w:rPr>
            </w:pPr>
          </w:p>
        </w:tc>
        <w:tc>
          <w:tcPr>
            <w:tcW w:w="856" w:type="dxa"/>
            <w:noWrap w:val="0"/>
            <w:vAlign w:val="top"/>
          </w:tcPr>
          <w:p w14:paraId="15E8D835">
            <w:pPr>
              <w:spacing w:line="400" w:lineRule="exact"/>
              <w:rPr>
                <w:rFonts w:hint="eastAsia" w:ascii="宋体" w:hAnsi="宋体" w:eastAsia="宋体" w:cs="宋体"/>
                <w:color w:val="auto"/>
                <w:szCs w:val="21"/>
                <w:highlight w:val="none"/>
              </w:rPr>
            </w:pPr>
          </w:p>
        </w:tc>
        <w:tc>
          <w:tcPr>
            <w:tcW w:w="709" w:type="dxa"/>
            <w:noWrap w:val="0"/>
            <w:vAlign w:val="top"/>
          </w:tcPr>
          <w:p w14:paraId="22504813">
            <w:pPr>
              <w:spacing w:line="400" w:lineRule="exact"/>
              <w:rPr>
                <w:rFonts w:hint="eastAsia" w:ascii="宋体" w:hAnsi="宋体" w:eastAsia="宋体" w:cs="宋体"/>
                <w:color w:val="auto"/>
                <w:szCs w:val="21"/>
                <w:highlight w:val="none"/>
              </w:rPr>
            </w:pPr>
          </w:p>
        </w:tc>
        <w:tc>
          <w:tcPr>
            <w:tcW w:w="1450" w:type="dxa"/>
            <w:noWrap w:val="0"/>
            <w:vAlign w:val="top"/>
          </w:tcPr>
          <w:p w14:paraId="1CCF8F92">
            <w:pPr>
              <w:spacing w:line="400" w:lineRule="exact"/>
              <w:rPr>
                <w:rFonts w:hint="eastAsia" w:ascii="宋体" w:hAnsi="宋体" w:eastAsia="宋体" w:cs="宋体"/>
                <w:color w:val="auto"/>
                <w:szCs w:val="21"/>
                <w:highlight w:val="none"/>
              </w:rPr>
            </w:pPr>
          </w:p>
        </w:tc>
        <w:tc>
          <w:tcPr>
            <w:tcW w:w="1371" w:type="dxa"/>
            <w:noWrap w:val="0"/>
            <w:vAlign w:val="top"/>
          </w:tcPr>
          <w:p w14:paraId="3E311530">
            <w:pPr>
              <w:spacing w:line="400" w:lineRule="exact"/>
              <w:rPr>
                <w:rFonts w:hint="eastAsia" w:ascii="宋体" w:hAnsi="宋体" w:eastAsia="宋体" w:cs="宋体"/>
                <w:color w:val="auto"/>
                <w:szCs w:val="21"/>
                <w:highlight w:val="none"/>
              </w:rPr>
            </w:pPr>
          </w:p>
        </w:tc>
        <w:tc>
          <w:tcPr>
            <w:tcW w:w="2163" w:type="dxa"/>
            <w:noWrap w:val="0"/>
            <w:vAlign w:val="top"/>
          </w:tcPr>
          <w:p w14:paraId="76697B02">
            <w:pPr>
              <w:spacing w:line="400" w:lineRule="exact"/>
              <w:rPr>
                <w:rFonts w:hint="eastAsia" w:ascii="宋体" w:hAnsi="宋体" w:eastAsia="宋体" w:cs="宋体"/>
                <w:color w:val="auto"/>
                <w:szCs w:val="21"/>
                <w:highlight w:val="none"/>
              </w:rPr>
            </w:pPr>
          </w:p>
        </w:tc>
        <w:tc>
          <w:tcPr>
            <w:tcW w:w="2000" w:type="dxa"/>
            <w:noWrap w:val="0"/>
            <w:vAlign w:val="top"/>
          </w:tcPr>
          <w:p w14:paraId="1487B085">
            <w:pPr>
              <w:spacing w:line="400" w:lineRule="exact"/>
              <w:rPr>
                <w:rFonts w:hint="eastAsia" w:ascii="宋体" w:hAnsi="宋体" w:eastAsia="宋体" w:cs="宋体"/>
                <w:color w:val="auto"/>
                <w:szCs w:val="21"/>
                <w:highlight w:val="none"/>
              </w:rPr>
            </w:pPr>
          </w:p>
        </w:tc>
      </w:tr>
    </w:tbl>
    <w:p w14:paraId="7D8EF06F">
      <w:pPr>
        <w:spacing w:line="400" w:lineRule="exact"/>
        <w:rPr>
          <w:rFonts w:hint="eastAsia" w:ascii="宋体" w:hAnsi="宋体" w:eastAsia="宋体" w:cs="宋体"/>
          <w:color w:val="auto"/>
          <w:szCs w:val="21"/>
          <w:highlight w:val="none"/>
        </w:rPr>
      </w:pPr>
    </w:p>
    <w:p w14:paraId="672977D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注：1.在填写时，如本表格不适合磋商单位的实际情况，</w:t>
      </w:r>
      <w:r>
        <w:rPr>
          <w:rFonts w:hint="eastAsia" w:ascii="宋体" w:hAnsi="宋体" w:eastAsia="宋体" w:cs="宋体"/>
          <w:b/>
          <w:bCs/>
          <w:color w:val="auto"/>
          <w:szCs w:val="21"/>
          <w:highlight w:val="none"/>
        </w:rPr>
        <w:t>可根据本表格式自行制表填写。</w:t>
      </w:r>
    </w:p>
    <w:p w14:paraId="4116B391">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提供相关证书复印件。</w:t>
      </w:r>
    </w:p>
    <w:p w14:paraId="31F435DB">
      <w:pPr>
        <w:snapToGrid w:val="0"/>
        <w:spacing w:line="360" w:lineRule="auto"/>
        <w:ind w:firstLine="602" w:firstLineChars="200"/>
        <w:rPr>
          <w:rFonts w:hint="eastAsia" w:ascii="宋体" w:hAnsi="宋体" w:eastAsia="宋体" w:cs="宋体"/>
          <w:b/>
          <w:color w:val="auto"/>
          <w:sz w:val="30"/>
          <w:szCs w:val="30"/>
          <w:highlight w:val="none"/>
        </w:rPr>
      </w:pPr>
    </w:p>
    <w:p w14:paraId="1732B3C1">
      <w:pPr>
        <w:autoSpaceDE w:val="0"/>
        <w:autoSpaceDN w:val="0"/>
        <w:spacing w:line="360" w:lineRule="auto"/>
        <w:ind w:firstLine="6505" w:firstLineChars="2700"/>
        <w:rPr>
          <w:rFonts w:hint="eastAsia" w:ascii="宋体" w:hAnsi="宋体" w:eastAsia="宋体" w:cs="宋体"/>
          <w:b/>
          <w:bCs/>
          <w:color w:val="auto"/>
          <w:sz w:val="24"/>
          <w:highlight w:val="none"/>
        </w:rPr>
      </w:pPr>
    </w:p>
    <w:p w14:paraId="0698D2A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E27CA0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90163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488FE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2DC5664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CFC08D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4607524">
      <w:pPr>
        <w:snapToGrid w:val="0"/>
        <w:spacing w:line="360" w:lineRule="auto"/>
        <w:rPr>
          <w:rFonts w:hint="eastAsia" w:ascii="宋体" w:hAnsi="宋体" w:eastAsia="宋体" w:cs="宋体"/>
          <w:b/>
          <w:color w:val="auto"/>
          <w:sz w:val="30"/>
          <w:szCs w:val="30"/>
          <w:highlight w:val="none"/>
          <w:lang w:val="en-US" w:eastAsia="zh-CN"/>
        </w:rPr>
      </w:pPr>
    </w:p>
    <w:p w14:paraId="79D68237">
      <w:pPr>
        <w:snapToGrid w:val="0"/>
        <w:spacing w:line="360" w:lineRule="auto"/>
        <w:rPr>
          <w:rFonts w:hint="eastAsia" w:ascii="宋体" w:hAnsi="宋体" w:eastAsia="宋体" w:cs="宋体"/>
          <w:b/>
          <w:color w:val="auto"/>
          <w:sz w:val="30"/>
          <w:szCs w:val="30"/>
          <w:highlight w:val="none"/>
          <w:lang w:val="en-US" w:eastAsia="zh-CN"/>
        </w:rPr>
      </w:pPr>
    </w:p>
    <w:p w14:paraId="5562A247">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0ED76DA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、服务需求、商务条款要求提供的其他材料</w:t>
      </w:r>
    </w:p>
    <w:p w14:paraId="50E2B6E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A45C0D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3DB44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A3640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145664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14726A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DC23D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0700B22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12FC5AC">
      <w:pPr>
        <w:autoSpaceDE w:val="0"/>
        <w:autoSpaceDN w:val="0"/>
        <w:spacing w:line="360" w:lineRule="auto"/>
        <w:ind w:firstLine="6480" w:firstLineChars="2700"/>
        <w:rPr>
          <w:rFonts w:hint="eastAsia" w:ascii="宋体" w:hAnsi="宋体" w:eastAsia="宋体" w:cs="宋体"/>
          <w:b/>
          <w:bCs/>
          <w:color w:val="auto"/>
          <w:sz w:val="24"/>
          <w:highlight w:val="none"/>
        </w:rPr>
        <w:sectPr>
          <w:pgSz w:w="11910" w:h="16840"/>
          <w:pgMar w:top="1440" w:right="1080" w:bottom="1440" w:left="1080" w:header="720" w:footer="720" w:gutter="0"/>
          <w:cols w:space="720" w:num="1"/>
        </w:sectPr>
      </w:pPr>
      <w:r>
        <w:rPr>
          <w:rFonts w:hint="eastAsia" w:ascii="宋体" w:hAnsi="宋体" w:eastAsia="宋体" w:cs="宋体"/>
          <w:color w:val="auto"/>
          <w:kern w:val="0"/>
          <w:sz w:val="24"/>
          <w:highlight w:val="none"/>
          <w:lang w:val="zh-CN"/>
        </w:rPr>
        <w:t>日期：  年  月   日</w:t>
      </w:r>
    </w:p>
    <w:p w14:paraId="6E0D647D">
      <w:pPr>
        <w:pStyle w:val="4"/>
        <w:jc w:val="center"/>
        <w:rPr>
          <w:rFonts w:hint="eastAsia" w:ascii="宋体" w:hAnsi="宋体" w:eastAsia="宋体" w:cs="宋体"/>
          <w:color w:val="auto"/>
          <w:highlight w:val="none"/>
          <w:lang w:val="en-US" w:eastAsia="zh-CN"/>
        </w:rPr>
      </w:pPr>
      <w:bookmarkStart w:id="54" w:name="_Toc80205941"/>
      <w:bookmarkStart w:id="55" w:name="_Toc80886945"/>
      <w:r>
        <w:rPr>
          <w:rFonts w:hint="eastAsia" w:ascii="宋体" w:hAnsi="宋体" w:eastAsia="宋体" w:cs="宋体"/>
          <w:color w:val="auto"/>
          <w:highlight w:val="none"/>
          <w:lang w:val="en-US" w:eastAsia="zh-CN"/>
        </w:rPr>
        <w:t>第四节 报价文件格式</w:t>
      </w:r>
      <w:bookmarkEnd w:id="54"/>
      <w:bookmarkEnd w:id="55"/>
    </w:p>
    <w:p w14:paraId="00E8413D">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9645975">
      <w:pPr>
        <w:snapToGrid w:val="0"/>
        <w:spacing w:before="120" w:beforeLines="50" w:after="50"/>
        <w:rPr>
          <w:rFonts w:hint="eastAsia" w:ascii="宋体" w:hAnsi="宋体" w:eastAsia="宋体" w:cs="宋体"/>
          <w:color w:val="auto"/>
          <w:sz w:val="24"/>
          <w:szCs w:val="20"/>
          <w:highlight w:val="none"/>
        </w:rPr>
      </w:pPr>
    </w:p>
    <w:p w14:paraId="1E9CC441">
      <w:pPr>
        <w:snapToGrid w:val="0"/>
        <w:spacing w:before="120" w:beforeLines="50" w:after="50"/>
        <w:rPr>
          <w:rFonts w:hint="eastAsia" w:ascii="宋体" w:hAnsi="宋体" w:eastAsia="宋体" w:cs="宋体"/>
          <w:color w:val="auto"/>
          <w:sz w:val="24"/>
          <w:szCs w:val="20"/>
          <w:highlight w:val="none"/>
        </w:rPr>
      </w:pPr>
    </w:p>
    <w:p w14:paraId="1A9464D7">
      <w:pPr>
        <w:snapToGrid w:val="0"/>
        <w:spacing w:before="120" w:beforeLines="50" w:after="50"/>
        <w:rPr>
          <w:rFonts w:hint="eastAsia" w:ascii="宋体" w:hAnsi="宋体" w:eastAsia="宋体" w:cs="宋体"/>
          <w:color w:val="auto"/>
          <w:sz w:val="24"/>
          <w:szCs w:val="20"/>
          <w:highlight w:val="none"/>
        </w:rPr>
      </w:pPr>
    </w:p>
    <w:p w14:paraId="0F13C8F8">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76F997CC">
      <w:pPr>
        <w:snapToGrid w:val="0"/>
        <w:spacing w:before="120" w:beforeLines="50" w:after="50"/>
        <w:rPr>
          <w:rFonts w:hint="eastAsia" w:ascii="宋体" w:hAnsi="宋体" w:eastAsia="宋体" w:cs="宋体"/>
          <w:bCs/>
          <w:color w:val="auto"/>
          <w:sz w:val="24"/>
          <w:szCs w:val="20"/>
          <w:highlight w:val="none"/>
        </w:rPr>
      </w:pPr>
    </w:p>
    <w:p w14:paraId="3D107E09">
      <w:pPr>
        <w:snapToGrid w:val="0"/>
        <w:spacing w:before="120" w:beforeLines="50" w:after="50"/>
        <w:rPr>
          <w:rFonts w:hint="eastAsia" w:ascii="宋体" w:hAnsi="宋体" w:eastAsia="宋体" w:cs="宋体"/>
          <w:bCs/>
          <w:color w:val="auto"/>
          <w:sz w:val="24"/>
          <w:szCs w:val="20"/>
          <w:highlight w:val="none"/>
        </w:rPr>
      </w:pPr>
    </w:p>
    <w:p w14:paraId="08129604">
      <w:pPr>
        <w:snapToGrid w:val="0"/>
        <w:spacing w:before="120" w:beforeLines="50" w:after="50"/>
        <w:rPr>
          <w:rFonts w:hint="eastAsia" w:ascii="宋体" w:hAnsi="宋体" w:eastAsia="宋体" w:cs="宋体"/>
          <w:bCs/>
          <w:color w:val="auto"/>
          <w:sz w:val="24"/>
          <w:szCs w:val="20"/>
          <w:highlight w:val="none"/>
        </w:rPr>
      </w:pPr>
    </w:p>
    <w:p w14:paraId="292C4DBF">
      <w:pPr>
        <w:snapToGrid w:val="0"/>
        <w:spacing w:before="120" w:beforeLines="50" w:after="50"/>
        <w:rPr>
          <w:rFonts w:hint="eastAsia" w:ascii="宋体" w:hAnsi="宋体" w:eastAsia="宋体" w:cs="宋体"/>
          <w:bCs/>
          <w:color w:val="auto"/>
          <w:sz w:val="24"/>
          <w:szCs w:val="20"/>
          <w:highlight w:val="none"/>
        </w:rPr>
      </w:pPr>
    </w:p>
    <w:p w14:paraId="2AD5CBE9">
      <w:pPr>
        <w:snapToGrid w:val="0"/>
        <w:spacing w:before="120" w:beforeLines="50" w:after="50"/>
        <w:rPr>
          <w:rFonts w:hint="eastAsia" w:ascii="宋体" w:hAnsi="宋体" w:eastAsia="宋体" w:cs="宋体"/>
          <w:bCs/>
          <w:color w:val="auto"/>
          <w:sz w:val="24"/>
          <w:szCs w:val="20"/>
          <w:highlight w:val="none"/>
        </w:rPr>
      </w:pPr>
    </w:p>
    <w:p w14:paraId="6EFE743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64AA739">
      <w:pPr>
        <w:snapToGrid w:val="0"/>
        <w:spacing w:before="120" w:beforeLines="50" w:after="50"/>
        <w:ind w:firstLine="720" w:firstLineChars="225"/>
        <w:rPr>
          <w:rFonts w:hint="eastAsia" w:ascii="宋体" w:hAnsi="宋体" w:eastAsia="宋体" w:cs="宋体"/>
          <w:bCs/>
          <w:color w:val="auto"/>
          <w:sz w:val="32"/>
          <w:szCs w:val="32"/>
          <w:highlight w:val="none"/>
        </w:rPr>
      </w:pPr>
    </w:p>
    <w:p w14:paraId="2EE04F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22C68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0D8DF0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4CA72DB">
      <w:pPr>
        <w:snapToGrid w:val="0"/>
        <w:spacing w:before="120" w:beforeLines="50" w:after="50"/>
        <w:ind w:firstLine="720" w:firstLineChars="225"/>
        <w:rPr>
          <w:rFonts w:hint="eastAsia" w:ascii="宋体" w:hAnsi="宋体" w:eastAsia="宋体" w:cs="宋体"/>
          <w:bCs/>
          <w:color w:val="auto"/>
          <w:sz w:val="32"/>
          <w:szCs w:val="32"/>
          <w:highlight w:val="none"/>
        </w:rPr>
      </w:pPr>
    </w:p>
    <w:p w14:paraId="4806BBB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0C11F0D">
      <w:pPr>
        <w:pStyle w:val="8"/>
        <w:snapToGrid w:val="0"/>
        <w:spacing w:before="50" w:after="50"/>
        <w:ind w:firstLine="720" w:firstLineChars="225"/>
        <w:rPr>
          <w:rFonts w:hint="eastAsia" w:ascii="宋体" w:hAnsi="宋体" w:eastAsia="宋体" w:cs="宋体"/>
          <w:bCs/>
          <w:color w:val="auto"/>
          <w:sz w:val="32"/>
          <w:szCs w:val="32"/>
          <w:highlight w:val="none"/>
        </w:rPr>
      </w:pPr>
    </w:p>
    <w:p w14:paraId="256B76C4">
      <w:pPr>
        <w:pStyle w:val="8"/>
        <w:snapToGrid w:val="0"/>
        <w:spacing w:before="50" w:after="50"/>
        <w:ind w:firstLine="720" w:firstLineChars="225"/>
        <w:rPr>
          <w:rFonts w:hint="eastAsia" w:ascii="宋体" w:hAnsi="宋体" w:eastAsia="宋体" w:cs="宋体"/>
          <w:bCs/>
          <w:color w:val="auto"/>
          <w:sz w:val="32"/>
          <w:szCs w:val="32"/>
          <w:highlight w:val="none"/>
        </w:rPr>
      </w:pPr>
    </w:p>
    <w:p w14:paraId="0FCD72EF">
      <w:pPr>
        <w:pStyle w:val="8"/>
        <w:snapToGrid w:val="0"/>
        <w:spacing w:before="50" w:after="50"/>
        <w:ind w:firstLine="1280" w:firstLineChars="400"/>
        <w:rPr>
          <w:rFonts w:hint="eastAsia" w:ascii="宋体" w:hAnsi="宋体" w:eastAsia="宋体" w:cs="宋体"/>
          <w:bCs/>
          <w:color w:val="auto"/>
          <w:sz w:val="32"/>
          <w:szCs w:val="32"/>
          <w:highlight w:val="none"/>
        </w:rPr>
      </w:pPr>
    </w:p>
    <w:p w14:paraId="5BD78B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3CDC7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7363B467">
      <w:pPr>
        <w:snapToGrid w:val="0"/>
        <w:spacing w:before="120" w:beforeLines="50" w:after="50"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根据</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文件规定及</w:t>
      </w:r>
      <w:r>
        <w:rPr>
          <w:rFonts w:hint="eastAsia" w:ascii="宋体" w:hAnsi="宋体" w:eastAsia="宋体" w:cs="宋体"/>
          <w:b/>
          <w:bCs/>
          <w:color w:val="auto"/>
          <w:sz w:val="21"/>
          <w:szCs w:val="21"/>
          <w:highlight w:val="none"/>
          <w:lang w:val="en-US" w:eastAsia="zh-CN"/>
        </w:rPr>
        <w:t>竞标</w:t>
      </w:r>
      <w:r>
        <w:rPr>
          <w:rFonts w:hint="eastAsia" w:ascii="宋体" w:hAnsi="宋体" w:eastAsia="宋体" w:cs="宋体"/>
          <w:b/>
          <w:bCs/>
          <w:color w:val="auto"/>
          <w:sz w:val="21"/>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2B436C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C76CD46">
      <w:pPr>
        <w:snapToGrid w:val="0"/>
        <w:spacing w:before="120" w:beforeLines="50" w:after="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7122FEB8">
      <w:pPr>
        <w:pStyle w:val="2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3419C679">
      <w:pPr>
        <w:pStyle w:val="21"/>
        <w:spacing w:line="500" w:lineRule="exact"/>
        <w:rPr>
          <w:rFonts w:hint="eastAsia" w:ascii="宋体" w:hAnsi="宋体" w:eastAsia="宋体" w:cs="宋体"/>
          <w:color w:val="auto"/>
          <w:sz w:val="32"/>
          <w:highlight w:val="none"/>
        </w:rPr>
      </w:pPr>
    </w:p>
    <w:p w14:paraId="45D5FCF8">
      <w:pPr>
        <w:pStyle w:val="21"/>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083298A0">
      <w:pPr>
        <w:pStyle w:val="21"/>
        <w:spacing w:line="440" w:lineRule="exact"/>
        <w:ind w:firstLine="400" w:firstLineChars="200"/>
        <w:rPr>
          <w:rFonts w:hint="eastAsia" w:ascii="宋体" w:hAnsi="宋体" w:eastAsia="宋体" w:cs="宋体"/>
          <w:color w:val="auto"/>
          <w:highlight w:val="none"/>
        </w:rPr>
      </w:pPr>
    </w:p>
    <w:p w14:paraId="41A1D1CA">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6E18E1F9">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p>
    <w:p w14:paraId="44495EA2">
      <w:pPr>
        <w:pStyle w:val="21"/>
        <w:spacing w:line="440" w:lineRule="exact"/>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二、技术文件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提交的全部文件）；商务文件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r>
        <w:rPr>
          <w:rFonts w:hint="eastAsia" w:ascii="宋体" w:hAnsi="宋体" w:eastAsia="宋体" w:cs="宋体"/>
          <w:color w:val="auto"/>
          <w:highlight w:val="none"/>
          <w:lang w:eastAsia="zh-CN"/>
        </w:rPr>
        <w:t>（商务技术文件已合并装订成册）</w:t>
      </w:r>
    </w:p>
    <w:p w14:paraId="0270897B">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7E543D90">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元)的竞标总报价，</w:t>
      </w:r>
      <w:r>
        <w:rPr>
          <w:rFonts w:hint="eastAsia" w:ascii="宋体" w:hAnsi="宋体" w:eastAsia="宋体" w:cs="宋体"/>
          <w:color w:val="auto"/>
          <w:highlight w:val="none"/>
          <w:lang w:eastAsia="zh-CN"/>
        </w:rPr>
        <w:t>提交成果时间</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需求一览表”中相应的采购内容。</w:t>
      </w:r>
    </w:p>
    <w:p w14:paraId="2E0F1164">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规定的递交响应文件截止时间起遵循本响应函，并承诺在</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有效期内不修改、撤销</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7C117A64">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文件及有关资料内容完整、真实和准确。</w:t>
      </w:r>
    </w:p>
    <w:p w14:paraId="6836875E">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63B08F6B">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3A6DA22B">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p w14:paraId="3141E643">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p w14:paraId="54D18718">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48BE2CC3">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p w14:paraId="2D34EF98">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p w14:paraId="281BEBFE">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p w14:paraId="5E0A25E8">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6、如我方成交，我方承诺在收到成交通知书后，在成交通知书规定的期限内，根据竞争性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”与采购人订立书面合同，并按照合同约定承担完成合同的责任和义务。</w:t>
      </w:r>
    </w:p>
    <w:p w14:paraId="59E2286A">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7、我方已详细审核竞争性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采购文件，我方知道必须放弃提出含糊不清或误解问题的权利。</w:t>
      </w:r>
    </w:p>
    <w:p w14:paraId="270896A2">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8、我方承诺满足竞争性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”的条款，承担完成合同的责任和义务。</w:t>
      </w:r>
    </w:p>
    <w:p w14:paraId="75CA76EB">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9、我方同意应贵方要求提供与本竞标有关的任何数据或资料。若贵方需要，我方愿意提供我方作出的一切承诺的证明材料。</w:t>
      </w:r>
    </w:p>
    <w:p w14:paraId="631FC146">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10、我方完全理解贵方不一定接受响应报价最低的竞标人为成交供应商的行为。</w:t>
      </w:r>
    </w:p>
    <w:p w14:paraId="281C9C93">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8A621F">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769521B0">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5D24BCF9">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3362A6E5">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594A02B8">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在采购过程中与采购人进行协商谈判的；</w:t>
      </w:r>
    </w:p>
    <w:p w14:paraId="479A81B6">
      <w:pPr>
        <w:pStyle w:val="21"/>
        <w:numPr>
          <w:ilvl w:val="0"/>
          <w:numId w:val="6"/>
        </w:numPr>
        <w:tabs>
          <w:tab w:val="left" w:pos="945"/>
        </w:tabs>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拒绝有关部门监督检查或提供虚假情况的。</w:t>
      </w:r>
    </w:p>
    <w:p w14:paraId="29AE7220">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12</w:t>
      </w:r>
      <w:r>
        <w:rPr>
          <w:rFonts w:hint="eastAsia" w:ascii="宋体" w:hAnsi="宋体" w:eastAsia="宋体" w:cs="宋体"/>
          <w:color w:val="auto"/>
          <w:sz w:val="21"/>
          <w:highlight w:val="none"/>
        </w:rPr>
        <w:t>.与本</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有关的一切正式往来信函请寄</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430341D4">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59AE1E1">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9721B55">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4CEB84F">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DB3FCA7">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456DC096">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40A2C538">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931C4C0">
      <w:pPr>
        <w:pStyle w:val="18"/>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D88769F">
      <w:pPr>
        <w:spacing w:line="360" w:lineRule="auto"/>
        <w:contextualSpacing/>
        <w:jc w:val="left"/>
        <w:rPr>
          <w:rFonts w:hint="eastAsia" w:ascii="宋体" w:hAnsi="宋体" w:eastAsia="宋体" w:cs="宋体"/>
          <w:color w:val="auto"/>
          <w:szCs w:val="21"/>
          <w:highlight w:val="none"/>
        </w:rPr>
      </w:pPr>
    </w:p>
    <w:p w14:paraId="52BB74E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89794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5F4C2A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D180C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15E20BE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月   日</w:t>
      </w:r>
    </w:p>
    <w:p w14:paraId="14B4361E">
      <w:pPr>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lang w:val="zh-CN"/>
        </w:rPr>
        <w:br w:type="page"/>
      </w:r>
    </w:p>
    <w:p w14:paraId="35CA62CF">
      <w:pPr>
        <w:numPr>
          <w:ilvl w:val="0"/>
          <w:numId w:val="7"/>
        </w:num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0C1A74F4">
      <w:pPr>
        <w:numPr>
          <w:ilvl w:val="0"/>
          <w:numId w:val="0"/>
        </w:numPr>
        <w:spacing w:line="520" w:lineRule="exact"/>
        <w:jc w:val="both"/>
        <w:rPr>
          <w:rFonts w:hint="eastAsia" w:ascii="宋体" w:hAnsi="宋体" w:eastAsia="宋体" w:cs="宋体"/>
          <w:b/>
          <w:bCs/>
          <w:color w:val="auto"/>
          <w:sz w:val="32"/>
          <w:szCs w:val="32"/>
          <w:highlight w:val="none"/>
        </w:rPr>
      </w:pPr>
    </w:p>
    <w:p w14:paraId="3F7BAC8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2F9EE0C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6"/>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2268"/>
        <w:gridCol w:w="1417"/>
        <w:gridCol w:w="851"/>
        <w:gridCol w:w="924"/>
        <w:gridCol w:w="1276"/>
        <w:gridCol w:w="918"/>
      </w:tblGrid>
      <w:tr w14:paraId="22C02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311EB83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4539C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72F118">
            <w:pPr>
              <w:spacing w:line="300" w:lineRule="exact"/>
              <w:jc w:val="center"/>
              <w:rPr>
                <w:rFonts w:hint="eastAsia" w:ascii="宋体" w:hAnsi="宋体" w:eastAsia="宋体" w:cs="宋体"/>
                <w:color w:val="auto"/>
                <w:szCs w:val="21"/>
                <w:highlight w:val="none"/>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提交成果时间</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976168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24" w:type="dxa"/>
            <w:tcBorders>
              <w:top w:val="single" w:color="auto" w:sz="4" w:space="0"/>
              <w:left w:val="nil"/>
              <w:bottom w:val="single" w:color="auto" w:sz="4" w:space="0"/>
              <w:right w:val="single" w:color="auto" w:sz="4" w:space="0"/>
            </w:tcBorders>
            <w:noWrap w:val="0"/>
            <w:vAlign w:val="center"/>
          </w:tcPr>
          <w:p w14:paraId="7980E5B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76" w:type="dxa"/>
            <w:tcBorders>
              <w:top w:val="single" w:color="auto" w:sz="4" w:space="0"/>
              <w:left w:val="nil"/>
              <w:bottom w:val="single" w:color="auto" w:sz="4" w:space="0"/>
              <w:right w:val="single" w:color="auto" w:sz="4" w:space="0"/>
            </w:tcBorders>
            <w:noWrap w:val="0"/>
            <w:vAlign w:val="center"/>
          </w:tcPr>
          <w:p w14:paraId="7825095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918" w:type="dxa"/>
            <w:tcBorders>
              <w:top w:val="single" w:color="auto" w:sz="4" w:space="0"/>
              <w:left w:val="nil"/>
              <w:bottom w:val="single" w:color="auto" w:sz="4" w:space="0"/>
              <w:right w:val="single" w:color="auto" w:sz="4" w:space="0"/>
            </w:tcBorders>
            <w:noWrap w:val="0"/>
            <w:vAlign w:val="center"/>
          </w:tcPr>
          <w:p w14:paraId="1371CB2E">
            <w:pPr>
              <w:spacing w:line="340" w:lineRule="exact"/>
              <w:jc w:val="center"/>
              <w:rPr>
                <w:rFonts w:hint="eastAsia" w:ascii="宋体" w:hAnsi="宋体" w:eastAsia="宋体" w:cs="宋体"/>
                <w:b/>
                <w:color w:val="auto"/>
                <w:highlight w:val="none"/>
              </w:rPr>
            </w:pPr>
            <w:r>
              <w:rPr>
                <w:rFonts w:hint="eastAsia" w:ascii="宋体" w:hAnsi="宋体" w:eastAsia="宋体" w:cs="宋体"/>
                <w:color w:val="auto"/>
                <w:szCs w:val="21"/>
                <w:highlight w:val="none"/>
              </w:rPr>
              <w:t>备注</w:t>
            </w:r>
          </w:p>
        </w:tc>
      </w:tr>
      <w:tr w14:paraId="10172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668" w:type="dxa"/>
            <w:tcBorders>
              <w:top w:val="single" w:color="auto" w:sz="4" w:space="0"/>
              <w:left w:val="single" w:color="auto" w:sz="4" w:space="0"/>
              <w:right w:val="single" w:color="auto" w:sz="4" w:space="0"/>
            </w:tcBorders>
            <w:noWrap w:val="0"/>
            <w:vAlign w:val="center"/>
          </w:tcPr>
          <w:p w14:paraId="53FFEFDD">
            <w:pPr>
              <w:spacing w:line="3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 xml:space="preserve"> </w:t>
            </w:r>
          </w:p>
        </w:tc>
        <w:tc>
          <w:tcPr>
            <w:tcW w:w="2268" w:type="dxa"/>
            <w:tcBorders>
              <w:top w:val="single" w:color="auto" w:sz="4" w:space="0"/>
              <w:left w:val="single" w:color="auto" w:sz="4" w:space="0"/>
              <w:right w:val="single" w:color="auto" w:sz="4" w:space="0"/>
            </w:tcBorders>
            <w:noWrap w:val="0"/>
            <w:vAlign w:val="center"/>
          </w:tcPr>
          <w:p w14:paraId="175BC654">
            <w:pPr>
              <w:spacing w:line="300" w:lineRule="exact"/>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 xml:space="preserve"> </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4203522">
            <w:pPr>
              <w:spacing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62CCFF2">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24" w:type="dxa"/>
            <w:tcBorders>
              <w:top w:val="nil"/>
              <w:left w:val="nil"/>
              <w:bottom w:val="single" w:color="auto" w:sz="4" w:space="0"/>
              <w:right w:val="single" w:color="auto" w:sz="4" w:space="0"/>
            </w:tcBorders>
            <w:noWrap w:val="0"/>
            <w:vAlign w:val="center"/>
          </w:tcPr>
          <w:p w14:paraId="174AA5AE">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276" w:type="dxa"/>
            <w:tcBorders>
              <w:top w:val="nil"/>
              <w:left w:val="nil"/>
              <w:bottom w:val="single" w:color="auto" w:sz="4" w:space="0"/>
              <w:right w:val="single" w:color="auto" w:sz="4" w:space="0"/>
            </w:tcBorders>
            <w:noWrap w:val="0"/>
            <w:vAlign w:val="center"/>
          </w:tcPr>
          <w:p w14:paraId="254E98A7">
            <w:pPr>
              <w:spacing w:line="320" w:lineRule="exact"/>
              <w:jc w:val="center"/>
              <w:rPr>
                <w:rFonts w:hint="eastAsia" w:ascii="宋体" w:hAnsi="宋体" w:eastAsia="宋体" w:cs="宋体"/>
                <w:color w:val="auto"/>
                <w:highlight w:val="none"/>
              </w:rPr>
            </w:pPr>
          </w:p>
        </w:tc>
        <w:tc>
          <w:tcPr>
            <w:tcW w:w="918" w:type="dxa"/>
            <w:tcBorders>
              <w:top w:val="nil"/>
              <w:left w:val="nil"/>
              <w:bottom w:val="single" w:color="auto" w:sz="4" w:space="0"/>
              <w:right w:val="single" w:color="auto" w:sz="4" w:space="0"/>
            </w:tcBorders>
            <w:noWrap w:val="0"/>
            <w:vAlign w:val="center"/>
          </w:tcPr>
          <w:p w14:paraId="097FD9BA">
            <w:pPr>
              <w:spacing w:line="320" w:lineRule="exact"/>
              <w:jc w:val="center"/>
              <w:rPr>
                <w:rFonts w:hint="eastAsia" w:ascii="宋体" w:hAnsi="宋体" w:eastAsia="宋体" w:cs="宋体"/>
                <w:color w:val="auto"/>
                <w:highlight w:val="none"/>
              </w:rPr>
            </w:pPr>
          </w:p>
        </w:tc>
      </w:tr>
      <w:tr w14:paraId="6F48E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7"/>
            <w:tcBorders>
              <w:top w:val="single" w:color="auto" w:sz="4" w:space="0"/>
              <w:left w:val="single" w:color="auto" w:sz="4" w:space="0"/>
              <w:right w:val="single" w:color="auto" w:sz="4" w:space="0"/>
            </w:tcBorders>
            <w:noWrap w:val="0"/>
            <w:vAlign w:val="center"/>
          </w:tcPr>
          <w:p w14:paraId="2DEC83A1">
            <w:pPr>
              <w:spacing w:line="320" w:lineRule="exact"/>
              <w:rPr>
                <w:rFonts w:hint="eastAsia" w:ascii="宋体" w:hAnsi="宋体" w:eastAsia="宋体" w:cs="宋体"/>
                <w:color w:val="auto"/>
                <w:szCs w:val="21"/>
                <w:highlight w:val="none"/>
              </w:rPr>
            </w:pPr>
            <w:r>
              <w:rPr>
                <w:rFonts w:hint="eastAsia" w:ascii="宋体" w:hAnsi="宋体" w:eastAsia="宋体" w:cs="宋体"/>
                <w:b/>
                <w:color w:val="auto"/>
                <w:kern w:val="0"/>
                <w:sz w:val="24"/>
                <w:highlight w:val="none"/>
              </w:rPr>
              <w:t>磋商总报价：</w:t>
            </w:r>
            <w:r>
              <w:rPr>
                <w:rFonts w:hint="eastAsia" w:ascii="宋体" w:hAnsi="宋体" w:eastAsia="宋体" w:cs="宋体"/>
                <w:b/>
                <w:bCs/>
                <w:color w:val="auto"/>
                <w:szCs w:val="21"/>
                <w:highlight w:val="none"/>
              </w:rPr>
              <w:t xml:space="preserve">（大写）：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pacing w:val="-12"/>
                <w:w w:val="95"/>
                <w:szCs w:val="21"/>
                <w:highlight w:val="none"/>
                <w:u w:val="single"/>
              </w:rPr>
              <w:tab/>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pacing w:val="-11"/>
                <w:w w:val="95"/>
                <w:szCs w:val="21"/>
                <w:highlight w:val="none"/>
                <w:u w:val="single" w:color="000000"/>
              </w:rPr>
              <w:tab/>
            </w:r>
            <w:r>
              <w:rPr>
                <w:rFonts w:hint="eastAsia" w:ascii="宋体" w:hAnsi="宋体" w:eastAsia="宋体" w:cs="宋体"/>
                <w:b/>
                <w:bCs/>
                <w:color w:val="auto"/>
                <w:spacing w:val="-11"/>
                <w:w w:val="95"/>
                <w:szCs w:val="21"/>
                <w:highlight w:val="none"/>
                <w:u w:val="single" w:color="000000"/>
              </w:rPr>
              <w:t xml:space="preserve">     </w:t>
            </w:r>
            <w:r>
              <w:rPr>
                <w:rFonts w:hint="eastAsia" w:ascii="宋体" w:hAnsi="宋体" w:eastAsia="宋体" w:cs="宋体"/>
                <w:b/>
                <w:bCs/>
                <w:color w:val="auto"/>
                <w:szCs w:val="21"/>
                <w:highlight w:val="none"/>
              </w:rPr>
              <w:t>）</w:t>
            </w:r>
          </w:p>
        </w:tc>
      </w:tr>
      <w:tr w14:paraId="15155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2" w:hRule="atLeast"/>
        </w:trPr>
        <w:tc>
          <w:tcPr>
            <w:tcW w:w="9322" w:type="dxa"/>
            <w:gridSpan w:val="7"/>
            <w:tcBorders>
              <w:top w:val="single" w:color="auto" w:sz="4" w:space="0"/>
              <w:left w:val="single" w:color="auto" w:sz="4" w:space="0"/>
              <w:bottom w:val="single" w:color="auto" w:sz="4" w:space="0"/>
              <w:right w:val="single" w:color="auto" w:sz="4" w:space="0"/>
            </w:tcBorders>
            <w:noWrap w:val="0"/>
            <w:vAlign w:val="center"/>
          </w:tcPr>
          <w:p w14:paraId="20475DBC">
            <w:pPr>
              <w:spacing w:line="300" w:lineRule="exact"/>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说明：供应商磋商报价应包含完成本“项目需求”中所列所有服务内容产生的所有成本、项目验收、代理服务费、税金、利润等一切费用，供应商应综合考虑在报价中，磋商报价不得超出采购预算，否则响应文件按无效处理。</w:t>
            </w:r>
          </w:p>
        </w:tc>
      </w:tr>
    </w:tbl>
    <w:p w14:paraId="2A1DC1B0">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5E6EA09B">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12D7555B">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629A365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6B763B83">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64DB05C3">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D95C9D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E1809A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468796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A073DC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00CA96">
      <w:pPr>
        <w:pStyle w:val="21"/>
        <w:spacing w:line="500" w:lineRule="exact"/>
        <w:ind w:firstLine="6360" w:firstLineChars="2650"/>
        <w:rPr>
          <w:rFonts w:hint="eastAsia" w:ascii="宋体" w:hAnsi="宋体" w:eastAsia="宋体" w:cs="宋体"/>
          <w:color w:val="auto"/>
          <w:sz w:val="24"/>
          <w:highlight w:val="none"/>
          <w:lang w:val="zh-CN"/>
        </w:rPr>
      </w:pPr>
    </w:p>
    <w:p w14:paraId="2F88CACF">
      <w:pPr>
        <w:pStyle w:val="21"/>
        <w:spacing w:line="500" w:lineRule="exact"/>
        <w:ind w:firstLine="6360" w:firstLineChars="2650"/>
        <w:rPr>
          <w:rFonts w:hint="eastAsia" w:ascii="宋体" w:hAnsi="宋体" w:eastAsia="宋体" w:cs="宋体"/>
          <w:color w:val="auto"/>
          <w:sz w:val="24"/>
          <w:highlight w:val="none"/>
          <w:lang w:val="zh-CN"/>
        </w:rPr>
      </w:pPr>
    </w:p>
    <w:p w14:paraId="58D2C56F">
      <w:pPr>
        <w:pStyle w:val="21"/>
        <w:spacing w:line="500" w:lineRule="exact"/>
        <w:ind w:firstLine="6360" w:firstLineChars="2650"/>
        <w:rPr>
          <w:rFonts w:hint="default" w:ascii="宋体" w:hAnsi="宋体" w:eastAsia="宋体" w:cs="宋体"/>
          <w:color w:val="auto"/>
          <w:sz w:val="24"/>
          <w:highlight w:val="none"/>
          <w:lang w:val="en-US" w:eastAsia="zh-CN"/>
        </w:rPr>
        <w:sectPr>
          <w:pgSz w:w="11910" w:h="16840"/>
          <w:pgMar w:top="1440" w:right="1080" w:bottom="1440" w:left="1080" w:header="720" w:footer="720" w:gutter="0"/>
          <w:cols w:space="720" w:num="1"/>
        </w:sectPr>
      </w:pPr>
      <w:r>
        <w:rPr>
          <w:rFonts w:hint="eastAsia" w:ascii="宋体" w:hAnsi="宋体" w:eastAsia="宋体" w:cs="宋体"/>
          <w:color w:val="auto"/>
          <w:sz w:val="24"/>
          <w:highlight w:val="none"/>
          <w:lang w:val="zh-CN"/>
        </w:rPr>
        <w:t xml:space="preserve">日期：  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月</w:t>
      </w:r>
      <w:r>
        <w:rPr>
          <w:rFonts w:hint="eastAsia" w:hAnsi="宋体" w:cs="宋体"/>
          <w:color w:val="auto"/>
          <w:sz w:val="24"/>
          <w:highlight w:val="none"/>
          <w:lang w:val="en-US" w:eastAsia="zh-CN"/>
        </w:rPr>
        <w:t xml:space="preserve">   日</w:t>
      </w:r>
    </w:p>
    <w:p w14:paraId="2C272B64">
      <w:pPr>
        <w:pStyle w:val="4"/>
        <w:jc w:val="both"/>
        <w:rPr>
          <w:rFonts w:hint="eastAsia" w:ascii="宋体" w:hAnsi="宋体" w:eastAsia="宋体" w:cs="宋体"/>
          <w:b w:val="0"/>
          <w:color w:val="auto"/>
          <w:highlight w:val="none"/>
        </w:rPr>
      </w:pPr>
      <w:bookmarkStart w:id="56" w:name="_Toc80886946"/>
      <w:bookmarkStart w:id="57" w:name="_Toc80205942"/>
      <w:r>
        <w:rPr>
          <w:rFonts w:hint="eastAsia" w:ascii="宋体" w:hAnsi="宋体" w:eastAsia="宋体" w:cs="宋体"/>
          <w:color w:val="auto"/>
          <w:highlight w:val="none"/>
          <w:lang w:val="en-US" w:eastAsia="zh-CN"/>
        </w:rPr>
        <w:t>其他文书、文件格式</w:t>
      </w:r>
      <w:bookmarkEnd w:id="56"/>
      <w:bookmarkEnd w:id="57"/>
    </w:p>
    <w:p w14:paraId="022D6B28">
      <w:pPr>
        <w:spacing w:line="520" w:lineRule="exact"/>
        <w:rPr>
          <w:rFonts w:hint="eastAsia" w:ascii="宋体" w:hAnsi="宋体" w:eastAsia="宋体" w:cs="宋体"/>
          <w:color w:val="auto"/>
          <w:sz w:val="24"/>
          <w:highlight w:val="none"/>
        </w:rPr>
      </w:pPr>
    </w:p>
    <w:p w14:paraId="6605FAB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7C3D2B71">
      <w:pPr>
        <w:spacing w:line="520" w:lineRule="exact"/>
        <w:rPr>
          <w:rFonts w:hint="eastAsia" w:ascii="宋体" w:hAnsi="宋体" w:eastAsia="宋体" w:cs="宋体"/>
          <w:color w:val="auto"/>
          <w:sz w:val="32"/>
          <w:szCs w:val="32"/>
          <w:highlight w:val="none"/>
        </w:rPr>
      </w:pPr>
    </w:p>
    <w:p w14:paraId="063A60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4487D8F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EA0843F">
      <w:pPr>
        <w:spacing w:line="360" w:lineRule="auto"/>
        <w:contextualSpacing/>
        <w:rPr>
          <w:rFonts w:hint="eastAsia" w:ascii="宋体" w:hAnsi="宋体" w:eastAsia="宋体" w:cs="宋体"/>
          <w:color w:val="auto"/>
          <w:sz w:val="24"/>
          <w:highlight w:val="none"/>
        </w:rPr>
      </w:pPr>
    </w:p>
    <w:p w14:paraId="1F02D77E">
      <w:pPr>
        <w:spacing w:line="360" w:lineRule="auto"/>
        <w:contextualSpacing/>
        <w:rPr>
          <w:rFonts w:hint="eastAsia" w:ascii="宋体" w:hAnsi="宋体" w:eastAsia="宋体" w:cs="宋体"/>
          <w:color w:val="auto"/>
          <w:sz w:val="24"/>
          <w:highlight w:val="none"/>
        </w:rPr>
      </w:pPr>
    </w:p>
    <w:p w14:paraId="5ADBB434">
      <w:pPr>
        <w:spacing w:line="360" w:lineRule="auto"/>
        <w:contextualSpacing/>
        <w:rPr>
          <w:rFonts w:hint="eastAsia" w:ascii="宋体" w:hAnsi="宋体" w:eastAsia="宋体" w:cs="宋体"/>
          <w:color w:val="auto"/>
          <w:sz w:val="24"/>
          <w:highlight w:val="none"/>
        </w:rPr>
      </w:pPr>
    </w:p>
    <w:p w14:paraId="4426AE2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9E2A86C">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775D070">
      <w:pPr>
        <w:spacing w:line="360" w:lineRule="auto"/>
        <w:contextualSpacing/>
        <w:rPr>
          <w:rFonts w:hint="eastAsia" w:ascii="宋体" w:hAnsi="宋体" w:eastAsia="宋体" w:cs="宋体"/>
          <w:color w:val="auto"/>
          <w:sz w:val="24"/>
          <w:highlight w:val="none"/>
        </w:rPr>
      </w:pPr>
    </w:p>
    <w:p w14:paraId="3651DC4F">
      <w:pPr>
        <w:spacing w:line="360" w:lineRule="auto"/>
        <w:contextualSpacing/>
        <w:rPr>
          <w:rFonts w:hint="eastAsia" w:ascii="宋体" w:hAnsi="宋体" w:eastAsia="宋体" w:cs="宋体"/>
          <w:color w:val="auto"/>
          <w:sz w:val="24"/>
          <w:highlight w:val="none"/>
        </w:rPr>
      </w:pPr>
    </w:p>
    <w:p w14:paraId="75274997">
      <w:pPr>
        <w:spacing w:line="360" w:lineRule="auto"/>
        <w:contextualSpacing/>
        <w:rPr>
          <w:rFonts w:hint="eastAsia" w:ascii="宋体" w:hAnsi="宋体" w:eastAsia="宋体" w:cs="宋体"/>
          <w:color w:val="auto"/>
          <w:sz w:val="24"/>
          <w:highlight w:val="none"/>
        </w:rPr>
      </w:pPr>
    </w:p>
    <w:p w14:paraId="2DCCCF8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2DDFB39">
      <w:pPr>
        <w:spacing w:line="520" w:lineRule="exact"/>
        <w:jc w:val="center"/>
        <w:rPr>
          <w:rFonts w:hint="eastAsia" w:ascii="宋体" w:hAnsi="宋体" w:eastAsia="宋体" w:cs="宋体"/>
          <w:color w:val="auto"/>
          <w:sz w:val="24"/>
          <w:highlight w:val="none"/>
        </w:rPr>
      </w:pPr>
    </w:p>
    <w:p w14:paraId="0B6D2847">
      <w:pPr>
        <w:spacing w:line="520" w:lineRule="exact"/>
        <w:jc w:val="center"/>
        <w:rPr>
          <w:rFonts w:hint="eastAsia" w:ascii="宋体" w:hAnsi="宋体" w:eastAsia="宋体" w:cs="宋体"/>
          <w:color w:val="auto"/>
          <w:sz w:val="24"/>
          <w:highlight w:val="none"/>
        </w:rPr>
      </w:pPr>
    </w:p>
    <w:p w14:paraId="08AAFCC9">
      <w:pPr>
        <w:spacing w:line="520" w:lineRule="exact"/>
        <w:jc w:val="center"/>
        <w:rPr>
          <w:rFonts w:hint="eastAsia" w:ascii="宋体" w:hAnsi="宋体" w:eastAsia="宋体" w:cs="宋体"/>
          <w:color w:val="auto"/>
          <w:sz w:val="24"/>
          <w:highlight w:val="none"/>
        </w:rPr>
      </w:pPr>
    </w:p>
    <w:p w14:paraId="16F4BF2B">
      <w:pPr>
        <w:spacing w:line="520" w:lineRule="exact"/>
        <w:jc w:val="center"/>
        <w:rPr>
          <w:rFonts w:hint="eastAsia" w:ascii="宋体" w:hAnsi="宋体" w:eastAsia="宋体" w:cs="宋体"/>
          <w:color w:val="auto"/>
          <w:sz w:val="24"/>
          <w:highlight w:val="none"/>
        </w:rPr>
      </w:pPr>
    </w:p>
    <w:p w14:paraId="79D651C4">
      <w:pPr>
        <w:spacing w:line="520" w:lineRule="exact"/>
        <w:jc w:val="center"/>
        <w:rPr>
          <w:rFonts w:hint="eastAsia" w:ascii="宋体" w:hAnsi="宋体" w:eastAsia="宋体" w:cs="宋体"/>
          <w:color w:val="auto"/>
          <w:sz w:val="24"/>
          <w:highlight w:val="none"/>
        </w:rPr>
      </w:pPr>
    </w:p>
    <w:p w14:paraId="14468D47">
      <w:pPr>
        <w:spacing w:line="520" w:lineRule="exact"/>
        <w:jc w:val="center"/>
        <w:rPr>
          <w:rFonts w:hint="eastAsia" w:ascii="宋体" w:hAnsi="宋体" w:eastAsia="宋体" w:cs="宋体"/>
          <w:color w:val="auto"/>
          <w:sz w:val="24"/>
          <w:highlight w:val="none"/>
        </w:rPr>
      </w:pPr>
    </w:p>
    <w:p w14:paraId="5EAAF86F">
      <w:pPr>
        <w:spacing w:line="520" w:lineRule="exact"/>
        <w:jc w:val="both"/>
        <w:rPr>
          <w:rFonts w:hint="eastAsia" w:ascii="宋体" w:hAnsi="宋体" w:eastAsia="宋体" w:cs="宋体"/>
          <w:color w:val="auto"/>
          <w:sz w:val="24"/>
          <w:highlight w:val="none"/>
        </w:rPr>
      </w:pPr>
    </w:p>
    <w:p w14:paraId="0D0C2F21">
      <w:pPr>
        <w:pStyle w:val="3"/>
        <w:numPr>
          <w:ilvl w:val="0"/>
          <w:numId w:val="1"/>
        </w:numPr>
        <w:bidi w:val="0"/>
        <w:jc w:val="center"/>
        <w:rPr>
          <w:rFonts w:hint="eastAsia" w:ascii="宋体" w:hAnsi="宋体" w:eastAsia="宋体" w:cs="宋体"/>
          <w:b w:val="0"/>
          <w:bCs w:val="0"/>
          <w:color w:val="auto"/>
          <w:highlight w:val="none"/>
        </w:rPr>
      </w:pPr>
      <w:bookmarkStart w:id="58" w:name="_Toc80886947"/>
      <w:r>
        <w:rPr>
          <w:rFonts w:hint="eastAsia" w:ascii="宋体" w:hAnsi="宋体" w:eastAsia="宋体" w:cs="宋体"/>
          <w:color w:val="auto"/>
          <w:sz w:val="44"/>
          <w:szCs w:val="44"/>
          <w:highlight w:val="none"/>
        </w:rPr>
        <w:t>合同文本</w:t>
      </w:r>
      <w:bookmarkEnd w:id="58"/>
      <w:r>
        <w:rPr>
          <w:rFonts w:hint="eastAsia" w:ascii="宋体" w:hAnsi="宋体" w:eastAsia="宋体" w:cs="宋体"/>
          <w:b w:val="0"/>
          <w:bCs w:val="0"/>
          <w:color w:val="auto"/>
          <w:highlight w:val="none"/>
        </w:rPr>
        <w:br w:type="page"/>
      </w:r>
    </w:p>
    <w:p w14:paraId="0C8B2AA8">
      <w:pPr>
        <w:rPr>
          <w:rFonts w:hint="eastAsia" w:ascii="宋体" w:hAnsi="宋体" w:eastAsia="宋体" w:cs="宋体"/>
          <w:b/>
          <w:bCs/>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”平台合同编号：</w:t>
      </w:r>
    </w:p>
    <w:p w14:paraId="0CC22C85">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 xml:space="preserve"> 政 府 采 购</w:t>
      </w:r>
    </w:p>
    <w:p w14:paraId="76D923CF">
      <w:pPr>
        <w:spacing w:line="360" w:lineRule="auto"/>
        <w:ind w:firstLine="420" w:firstLineChars="200"/>
        <w:rPr>
          <w:rFonts w:hint="eastAsia" w:ascii="宋体" w:hAnsi="宋体" w:eastAsia="宋体" w:cs="宋体"/>
          <w:color w:val="auto"/>
          <w:highlight w:val="none"/>
        </w:rPr>
      </w:pPr>
    </w:p>
    <w:p w14:paraId="3CEDD2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FCEB870">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36"/>
          <w:szCs w:val="36"/>
          <w:highlight w:val="none"/>
          <w:u w:val="single"/>
          <w:lang w:val="en-US" w:eastAsia="zh-CN"/>
        </w:rPr>
        <w:t xml:space="preserve">         （项目名称）</w:t>
      </w:r>
      <w:r>
        <w:rPr>
          <w:rFonts w:hint="eastAsia" w:ascii="宋体" w:hAnsi="宋体" w:eastAsia="宋体" w:cs="宋体"/>
          <w:b/>
          <w:bCs/>
          <w:color w:val="auto"/>
          <w:sz w:val="44"/>
          <w:highlight w:val="none"/>
        </w:rPr>
        <w:t>合同</w:t>
      </w:r>
    </w:p>
    <w:p w14:paraId="43DF344F">
      <w:pPr>
        <w:spacing w:line="360" w:lineRule="auto"/>
        <w:jc w:val="center"/>
        <w:rPr>
          <w:rFonts w:hint="eastAsia" w:ascii="宋体" w:hAnsi="宋体" w:eastAsia="宋体" w:cs="宋体"/>
          <w:b/>
          <w:bCs/>
          <w:color w:val="auto"/>
          <w:sz w:val="44"/>
          <w:highlight w:val="none"/>
        </w:rPr>
      </w:pPr>
    </w:p>
    <w:p w14:paraId="6050FA20">
      <w:pPr>
        <w:spacing w:line="360" w:lineRule="auto"/>
        <w:ind w:firstLine="3507" w:firstLineChars="794"/>
        <w:rPr>
          <w:rFonts w:hint="eastAsia" w:ascii="宋体" w:hAnsi="宋体" w:eastAsia="宋体" w:cs="宋体"/>
          <w:b/>
          <w:bCs/>
          <w:color w:val="auto"/>
          <w:sz w:val="44"/>
          <w:highlight w:val="none"/>
        </w:rPr>
      </w:pPr>
    </w:p>
    <w:p w14:paraId="555E37B9">
      <w:pPr>
        <w:spacing w:line="360" w:lineRule="auto"/>
        <w:ind w:firstLine="3507" w:firstLineChars="794"/>
        <w:rPr>
          <w:rFonts w:hint="eastAsia" w:ascii="宋体" w:hAnsi="宋体" w:eastAsia="宋体" w:cs="宋体"/>
          <w:b/>
          <w:bCs/>
          <w:color w:val="auto"/>
          <w:sz w:val="44"/>
          <w:highlight w:val="none"/>
        </w:rPr>
      </w:pPr>
    </w:p>
    <w:p w14:paraId="77F3A1E2">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3BB874FD">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35600599">
      <w:pPr>
        <w:ind w:firstLine="1308" w:firstLineChars="545"/>
        <w:rPr>
          <w:rFonts w:hint="eastAsia" w:ascii="宋体" w:hAnsi="宋体" w:eastAsia="宋体" w:cs="宋体"/>
          <w:color w:val="auto"/>
          <w:sz w:val="24"/>
          <w:highlight w:val="none"/>
        </w:rPr>
      </w:pPr>
    </w:p>
    <w:p w14:paraId="79C9937D">
      <w:pPr>
        <w:ind w:firstLine="1995" w:firstLineChars="552"/>
        <w:rPr>
          <w:rFonts w:hint="eastAsia" w:ascii="宋体" w:hAnsi="宋体" w:eastAsia="宋体" w:cs="宋体"/>
          <w:b/>
          <w:color w:val="auto"/>
          <w:sz w:val="36"/>
          <w:szCs w:val="36"/>
          <w:highlight w:val="none"/>
          <w:u w:val="single"/>
        </w:rPr>
      </w:pPr>
    </w:p>
    <w:p w14:paraId="78147DC3">
      <w:pPr>
        <w:ind w:firstLine="1995" w:firstLineChars="552"/>
        <w:rPr>
          <w:rFonts w:hint="eastAsia" w:ascii="宋体" w:hAnsi="宋体" w:eastAsia="宋体" w:cs="宋体"/>
          <w:b/>
          <w:color w:val="auto"/>
          <w:sz w:val="36"/>
          <w:szCs w:val="36"/>
          <w:highlight w:val="none"/>
          <w:u w:val="single"/>
        </w:rPr>
      </w:pPr>
    </w:p>
    <w:p w14:paraId="390DBB16">
      <w:pPr>
        <w:tabs>
          <w:tab w:val="left" w:pos="7200"/>
        </w:tabs>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64D8B8CB">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7E6476DA">
      <w:pPr>
        <w:tabs>
          <w:tab w:val="left" w:pos="7380"/>
        </w:tabs>
        <w:spacing w:line="360" w:lineRule="auto"/>
        <w:rPr>
          <w:rFonts w:hint="eastAsia" w:ascii="宋体" w:hAnsi="宋体" w:eastAsia="宋体" w:cs="宋体"/>
          <w:b/>
          <w:bCs/>
          <w:color w:val="auto"/>
          <w:sz w:val="44"/>
          <w:highlight w:val="none"/>
        </w:rPr>
      </w:pPr>
    </w:p>
    <w:p w14:paraId="579EB37E">
      <w:pPr>
        <w:spacing w:before="120" w:line="360" w:lineRule="auto"/>
        <w:ind w:firstLine="2280" w:firstLineChars="950"/>
        <w:rPr>
          <w:rFonts w:hint="eastAsia" w:ascii="宋体" w:hAnsi="宋体" w:eastAsia="宋体" w:cs="宋体"/>
          <w:color w:val="auto"/>
          <w:sz w:val="24"/>
          <w:highlight w:val="none"/>
        </w:rPr>
      </w:pPr>
    </w:p>
    <w:p w14:paraId="2ADBF9F6">
      <w:pPr>
        <w:spacing w:before="120" w:line="360" w:lineRule="auto"/>
        <w:ind w:firstLine="2280" w:firstLineChars="9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ED0AA1D">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1EFA9C41">
      <w:pPr>
        <w:snapToGrid w:val="0"/>
        <w:spacing w:line="360" w:lineRule="auto"/>
        <w:jc w:val="center"/>
        <w:rPr>
          <w:rFonts w:hint="eastAsia" w:ascii="宋体" w:hAnsi="宋体" w:eastAsia="宋体" w:cs="宋体"/>
          <w:b/>
          <w:bCs/>
          <w:color w:val="auto"/>
          <w:sz w:val="44"/>
          <w:highlight w:val="none"/>
        </w:rPr>
      </w:pPr>
    </w:p>
    <w:p w14:paraId="054602D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1A38D52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6C1E477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19E4E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12ABEAA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8D68FE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1C68E5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3E962E7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7E181B5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025A8BA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11B50B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039E1B1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2C1892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4D73D134">
      <w:pPr>
        <w:snapToGrid w:val="0"/>
        <w:spacing w:line="360" w:lineRule="auto"/>
        <w:rPr>
          <w:rFonts w:hint="eastAsia" w:ascii="宋体" w:hAnsi="宋体" w:eastAsia="宋体" w:cs="宋体"/>
          <w:color w:val="auto"/>
          <w:kern w:val="0"/>
          <w:sz w:val="24"/>
          <w:highlight w:val="none"/>
        </w:rPr>
      </w:pPr>
    </w:p>
    <w:p w14:paraId="1B83D211">
      <w:pPr>
        <w:ind w:firstLine="1126" w:firstLineChars="352"/>
        <w:rPr>
          <w:rFonts w:hint="eastAsia" w:ascii="宋体" w:hAnsi="宋体" w:eastAsia="宋体" w:cs="宋体"/>
          <w:color w:val="auto"/>
          <w:kern w:val="0"/>
          <w:sz w:val="32"/>
          <w:szCs w:val="20"/>
          <w:highlight w:val="none"/>
          <w:lang w:val="zh-CN"/>
        </w:rPr>
        <w:sectPr>
          <w:pgSz w:w="11906" w:h="16838"/>
          <w:pgMar w:top="1440" w:right="1080" w:bottom="1440" w:left="1080" w:header="720" w:footer="720" w:gutter="0"/>
          <w:cols w:space="720" w:num="1"/>
          <w:docGrid w:type="lines" w:linePitch="331" w:charSpace="0"/>
        </w:sectPr>
      </w:pPr>
    </w:p>
    <w:p w14:paraId="2B7D54C8">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bookmarkStart w:id="59" w:name="_Toc80886948"/>
      <w:bookmarkStart w:id="60" w:name="_Toc80205944"/>
      <w:r>
        <w:rPr>
          <w:rFonts w:hint="eastAsia" w:ascii="宋体" w:hAnsi="宋体" w:eastAsia="宋体" w:cs="宋体"/>
          <w:b/>
          <w:color w:val="auto"/>
          <w:sz w:val="28"/>
          <w:szCs w:val="28"/>
          <w:highlight w:val="none"/>
        </w:rPr>
        <w:t>第一部分 合同书</w:t>
      </w:r>
      <w:bookmarkEnd w:id="59"/>
      <w:bookmarkEnd w:id="60"/>
    </w:p>
    <w:p w14:paraId="6F0A3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（业主单位名称）</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竞争性磋商方式</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竞争性磋商小组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25</w:t>
      </w:r>
      <w:r>
        <w:rPr>
          <w:rFonts w:hint="eastAsia" w:ascii="宋体" w:hAnsi="宋体" w:eastAsia="宋体" w:cs="宋体"/>
          <w:color w:val="auto"/>
          <w:sz w:val="24"/>
          <w:highlight w:val="none"/>
        </w:rPr>
        <w:t>日内，按照采购文件确定的事项签订本合同。</w:t>
      </w:r>
    </w:p>
    <w:p w14:paraId="0E00A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成交</w:t>
      </w:r>
      <w:r>
        <w:rPr>
          <w:rFonts w:hint="eastAsia" w:ascii="宋体" w:hAnsi="宋体" w:eastAsia="宋体" w:cs="宋体"/>
          <w:color w:val="auto"/>
          <w:sz w:val="24"/>
          <w:highlight w:val="none"/>
          <w:u w:val="single"/>
        </w:rPr>
        <w:t>人名称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780D9D02">
      <w:pPr>
        <w:spacing w:line="360" w:lineRule="auto"/>
        <w:ind w:firstLine="482" w:firstLineChars="200"/>
        <w:rPr>
          <w:rFonts w:hint="eastAsia" w:ascii="宋体" w:hAnsi="宋体" w:eastAsia="宋体" w:cs="宋体"/>
          <w:b/>
          <w:color w:val="auto"/>
          <w:sz w:val="24"/>
          <w:highlight w:val="none"/>
        </w:rPr>
      </w:pPr>
      <w:bookmarkStart w:id="61" w:name="_Toc24059"/>
      <w:bookmarkStart w:id="62" w:name="_Toc2232"/>
      <w:bookmarkStart w:id="63" w:name="_Toc3029"/>
      <w:r>
        <w:rPr>
          <w:rFonts w:hint="eastAsia" w:ascii="宋体" w:hAnsi="宋体" w:eastAsia="宋体" w:cs="宋体"/>
          <w:b/>
          <w:color w:val="auto"/>
          <w:sz w:val="24"/>
          <w:highlight w:val="none"/>
        </w:rPr>
        <w:t>1.1 合同组成部分</w:t>
      </w:r>
      <w:bookmarkEnd w:id="61"/>
      <w:bookmarkEnd w:id="62"/>
      <w:bookmarkEnd w:id="63"/>
    </w:p>
    <w:p w14:paraId="28B102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347A5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C782D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1E010F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1BEF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8F358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0E34BDF4">
      <w:pPr>
        <w:spacing w:line="360" w:lineRule="auto"/>
        <w:ind w:firstLine="482" w:firstLineChars="200"/>
        <w:rPr>
          <w:rFonts w:hint="eastAsia" w:ascii="宋体" w:hAnsi="宋体" w:eastAsia="宋体" w:cs="宋体"/>
          <w:b/>
          <w:color w:val="auto"/>
          <w:sz w:val="24"/>
          <w:highlight w:val="none"/>
        </w:rPr>
      </w:pPr>
      <w:bookmarkStart w:id="64" w:name="_Toc21295"/>
      <w:bookmarkStart w:id="65" w:name="_Toc24300"/>
      <w:bookmarkStart w:id="66" w:name="_Toc27126"/>
      <w:r>
        <w:rPr>
          <w:rFonts w:hint="eastAsia" w:ascii="宋体" w:hAnsi="宋体" w:eastAsia="宋体" w:cs="宋体"/>
          <w:b/>
          <w:color w:val="auto"/>
          <w:sz w:val="24"/>
          <w:highlight w:val="none"/>
        </w:rPr>
        <w:t>1.2 标的物</w:t>
      </w:r>
      <w:bookmarkEnd w:id="64"/>
      <w:bookmarkEnd w:id="65"/>
      <w:bookmarkEnd w:id="66"/>
    </w:p>
    <w:p w14:paraId="130583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2BB56D5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758B44C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1项</w:t>
      </w:r>
      <w:r>
        <w:rPr>
          <w:rFonts w:hint="eastAsia" w:ascii="宋体" w:hAnsi="宋体" w:eastAsia="宋体" w:cs="宋体"/>
          <w:color w:val="auto"/>
          <w:sz w:val="24"/>
          <w:highlight w:val="none"/>
        </w:rPr>
        <w:t>；</w:t>
      </w:r>
    </w:p>
    <w:p w14:paraId="4FA454D6">
      <w:pPr>
        <w:spacing w:line="360" w:lineRule="auto"/>
        <w:ind w:firstLine="482" w:firstLineChars="200"/>
        <w:rPr>
          <w:rFonts w:hint="eastAsia" w:ascii="宋体" w:hAnsi="宋体" w:eastAsia="宋体" w:cs="宋体"/>
          <w:b/>
          <w:color w:val="auto"/>
          <w:sz w:val="24"/>
          <w:highlight w:val="none"/>
        </w:rPr>
      </w:pPr>
      <w:bookmarkStart w:id="67" w:name="_Toc21631"/>
      <w:bookmarkStart w:id="68" w:name="_Toc23292"/>
      <w:bookmarkStart w:id="69" w:name="_Toc21551"/>
      <w:r>
        <w:rPr>
          <w:rFonts w:hint="eastAsia" w:ascii="宋体" w:hAnsi="宋体" w:eastAsia="宋体" w:cs="宋体"/>
          <w:b/>
          <w:color w:val="auto"/>
          <w:sz w:val="24"/>
          <w:highlight w:val="none"/>
        </w:rPr>
        <w:t>1.3 价款</w:t>
      </w:r>
      <w:bookmarkEnd w:id="67"/>
      <w:bookmarkEnd w:id="68"/>
      <w:bookmarkEnd w:id="69"/>
    </w:p>
    <w:p w14:paraId="4061BB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52F17EF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6"/>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430"/>
        <w:gridCol w:w="3518"/>
      </w:tblGrid>
      <w:tr w14:paraId="5AD4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11" w:type="dxa"/>
            <w:noWrap w:val="0"/>
            <w:vAlign w:val="center"/>
          </w:tcPr>
          <w:p w14:paraId="6DAB6A2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430" w:type="dxa"/>
            <w:noWrap w:val="0"/>
            <w:vAlign w:val="center"/>
          </w:tcPr>
          <w:p w14:paraId="14586DE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分项名称</w:t>
            </w:r>
          </w:p>
        </w:tc>
        <w:tc>
          <w:tcPr>
            <w:tcW w:w="3518" w:type="dxa"/>
            <w:noWrap w:val="0"/>
            <w:vAlign w:val="center"/>
          </w:tcPr>
          <w:p w14:paraId="1C3502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分项价格</w:t>
            </w:r>
          </w:p>
        </w:tc>
      </w:tr>
      <w:tr w14:paraId="54BB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11" w:type="dxa"/>
            <w:noWrap w:val="0"/>
            <w:vAlign w:val="center"/>
          </w:tcPr>
          <w:p w14:paraId="759FD7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30" w:type="dxa"/>
            <w:noWrap w:val="0"/>
            <w:vAlign w:val="center"/>
          </w:tcPr>
          <w:p w14:paraId="11324F8B">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p>
        </w:tc>
        <w:tc>
          <w:tcPr>
            <w:tcW w:w="3518" w:type="dxa"/>
            <w:noWrap w:val="0"/>
            <w:vAlign w:val="center"/>
          </w:tcPr>
          <w:p w14:paraId="33C31F69">
            <w:pPr>
              <w:spacing w:line="360" w:lineRule="auto"/>
              <w:ind w:firstLine="480" w:firstLineChars="200"/>
              <w:jc w:val="center"/>
              <w:rPr>
                <w:rFonts w:hint="eastAsia" w:ascii="宋体" w:hAnsi="宋体" w:eastAsia="宋体" w:cs="宋体"/>
                <w:color w:val="auto"/>
                <w:sz w:val="24"/>
                <w:highlight w:val="none"/>
              </w:rPr>
            </w:pPr>
          </w:p>
        </w:tc>
      </w:tr>
      <w:tr w14:paraId="6BDF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641" w:type="dxa"/>
            <w:gridSpan w:val="2"/>
            <w:noWrap w:val="0"/>
            <w:vAlign w:val="center"/>
          </w:tcPr>
          <w:p w14:paraId="574C03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3518" w:type="dxa"/>
            <w:noWrap w:val="0"/>
            <w:vAlign w:val="center"/>
          </w:tcPr>
          <w:p w14:paraId="589C9347">
            <w:pPr>
              <w:spacing w:line="360" w:lineRule="auto"/>
              <w:ind w:firstLine="480" w:firstLineChars="200"/>
              <w:rPr>
                <w:rFonts w:hint="eastAsia" w:ascii="宋体" w:hAnsi="宋体" w:eastAsia="宋体" w:cs="宋体"/>
                <w:color w:val="auto"/>
                <w:sz w:val="24"/>
                <w:highlight w:val="none"/>
              </w:rPr>
            </w:pPr>
          </w:p>
        </w:tc>
      </w:tr>
    </w:tbl>
    <w:p w14:paraId="242419AB">
      <w:pPr>
        <w:spacing w:line="360" w:lineRule="auto"/>
        <w:ind w:firstLine="482" w:firstLineChars="200"/>
        <w:rPr>
          <w:rFonts w:hint="eastAsia" w:ascii="宋体" w:hAnsi="宋体" w:eastAsia="宋体" w:cs="宋体"/>
          <w:b/>
          <w:color w:val="auto"/>
          <w:sz w:val="24"/>
          <w:highlight w:val="none"/>
        </w:rPr>
      </w:pPr>
      <w:bookmarkStart w:id="70" w:name="_Toc22618"/>
      <w:bookmarkStart w:id="71" w:name="_Toc10340"/>
      <w:bookmarkStart w:id="72" w:name="_Toc1814"/>
      <w:r>
        <w:rPr>
          <w:rFonts w:hint="eastAsia" w:ascii="宋体" w:hAnsi="宋体" w:eastAsia="宋体" w:cs="宋体"/>
          <w:b/>
          <w:color w:val="auto"/>
          <w:sz w:val="24"/>
          <w:highlight w:val="none"/>
        </w:rPr>
        <w:t>1.4 付款方式和发票开具方式</w:t>
      </w:r>
      <w:bookmarkEnd w:id="70"/>
      <w:bookmarkEnd w:id="71"/>
      <w:bookmarkEnd w:id="72"/>
    </w:p>
    <w:p w14:paraId="4D4253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454BAE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采购人每支付一笔款前，中标人必须提供相应数额的发票。</w:t>
      </w:r>
    </w:p>
    <w:p w14:paraId="70A5FBD1">
      <w:pPr>
        <w:spacing w:line="360" w:lineRule="auto"/>
        <w:ind w:firstLine="482" w:firstLineChars="200"/>
        <w:rPr>
          <w:rFonts w:hint="eastAsia" w:ascii="宋体" w:hAnsi="宋体" w:eastAsia="宋体" w:cs="宋体"/>
          <w:b/>
          <w:color w:val="auto"/>
          <w:sz w:val="24"/>
          <w:highlight w:val="none"/>
        </w:rPr>
      </w:pPr>
      <w:bookmarkStart w:id="73" w:name="_Toc32071"/>
      <w:bookmarkStart w:id="74" w:name="_Toc19304"/>
      <w:bookmarkStart w:id="75" w:name="_Toc2846"/>
      <w:r>
        <w:rPr>
          <w:rFonts w:hint="eastAsia" w:ascii="宋体" w:hAnsi="宋体" w:eastAsia="宋体" w:cs="宋体"/>
          <w:b/>
          <w:color w:val="auto"/>
          <w:sz w:val="24"/>
          <w:highlight w:val="none"/>
        </w:rPr>
        <w:t>1.5 标的物交付期限、地点、方式</w:t>
      </w:r>
      <w:bookmarkEnd w:id="73"/>
      <w:bookmarkEnd w:id="74"/>
      <w:bookmarkEnd w:id="75"/>
      <w:r>
        <w:rPr>
          <w:rFonts w:hint="eastAsia" w:ascii="宋体" w:hAnsi="宋体" w:eastAsia="宋体" w:cs="宋体"/>
          <w:b/>
          <w:color w:val="auto"/>
          <w:sz w:val="24"/>
          <w:highlight w:val="none"/>
        </w:rPr>
        <w:t>和服务期限</w:t>
      </w:r>
    </w:p>
    <w:p w14:paraId="2973A22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07FA482F">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w:t>
      </w:r>
    </w:p>
    <w:p w14:paraId="274F52E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2A4EE3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58300972">
      <w:pPr>
        <w:spacing w:line="360" w:lineRule="auto"/>
        <w:ind w:firstLine="482" w:firstLineChars="200"/>
        <w:rPr>
          <w:rFonts w:hint="eastAsia" w:ascii="宋体" w:hAnsi="宋体" w:eastAsia="宋体" w:cs="宋体"/>
          <w:b/>
          <w:color w:val="auto"/>
          <w:sz w:val="24"/>
          <w:highlight w:val="none"/>
        </w:rPr>
      </w:pPr>
      <w:bookmarkStart w:id="76" w:name="_Toc19554"/>
      <w:bookmarkStart w:id="77" w:name="_Toc27250"/>
      <w:bookmarkStart w:id="78" w:name="_Toc21423"/>
      <w:r>
        <w:rPr>
          <w:rFonts w:hint="eastAsia" w:ascii="宋体" w:hAnsi="宋体" w:eastAsia="宋体" w:cs="宋体"/>
          <w:b/>
          <w:color w:val="auto"/>
          <w:sz w:val="24"/>
          <w:highlight w:val="none"/>
        </w:rPr>
        <w:t>1.6 违约责任</w:t>
      </w:r>
      <w:bookmarkEnd w:id="76"/>
      <w:bookmarkEnd w:id="77"/>
      <w:bookmarkEnd w:id="78"/>
    </w:p>
    <w:p w14:paraId="2EB890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w:t>
      </w:r>
      <w:r>
        <w:rPr>
          <w:rFonts w:hint="eastAsia" w:ascii="宋体" w:hAnsi="宋体" w:eastAsia="宋体" w:cs="宋体"/>
          <w:color w:val="auto"/>
          <w:sz w:val="24"/>
          <w:highlight w:val="none"/>
          <w:lang w:eastAsia="zh-CN"/>
        </w:rPr>
        <w:t>服务成果的</w:t>
      </w:r>
      <w:r>
        <w:rPr>
          <w:rFonts w:hint="eastAsia" w:ascii="宋体" w:hAnsi="宋体" w:eastAsia="宋体" w:cs="宋体"/>
          <w:color w:val="auto"/>
          <w:sz w:val="24"/>
          <w:highlight w:val="none"/>
        </w:rPr>
        <w:t>，甲方可要求乙方支付违约金，违约金按每迟延一日的</w:t>
      </w:r>
      <w:r>
        <w:rPr>
          <w:rFonts w:hint="eastAsia" w:ascii="宋体" w:hAnsi="宋体" w:eastAsia="宋体" w:cs="宋体"/>
          <w:color w:val="auto"/>
          <w:sz w:val="24"/>
          <w:highlight w:val="none"/>
          <w:lang w:eastAsia="zh-CN"/>
        </w:rPr>
        <w:t>按合同价款总金额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%；迟延超过【7】日的，甲方有权在要求乙方支付违约金的同时，书面通知乙方解除本合同，乙方应退回全部已收取的合同价款并按合同总金额的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%向甲方支付违约金；</w:t>
      </w:r>
    </w:p>
    <w:p w14:paraId="60907F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计算，最高限额为欠付金额的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244AD8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904161C">
      <w:pPr>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元的违约金。</w:t>
      </w:r>
    </w:p>
    <w:p w14:paraId="3CE31E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C129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FCDF2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3152EADD">
      <w:pPr>
        <w:spacing w:line="360" w:lineRule="auto"/>
        <w:ind w:firstLine="482" w:firstLineChars="200"/>
        <w:rPr>
          <w:rFonts w:hint="eastAsia" w:ascii="宋体" w:hAnsi="宋体" w:eastAsia="宋体" w:cs="宋体"/>
          <w:b/>
          <w:color w:val="auto"/>
          <w:sz w:val="24"/>
          <w:highlight w:val="none"/>
        </w:rPr>
      </w:pPr>
      <w:bookmarkStart w:id="79" w:name="_Toc15583"/>
      <w:bookmarkStart w:id="80" w:name="_Toc28375"/>
      <w:bookmarkStart w:id="81" w:name="_Toc16021"/>
      <w:r>
        <w:rPr>
          <w:rFonts w:hint="eastAsia" w:ascii="宋体" w:hAnsi="宋体" w:eastAsia="宋体" w:cs="宋体"/>
          <w:b/>
          <w:color w:val="auto"/>
          <w:sz w:val="24"/>
          <w:highlight w:val="none"/>
        </w:rPr>
        <w:t>1.7 合同争议的解决</w:t>
      </w:r>
      <w:bookmarkEnd w:id="79"/>
      <w:bookmarkEnd w:id="80"/>
      <w:bookmarkEnd w:id="81"/>
    </w:p>
    <w:p w14:paraId="46BF84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1.7.1</w:t>
      </w:r>
      <w:r>
        <w:rPr>
          <w:rFonts w:hint="eastAsia" w:ascii="宋体" w:hAnsi="宋体" w:eastAsia="宋体" w:cs="宋体"/>
          <w:color w:val="auto"/>
          <w:sz w:val="24"/>
          <w:highlight w:val="none"/>
        </w:rPr>
        <w:t>种方式解决：</w:t>
      </w:r>
    </w:p>
    <w:p w14:paraId="5F816A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lang w:eastAsia="zh-CN"/>
        </w:rPr>
        <w:t>百色</w:t>
      </w:r>
      <w:r>
        <w:rPr>
          <w:rFonts w:hint="eastAsia" w:ascii="宋体" w:hAnsi="宋体" w:eastAsia="宋体" w:cs="宋体"/>
          <w:color w:val="auto"/>
          <w:sz w:val="24"/>
          <w:highlight w:val="none"/>
        </w:rPr>
        <w:t>仲裁委员会依申请仲裁时其现行有效的仲裁规则裁决；</w:t>
      </w:r>
    </w:p>
    <w:p w14:paraId="52362B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甲方所在地</w:t>
      </w:r>
      <w:r>
        <w:rPr>
          <w:rFonts w:hint="eastAsia" w:ascii="宋体" w:hAnsi="宋体" w:eastAsia="宋体" w:cs="宋体"/>
          <w:color w:val="auto"/>
          <w:sz w:val="24"/>
          <w:highlight w:val="none"/>
        </w:rPr>
        <w:t>人民法院起诉。</w:t>
      </w:r>
    </w:p>
    <w:p w14:paraId="5A127988">
      <w:pPr>
        <w:spacing w:line="360" w:lineRule="auto"/>
        <w:ind w:firstLine="482" w:firstLineChars="200"/>
        <w:rPr>
          <w:rFonts w:hint="eastAsia" w:ascii="宋体" w:hAnsi="宋体" w:eastAsia="宋体" w:cs="宋体"/>
          <w:b/>
          <w:color w:val="auto"/>
          <w:sz w:val="24"/>
          <w:highlight w:val="none"/>
        </w:rPr>
      </w:pPr>
      <w:bookmarkStart w:id="82" w:name="_Toc11173"/>
      <w:bookmarkStart w:id="83" w:name="_Toc15322"/>
      <w:bookmarkStart w:id="84" w:name="_Toc7245"/>
      <w:r>
        <w:rPr>
          <w:rFonts w:hint="eastAsia" w:ascii="宋体" w:hAnsi="宋体" w:eastAsia="宋体" w:cs="宋体"/>
          <w:b/>
          <w:color w:val="auto"/>
          <w:sz w:val="24"/>
          <w:highlight w:val="none"/>
        </w:rPr>
        <w:t>1.8 合同生效</w:t>
      </w:r>
      <w:bookmarkEnd w:id="82"/>
      <w:bookmarkEnd w:id="83"/>
      <w:bookmarkEnd w:id="84"/>
    </w:p>
    <w:p w14:paraId="15F7BB27">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655F6A2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乙方：</w:t>
      </w:r>
    </w:p>
    <w:p w14:paraId="2CD8D395">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1C5093CC">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住所：</w:t>
      </w:r>
    </w:p>
    <w:p w14:paraId="720318CD">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46DA8A2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65B397FE">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7ED3F6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5D4327F0">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0053BD8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11D2A2A7">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22805504">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00CBDF3">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6C747E68">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EA83CC5">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bookmarkStart w:id="85" w:name="_Toc331685783"/>
      <w:r>
        <w:rPr>
          <w:rFonts w:hint="eastAsia" w:ascii="宋体" w:hAnsi="宋体" w:eastAsia="宋体" w:cs="宋体"/>
          <w:b/>
          <w:color w:val="auto"/>
          <w:sz w:val="24"/>
          <w:szCs w:val="21"/>
          <w:highlight w:val="none"/>
        </w:rPr>
        <w:br w:type="page"/>
      </w:r>
      <w:bookmarkStart w:id="86" w:name="_Toc80205945"/>
      <w:bookmarkStart w:id="87" w:name="_Toc80886949"/>
      <w:r>
        <w:rPr>
          <w:rFonts w:hint="eastAsia" w:ascii="宋体" w:hAnsi="宋体" w:eastAsia="宋体" w:cs="宋体"/>
          <w:b/>
          <w:color w:val="auto"/>
          <w:sz w:val="28"/>
          <w:szCs w:val="28"/>
          <w:highlight w:val="none"/>
        </w:rPr>
        <w:t>第二部分 合同一般条款</w:t>
      </w:r>
      <w:bookmarkEnd w:id="85"/>
      <w:bookmarkEnd w:id="86"/>
      <w:bookmarkEnd w:id="87"/>
    </w:p>
    <w:p w14:paraId="0E6FE5DA">
      <w:pPr>
        <w:spacing w:line="360" w:lineRule="auto"/>
        <w:ind w:firstLine="482" w:firstLineChars="200"/>
        <w:rPr>
          <w:rFonts w:hint="eastAsia" w:ascii="宋体" w:hAnsi="宋体" w:eastAsia="宋体" w:cs="宋体"/>
          <w:b/>
          <w:color w:val="auto"/>
          <w:sz w:val="24"/>
          <w:highlight w:val="none"/>
        </w:rPr>
      </w:pPr>
      <w:bookmarkStart w:id="88" w:name="_Ref467379101"/>
      <w:bookmarkStart w:id="89" w:name="_Toc487900349"/>
      <w:bookmarkStart w:id="90" w:name="_Toc28763"/>
      <w:bookmarkStart w:id="91" w:name="_Ref467379214"/>
      <w:bookmarkStart w:id="92" w:name="_Ref467379225"/>
      <w:bookmarkStart w:id="93" w:name="_Ref467379195"/>
      <w:bookmarkStart w:id="94" w:name="_Ref467379205"/>
      <w:bookmarkStart w:id="95" w:name="_Toc279701240"/>
      <w:bookmarkStart w:id="96" w:name="_Ref467378463"/>
      <w:bookmarkStart w:id="97" w:name="_Toc16917"/>
      <w:bookmarkStart w:id="98" w:name="_Ref467379094"/>
      <w:bookmarkStart w:id="99" w:name="_Ref467378499"/>
      <w:bookmarkStart w:id="100" w:name="_Ref467378404"/>
      <w:bookmarkStart w:id="101" w:name="_Ref467379109"/>
      <w:bookmarkStart w:id="102" w:name="_Toc19614"/>
      <w:bookmarkStart w:id="103" w:name="_Toc259093669"/>
      <w:r>
        <w:rPr>
          <w:rFonts w:hint="eastAsia" w:ascii="宋体" w:hAnsi="宋体" w:eastAsia="宋体" w:cs="宋体"/>
          <w:b/>
          <w:color w:val="auto"/>
          <w:sz w:val="24"/>
          <w:highlight w:val="none"/>
        </w:rPr>
        <w:t>2.1 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730AF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29A8E4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733C66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4A4E9D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8B32966">
      <w:pPr>
        <w:spacing w:line="360" w:lineRule="auto"/>
        <w:ind w:firstLine="480" w:firstLineChars="200"/>
        <w:rPr>
          <w:rFonts w:hint="eastAsia" w:ascii="宋体" w:hAnsi="宋体" w:eastAsia="宋体" w:cs="宋体"/>
          <w:color w:val="auto"/>
          <w:sz w:val="24"/>
          <w:highlight w:val="none"/>
        </w:rPr>
      </w:pPr>
      <w:bookmarkStart w:id="104" w:name="_Ref467378840"/>
      <w:r>
        <w:rPr>
          <w:rFonts w:hint="eastAsia" w:ascii="宋体" w:hAnsi="宋体" w:eastAsia="宋体" w:cs="宋体"/>
          <w:color w:val="auto"/>
          <w:sz w:val="24"/>
          <w:highlight w:val="none"/>
        </w:rPr>
        <w:t>2.1.4 “甲方”系指与中标人签署合同的采购人</w:t>
      </w:r>
      <w:bookmarkEnd w:id="104"/>
      <w:r>
        <w:rPr>
          <w:rFonts w:hint="eastAsia" w:ascii="宋体" w:hAnsi="宋体" w:eastAsia="宋体" w:cs="宋体"/>
          <w:color w:val="auto"/>
          <w:sz w:val="24"/>
          <w:highlight w:val="none"/>
        </w:rPr>
        <w:t>；采购人委托采购机构代表其与乙方签订合同的，采购人的授权委托书作为合同附件。</w:t>
      </w:r>
    </w:p>
    <w:p w14:paraId="4375FF8A">
      <w:pPr>
        <w:spacing w:line="360" w:lineRule="auto"/>
        <w:ind w:firstLine="480" w:firstLineChars="200"/>
        <w:rPr>
          <w:rFonts w:hint="eastAsia" w:ascii="宋体" w:hAnsi="宋体" w:eastAsia="宋体" w:cs="宋体"/>
          <w:color w:val="auto"/>
          <w:sz w:val="24"/>
          <w:highlight w:val="none"/>
        </w:rPr>
      </w:pPr>
      <w:bookmarkStart w:id="105" w:name="_Ref467379400"/>
      <w:r>
        <w:rPr>
          <w:rFonts w:hint="eastAsia" w:ascii="宋体" w:hAnsi="宋体" w:eastAsia="宋体" w:cs="宋体"/>
          <w:color w:val="auto"/>
          <w:sz w:val="24"/>
          <w:highlight w:val="none"/>
        </w:rPr>
        <w:t>2.1.5 “乙方”系指根据合同约定交付标的物的</w:t>
      </w:r>
      <w:bookmarkEnd w:id="105"/>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0DBA553">
      <w:pPr>
        <w:spacing w:line="360" w:lineRule="auto"/>
        <w:ind w:firstLine="480" w:firstLineChars="200"/>
        <w:rPr>
          <w:rFonts w:hint="eastAsia" w:ascii="宋体" w:hAnsi="宋体" w:eastAsia="宋体" w:cs="宋体"/>
          <w:color w:val="auto"/>
          <w:sz w:val="24"/>
          <w:highlight w:val="none"/>
        </w:rPr>
      </w:pPr>
      <w:bookmarkStart w:id="106" w:name="_Ref467379436"/>
      <w:r>
        <w:rPr>
          <w:rFonts w:hint="eastAsia" w:ascii="宋体" w:hAnsi="宋体" w:eastAsia="宋体" w:cs="宋体"/>
          <w:color w:val="auto"/>
          <w:sz w:val="24"/>
          <w:highlight w:val="none"/>
        </w:rPr>
        <w:t>2.1.6 “现场”系指合同约定标的物将要运至或者实施或者安装的地点。</w:t>
      </w:r>
      <w:bookmarkEnd w:id="106"/>
    </w:p>
    <w:p w14:paraId="0EB9B432">
      <w:pPr>
        <w:spacing w:line="360" w:lineRule="auto"/>
        <w:ind w:firstLine="482" w:firstLineChars="200"/>
        <w:rPr>
          <w:rFonts w:hint="eastAsia" w:ascii="宋体" w:hAnsi="宋体" w:eastAsia="宋体" w:cs="宋体"/>
          <w:b/>
          <w:color w:val="auto"/>
          <w:sz w:val="24"/>
          <w:highlight w:val="none"/>
        </w:rPr>
      </w:pPr>
      <w:bookmarkStart w:id="107" w:name="_Toc487900350"/>
      <w:bookmarkStart w:id="108" w:name="_Toc13336"/>
      <w:bookmarkStart w:id="109" w:name="_Toc32504"/>
      <w:bookmarkStart w:id="110" w:name="_Toc279701241"/>
      <w:bookmarkStart w:id="111" w:name="_Toc27635"/>
      <w:bookmarkStart w:id="112" w:name="_Toc259093670"/>
      <w:r>
        <w:rPr>
          <w:rFonts w:hint="eastAsia" w:ascii="宋体" w:hAnsi="宋体" w:eastAsia="宋体" w:cs="宋体"/>
          <w:b/>
          <w:color w:val="auto"/>
          <w:sz w:val="24"/>
          <w:highlight w:val="none"/>
        </w:rPr>
        <w:t>2.2 技术规范</w:t>
      </w:r>
      <w:bookmarkEnd w:id="107"/>
      <w:bookmarkEnd w:id="108"/>
      <w:bookmarkEnd w:id="109"/>
      <w:bookmarkEnd w:id="110"/>
      <w:bookmarkEnd w:id="111"/>
      <w:bookmarkEnd w:id="112"/>
    </w:p>
    <w:p w14:paraId="589EA6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45CB21D">
      <w:pPr>
        <w:spacing w:line="360" w:lineRule="auto"/>
        <w:ind w:firstLine="482" w:firstLineChars="200"/>
        <w:rPr>
          <w:rFonts w:hint="eastAsia" w:ascii="宋体" w:hAnsi="宋体" w:eastAsia="宋体" w:cs="宋体"/>
          <w:b/>
          <w:color w:val="auto"/>
          <w:sz w:val="24"/>
          <w:highlight w:val="none"/>
        </w:rPr>
      </w:pPr>
      <w:bookmarkStart w:id="113" w:name="_Toc279701242"/>
      <w:bookmarkStart w:id="114" w:name="_Toc31634"/>
      <w:bookmarkStart w:id="115" w:name="_Toc259093671"/>
      <w:bookmarkStart w:id="116" w:name="_Toc487900351"/>
      <w:bookmarkStart w:id="117" w:name="_Toc9829"/>
      <w:bookmarkStart w:id="118" w:name="_Toc27853"/>
      <w:r>
        <w:rPr>
          <w:rFonts w:hint="eastAsia" w:ascii="宋体" w:hAnsi="宋体" w:eastAsia="宋体" w:cs="宋体"/>
          <w:b/>
          <w:color w:val="auto"/>
          <w:sz w:val="24"/>
          <w:highlight w:val="none"/>
        </w:rPr>
        <w:t>2.3 知识产权</w:t>
      </w:r>
      <w:bookmarkEnd w:id="113"/>
      <w:bookmarkEnd w:id="114"/>
      <w:bookmarkEnd w:id="115"/>
      <w:bookmarkEnd w:id="116"/>
      <w:bookmarkEnd w:id="117"/>
      <w:bookmarkEnd w:id="118"/>
    </w:p>
    <w:p w14:paraId="72EDF2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089ED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8C42B66">
      <w:pPr>
        <w:spacing w:line="360" w:lineRule="auto"/>
        <w:ind w:firstLine="482" w:firstLineChars="200"/>
        <w:rPr>
          <w:rFonts w:hint="eastAsia" w:ascii="宋体" w:hAnsi="宋体" w:eastAsia="宋体" w:cs="宋体"/>
          <w:b/>
          <w:color w:val="auto"/>
          <w:sz w:val="24"/>
          <w:highlight w:val="none"/>
        </w:rPr>
      </w:pPr>
      <w:bookmarkStart w:id="119" w:name="_Toc29149"/>
      <w:bookmarkStart w:id="120" w:name="_Toc11932"/>
      <w:bookmarkStart w:id="121" w:name="_Toc4194"/>
      <w:r>
        <w:rPr>
          <w:rFonts w:hint="eastAsia" w:ascii="宋体" w:hAnsi="宋体" w:eastAsia="宋体" w:cs="宋体"/>
          <w:b/>
          <w:color w:val="auto"/>
          <w:sz w:val="24"/>
          <w:highlight w:val="none"/>
        </w:rPr>
        <w:t>2.4 包装和装运</w:t>
      </w:r>
      <w:bookmarkEnd w:id="119"/>
      <w:bookmarkEnd w:id="120"/>
      <w:bookmarkEnd w:id="121"/>
    </w:p>
    <w:p w14:paraId="3DA50F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026B9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272FA52">
      <w:pPr>
        <w:spacing w:line="360" w:lineRule="auto"/>
        <w:ind w:firstLine="482" w:firstLineChars="200"/>
        <w:rPr>
          <w:rFonts w:hint="eastAsia" w:ascii="宋体" w:hAnsi="宋体" w:eastAsia="宋体" w:cs="宋体"/>
          <w:b/>
          <w:color w:val="auto"/>
          <w:sz w:val="24"/>
          <w:highlight w:val="none"/>
        </w:rPr>
      </w:pPr>
      <w:bookmarkStart w:id="122" w:name="_Ref467379527"/>
      <w:bookmarkStart w:id="123" w:name="_Ref467379542"/>
      <w:bookmarkStart w:id="124" w:name="_Toc259093674"/>
      <w:bookmarkStart w:id="125" w:name="_Ref467378591"/>
      <w:bookmarkStart w:id="126" w:name="_Ref467378541"/>
      <w:bookmarkStart w:id="127" w:name="_Toc279701245"/>
      <w:bookmarkStart w:id="128" w:name="_Toc487900354"/>
      <w:bookmarkStart w:id="129" w:name="_Ref467379536"/>
      <w:bookmarkStart w:id="130" w:name="_Toc30272"/>
      <w:bookmarkStart w:id="131" w:name="_Toc19074"/>
      <w:bookmarkStart w:id="132" w:name="_Toc26182"/>
      <w:r>
        <w:rPr>
          <w:rFonts w:hint="eastAsia" w:ascii="宋体" w:hAnsi="宋体" w:eastAsia="宋体" w:cs="宋体"/>
          <w:b/>
          <w:color w:val="auto"/>
          <w:sz w:val="24"/>
          <w:highlight w:val="none"/>
        </w:rPr>
        <w:t>2.</w:t>
      </w:r>
      <w:bookmarkEnd w:id="122"/>
      <w:bookmarkEnd w:id="123"/>
      <w:bookmarkEnd w:id="124"/>
      <w:bookmarkEnd w:id="125"/>
      <w:bookmarkEnd w:id="126"/>
      <w:bookmarkEnd w:id="127"/>
      <w:bookmarkEnd w:id="128"/>
      <w:bookmarkEnd w:id="129"/>
      <w:r>
        <w:rPr>
          <w:rFonts w:hint="eastAsia" w:ascii="宋体" w:hAnsi="宋体" w:eastAsia="宋体" w:cs="宋体"/>
          <w:b/>
          <w:color w:val="auto"/>
          <w:sz w:val="24"/>
          <w:highlight w:val="none"/>
        </w:rPr>
        <w:t>5 履约检查和问题反馈</w:t>
      </w:r>
      <w:bookmarkEnd w:id="130"/>
      <w:bookmarkEnd w:id="131"/>
      <w:bookmarkEnd w:id="132"/>
    </w:p>
    <w:p w14:paraId="6E1D4089">
      <w:pPr>
        <w:spacing w:line="360" w:lineRule="auto"/>
        <w:ind w:firstLine="480" w:firstLineChars="200"/>
        <w:rPr>
          <w:rFonts w:hint="eastAsia" w:ascii="宋体" w:hAnsi="宋体" w:eastAsia="宋体" w:cs="宋体"/>
          <w:color w:val="auto"/>
          <w:sz w:val="24"/>
          <w:highlight w:val="none"/>
        </w:rPr>
      </w:pPr>
      <w:bookmarkStart w:id="133" w:name="_Ref467379657"/>
      <w:r>
        <w:rPr>
          <w:rFonts w:hint="eastAsia" w:ascii="宋体" w:hAnsi="宋体" w:eastAsia="宋体" w:cs="宋体"/>
          <w:color w:val="auto"/>
          <w:sz w:val="24"/>
          <w:highlight w:val="none"/>
        </w:rPr>
        <w:t>2.5.1</w:t>
      </w:r>
      <w:bookmarkEnd w:id="133"/>
      <w:bookmarkStart w:id="134" w:name="_Toc186431854"/>
      <w:bookmarkStart w:id="135" w:name="_Ref467379807"/>
      <w:bookmarkStart w:id="136" w:name="_Toc259093676"/>
      <w:bookmarkStart w:id="137" w:name="_Toc279701247"/>
      <w:bookmarkStart w:id="138" w:name="_Ref467379793"/>
      <w:bookmarkStart w:id="139" w:name="_Toc48790035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F1314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34"/>
      <w:bookmarkStart w:id="140" w:name="_Toc186431855"/>
      <w:r>
        <w:rPr>
          <w:rFonts w:hint="eastAsia" w:ascii="宋体" w:hAnsi="宋体" w:eastAsia="宋体" w:cs="宋体"/>
          <w:color w:val="auto"/>
          <w:sz w:val="24"/>
          <w:highlight w:val="none"/>
        </w:rPr>
        <w:t>。</w:t>
      </w:r>
      <w:bookmarkEnd w:id="140"/>
    </w:p>
    <w:p w14:paraId="06511457">
      <w:pPr>
        <w:spacing w:line="360" w:lineRule="auto"/>
        <w:ind w:firstLine="482" w:firstLineChars="200"/>
        <w:rPr>
          <w:rFonts w:hint="eastAsia" w:ascii="宋体" w:hAnsi="宋体" w:eastAsia="宋体" w:cs="宋体"/>
          <w:b/>
          <w:color w:val="auto"/>
          <w:sz w:val="24"/>
          <w:highlight w:val="none"/>
        </w:rPr>
      </w:pPr>
      <w:bookmarkStart w:id="141" w:name="_Toc28451"/>
      <w:bookmarkStart w:id="142" w:name="_Toc7836"/>
      <w:bookmarkStart w:id="143" w:name="_Toc19219"/>
      <w:r>
        <w:rPr>
          <w:rFonts w:hint="eastAsia" w:ascii="宋体" w:hAnsi="宋体" w:eastAsia="宋体" w:cs="宋体"/>
          <w:b/>
          <w:color w:val="auto"/>
          <w:sz w:val="24"/>
          <w:highlight w:val="none"/>
        </w:rPr>
        <w:t>2.6 结算方式和付款条件</w:t>
      </w:r>
      <w:bookmarkEnd w:id="135"/>
      <w:bookmarkEnd w:id="136"/>
      <w:bookmarkEnd w:id="137"/>
      <w:bookmarkEnd w:id="138"/>
      <w:bookmarkEnd w:id="139"/>
      <w:bookmarkEnd w:id="141"/>
      <w:bookmarkEnd w:id="142"/>
      <w:bookmarkEnd w:id="143"/>
    </w:p>
    <w:p w14:paraId="02F8B0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18B991B">
      <w:pPr>
        <w:spacing w:line="360" w:lineRule="auto"/>
        <w:ind w:firstLine="482" w:firstLineChars="200"/>
        <w:rPr>
          <w:rFonts w:hint="eastAsia" w:ascii="宋体" w:hAnsi="宋体" w:eastAsia="宋体" w:cs="宋体"/>
          <w:b/>
          <w:color w:val="auto"/>
          <w:sz w:val="24"/>
          <w:highlight w:val="none"/>
        </w:rPr>
      </w:pPr>
      <w:bookmarkStart w:id="144" w:name="_Ref467379852"/>
      <w:bookmarkStart w:id="145" w:name="_Ref467379923"/>
      <w:bookmarkStart w:id="146" w:name="_Toc259093677"/>
      <w:bookmarkStart w:id="147" w:name="_Toc487900358"/>
      <w:bookmarkStart w:id="148" w:name="_Ref467379863"/>
      <w:bookmarkStart w:id="149" w:name="_Toc279701248"/>
      <w:bookmarkStart w:id="150" w:name="_Toc3225"/>
      <w:bookmarkStart w:id="151" w:name="_Toc774"/>
      <w:bookmarkStart w:id="152" w:name="_Toc16110"/>
      <w:r>
        <w:rPr>
          <w:rFonts w:hint="eastAsia" w:ascii="宋体" w:hAnsi="宋体" w:eastAsia="宋体" w:cs="宋体"/>
          <w:b/>
          <w:color w:val="auto"/>
          <w:sz w:val="24"/>
          <w:highlight w:val="none"/>
        </w:rPr>
        <w:t>2.7 技术资料</w:t>
      </w:r>
      <w:bookmarkEnd w:id="144"/>
      <w:bookmarkEnd w:id="145"/>
      <w:bookmarkEnd w:id="146"/>
      <w:bookmarkEnd w:id="147"/>
      <w:bookmarkEnd w:id="148"/>
      <w:bookmarkEnd w:id="149"/>
      <w:r>
        <w:rPr>
          <w:rFonts w:hint="eastAsia" w:ascii="宋体" w:hAnsi="宋体" w:eastAsia="宋体" w:cs="宋体"/>
          <w:b/>
          <w:color w:val="auto"/>
          <w:sz w:val="24"/>
          <w:highlight w:val="none"/>
        </w:rPr>
        <w:t>和保密义务</w:t>
      </w:r>
      <w:bookmarkEnd w:id="150"/>
      <w:bookmarkEnd w:id="151"/>
      <w:bookmarkEnd w:id="152"/>
    </w:p>
    <w:p w14:paraId="0F3565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4439AC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71A705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88C7684">
      <w:pPr>
        <w:spacing w:line="360" w:lineRule="auto"/>
        <w:ind w:firstLine="482" w:firstLineChars="200"/>
        <w:rPr>
          <w:rFonts w:hint="eastAsia" w:ascii="宋体" w:hAnsi="宋体" w:eastAsia="宋体" w:cs="宋体"/>
          <w:b/>
          <w:color w:val="auto"/>
          <w:sz w:val="24"/>
          <w:highlight w:val="none"/>
        </w:rPr>
      </w:pPr>
      <w:bookmarkStart w:id="153" w:name="_Toc7860"/>
      <w:r>
        <w:rPr>
          <w:rFonts w:hint="eastAsia" w:ascii="宋体" w:hAnsi="宋体" w:eastAsia="宋体" w:cs="宋体"/>
          <w:b/>
          <w:color w:val="auto"/>
          <w:sz w:val="24"/>
          <w:highlight w:val="none"/>
        </w:rPr>
        <w:t>2.8 质量保证</w:t>
      </w:r>
      <w:bookmarkEnd w:id="153"/>
    </w:p>
    <w:p w14:paraId="4FDD27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B105F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1348959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w:t>
      </w:r>
    </w:p>
    <w:p w14:paraId="7088D4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w:t>
      </w:r>
    </w:p>
    <w:p w14:paraId="4274714B">
      <w:pPr>
        <w:spacing w:line="360" w:lineRule="auto"/>
        <w:ind w:firstLine="482" w:firstLineChars="200"/>
        <w:rPr>
          <w:rFonts w:hint="eastAsia" w:ascii="宋体" w:hAnsi="宋体" w:eastAsia="宋体" w:cs="宋体"/>
          <w:b/>
          <w:color w:val="auto"/>
          <w:sz w:val="24"/>
          <w:highlight w:val="none"/>
        </w:rPr>
      </w:pPr>
      <w:bookmarkStart w:id="154" w:name="_Toc17244"/>
      <w:bookmarkStart w:id="155" w:name="_Toc487900362"/>
      <w:bookmarkStart w:id="156" w:name="_Toc259093681"/>
      <w:bookmarkStart w:id="157" w:name="_Toc279701252"/>
      <w:r>
        <w:rPr>
          <w:rFonts w:hint="eastAsia" w:ascii="宋体" w:hAnsi="宋体" w:eastAsia="宋体" w:cs="宋体"/>
          <w:b/>
          <w:color w:val="auto"/>
          <w:sz w:val="24"/>
          <w:highlight w:val="none"/>
        </w:rPr>
        <w:t>2.9 标的物的风险负担</w:t>
      </w:r>
      <w:bookmarkEnd w:id="154"/>
    </w:p>
    <w:p w14:paraId="7A0F3E6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98AE163">
      <w:pPr>
        <w:spacing w:line="360" w:lineRule="auto"/>
        <w:ind w:firstLine="482" w:firstLineChars="200"/>
        <w:rPr>
          <w:rFonts w:hint="eastAsia" w:ascii="宋体" w:hAnsi="宋体" w:eastAsia="宋体" w:cs="宋体"/>
          <w:b/>
          <w:color w:val="auto"/>
          <w:sz w:val="24"/>
          <w:highlight w:val="none"/>
        </w:rPr>
      </w:pPr>
      <w:bookmarkStart w:id="158" w:name="_Toc14055"/>
      <w:r>
        <w:rPr>
          <w:rFonts w:hint="eastAsia" w:ascii="宋体" w:hAnsi="宋体" w:eastAsia="宋体" w:cs="宋体"/>
          <w:b/>
          <w:color w:val="auto"/>
          <w:sz w:val="24"/>
          <w:highlight w:val="none"/>
        </w:rPr>
        <w:t>2.10 延迟交货</w:t>
      </w:r>
      <w:bookmarkEnd w:id="155"/>
      <w:bookmarkEnd w:id="156"/>
      <w:bookmarkEnd w:id="157"/>
      <w:bookmarkEnd w:id="158"/>
      <w:r>
        <w:rPr>
          <w:rFonts w:hint="eastAsia" w:ascii="宋体" w:hAnsi="宋体" w:eastAsia="宋体" w:cs="宋体"/>
          <w:b/>
          <w:color w:val="auto"/>
          <w:sz w:val="24"/>
          <w:highlight w:val="none"/>
        </w:rPr>
        <w:t>/交付</w:t>
      </w:r>
    </w:p>
    <w:p w14:paraId="6071F4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74AB61C">
      <w:pPr>
        <w:spacing w:line="360" w:lineRule="auto"/>
        <w:ind w:firstLine="482" w:firstLineChars="200"/>
        <w:rPr>
          <w:rFonts w:hint="eastAsia" w:ascii="宋体" w:hAnsi="宋体" w:eastAsia="宋体" w:cs="宋体"/>
          <w:b/>
          <w:color w:val="auto"/>
          <w:sz w:val="24"/>
          <w:highlight w:val="none"/>
        </w:rPr>
      </w:pPr>
      <w:bookmarkStart w:id="159" w:name="_Toc7502"/>
      <w:bookmarkStart w:id="160" w:name="_Toc259093683"/>
      <w:bookmarkStart w:id="161" w:name="_Toc487900364"/>
      <w:bookmarkStart w:id="162" w:name="_Toc279701254"/>
      <w:bookmarkStart w:id="163" w:name="_Ref467378121"/>
      <w:r>
        <w:rPr>
          <w:rFonts w:hint="eastAsia" w:ascii="宋体" w:hAnsi="宋体" w:eastAsia="宋体" w:cs="宋体"/>
          <w:b/>
          <w:color w:val="auto"/>
          <w:sz w:val="24"/>
          <w:highlight w:val="none"/>
        </w:rPr>
        <w:t>2.11 合同变更</w:t>
      </w:r>
      <w:bookmarkEnd w:id="159"/>
    </w:p>
    <w:p w14:paraId="006A0E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6FD9D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64" w:name="_Toc487900369"/>
      <w:bookmarkStart w:id="165" w:name="_Toc259093688"/>
      <w:bookmarkStart w:id="166" w:name="_Toc279701259"/>
    </w:p>
    <w:p w14:paraId="0845F9E5">
      <w:pPr>
        <w:spacing w:line="360" w:lineRule="auto"/>
        <w:ind w:firstLine="482" w:firstLineChars="200"/>
        <w:rPr>
          <w:rFonts w:hint="eastAsia" w:ascii="宋体" w:hAnsi="宋体" w:eastAsia="宋体" w:cs="宋体"/>
          <w:b/>
          <w:color w:val="auto"/>
          <w:sz w:val="24"/>
          <w:highlight w:val="none"/>
        </w:rPr>
      </w:pPr>
      <w:bookmarkStart w:id="167" w:name="_Toc10366"/>
      <w:bookmarkStart w:id="168" w:name="_Toc22955"/>
      <w:bookmarkStart w:id="169" w:name="_Toc15237"/>
      <w:r>
        <w:rPr>
          <w:rFonts w:hint="eastAsia" w:ascii="宋体" w:hAnsi="宋体" w:eastAsia="宋体" w:cs="宋体"/>
          <w:b/>
          <w:color w:val="auto"/>
          <w:sz w:val="24"/>
          <w:highlight w:val="none"/>
        </w:rPr>
        <w:t>2.12 合同转让</w:t>
      </w:r>
      <w:bookmarkEnd w:id="164"/>
      <w:bookmarkEnd w:id="165"/>
      <w:bookmarkEnd w:id="166"/>
      <w:r>
        <w:rPr>
          <w:rFonts w:hint="eastAsia" w:ascii="宋体" w:hAnsi="宋体" w:eastAsia="宋体" w:cs="宋体"/>
          <w:b/>
          <w:color w:val="auto"/>
          <w:sz w:val="24"/>
          <w:highlight w:val="none"/>
        </w:rPr>
        <w:t>和分包</w:t>
      </w:r>
      <w:bookmarkEnd w:id="167"/>
      <w:bookmarkEnd w:id="168"/>
      <w:bookmarkEnd w:id="169"/>
    </w:p>
    <w:p w14:paraId="2B0B91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B2325C7">
      <w:pPr>
        <w:spacing w:line="360" w:lineRule="auto"/>
        <w:ind w:firstLine="482" w:firstLineChars="200"/>
        <w:rPr>
          <w:rFonts w:hint="eastAsia" w:ascii="宋体" w:hAnsi="宋体" w:eastAsia="宋体" w:cs="宋体"/>
          <w:b/>
          <w:color w:val="auto"/>
          <w:sz w:val="24"/>
          <w:highlight w:val="none"/>
        </w:rPr>
      </w:pPr>
      <w:bookmarkStart w:id="170" w:name="_Toc13566"/>
      <w:bookmarkStart w:id="171" w:name="_Toc14066"/>
      <w:bookmarkStart w:id="172" w:name="_Toc16508"/>
      <w:r>
        <w:rPr>
          <w:rFonts w:hint="eastAsia" w:ascii="宋体" w:hAnsi="宋体" w:eastAsia="宋体" w:cs="宋体"/>
          <w:b/>
          <w:color w:val="auto"/>
          <w:sz w:val="24"/>
          <w:highlight w:val="none"/>
        </w:rPr>
        <w:t>2.13 不可抗力</w:t>
      </w:r>
      <w:bookmarkEnd w:id="170"/>
      <w:bookmarkEnd w:id="171"/>
      <w:bookmarkEnd w:id="172"/>
    </w:p>
    <w:p w14:paraId="446E08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76BF32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715341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02136A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4DFBA70C">
      <w:pPr>
        <w:spacing w:line="360" w:lineRule="auto"/>
        <w:ind w:firstLine="482" w:firstLineChars="200"/>
        <w:rPr>
          <w:rFonts w:hint="eastAsia" w:ascii="宋体" w:hAnsi="宋体" w:eastAsia="宋体" w:cs="宋体"/>
          <w:b/>
          <w:color w:val="auto"/>
          <w:sz w:val="24"/>
          <w:highlight w:val="none"/>
        </w:rPr>
      </w:pPr>
      <w:bookmarkStart w:id="173" w:name="_Toc487900365"/>
      <w:bookmarkStart w:id="174" w:name="_Toc6969"/>
      <w:bookmarkStart w:id="175" w:name="_Toc689"/>
      <w:bookmarkStart w:id="176" w:name="_Toc279701255"/>
      <w:bookmarkStart w:id="177" w:name="_Toc259093684"/>
      <w:bookmarkStart w:id="178" w:name="_Toc30676"/>
      <w:r>
        <w:rPr>
          <w:rFonts w:hint="eastAsia" w:ascii="宋体" w:hAnsi="宋体" w:eastAsia="宋体" w:cs="宋体"/>
          <w:b/>
          <w:color w:val="auto"/>
          <w:sz w:val="24"/>
          <w:highlight w:val="none"/>
        </w:rPr>
        <w:t>2.14 税费</w:t>
      </w:r>
      <w:bookmarkEnd w:id="173"/>
      <w:bookmarkEnd w:id="174"/>
      <w:bookmarkEnd w:id="175"/>
      <w:bookmarkEnd w:id="176"/>
      <w:bookmarkEnd w:id="177"/>
      <w:bookmarkEnd w:id="178"/>
    </w:p>
    <w:p w14:paraId="5952E8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1F6EFF6B">
      <w:pPr>
        <w:spacing w:line="360" w:lineRule="auto"/>
        <w:ind w:firstLine="482" w:firstLineChars="200"/>
        <w:rPr>
          <w:rFonts w:hint="eastAsia" w:ascii="宋体" w:hAnsi="宋体" w:eastAsia="宋体" w:cs="宋体"/>
          <w:b/>
          <w:color w:val="auto"/>
          <w:sz w:val="24"/>
          <w:highlight w:val="none"/>
        </w:rPr>
      </w:pPr>
      <w:bookmarkStart w:id="179" w:name="_Toc16959"/>
      <w:bookmarkStart w:id="180" w:name="_Toc279701258"/>
      <w:bookmarkStart w:id="181" w:name="_Toc259093687"/>
      <w:bookmarkStart w:id="182" w:name="_Toc487900368"/>
      <w:bookmarkStart w:id="183" w:name="_Toc7102"/>
      <w:bookmarkStart w:id="184" w:name="_Toc8298"/>
      <w:r>
        <w:rPr>
          <w:rFonts w:hint="eastAsia" w:ascii="宋体" w:hAnsi="宋体" w:eastAsia="宋体" w:cs="宋体"/>
          <w:b/>
          <w:color w:val="auto"/>
          <w:sz w:val="24"/>
          <w:highlight w:val="none"/>
        </w:rPr>
        <w:t>2.15 乙方破产</w:t>
      </w:r>
      <w:bookmarkEnd w:id="179"/>
      <w:bookmarkEnd w:id="180"/>
      <w:bookmarkEnd w:id="181"/>
      <w:bookmarkEnd w:id="182"/>
      <w:bookmarkEnd w:id="183"/>
      <w:bookmarkEnd w:id="184"/>
    </w:p>
    <w:p w14:paraId="754A0B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041E1D1">
      <w:pPr>
        <w:spacing w:line="360" w:lineRule="auto"/>
        <w:ind w:firstLine="482" w:firstLineChars="200"/>
        <w:rPr>
          <w:rFonts w:hint="eastAsia" w:ascii="宋体" w:hAnsi="宋体" w:eastAsia="宋体" w:cs="宋体"/>
          <w:b/>
          <w:color w:val="auto"/>
          <w:sz w:val="24"/>
          <w:highlight w:val="none"/>
        </w:rPr>
      </w:pPr>
      <w:bookmarkStart w:id="185" w:name="_Toc6134"/>
      <w:bookmarkStart w:id="186" w:name="_Toc29333"/>
      <w:bookmarkStart w:id="187" w:name="_Toc15387"/>
      <w:r>
        <w:rPr>
          <w:rFonts w:hint="eastAsia" w:ascii="宋体" w:hAnsi="宋体" w:eastAsia="宋体" w:cs="宋体"/>
          <w:b/>
          <w:color w:val="auto"/>
          <w:sz w:val="24"/>
          <w:highlight w:val="none"/>
        </w:rPr>
        <w:t>2.16 合同中止、终止</w:t>
      </w:r>
      <w:bookmarkEnd w:id="185"/>
      <w:bookmarkEnd w:id="186"/>
      <w:bookmarkEnd w:id="187"/>
    </w:p>
    <w:p w14:paraId="5D90E9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8E8D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4AE1BC95">
      <w:pPr>
        <w:spacing w:line="360" w:lineRule="auto"/>
        <w:ind w:firstLine="482" w:firstLineChars="200"/>
        <w:rPr>
          <w:rFonts w:hint="eastAsia" w:ascii="宋体" w:hAnsi="宋体" w:eastAsia="宋体" w:cs="宋体"/>
          <w:b/>
          <w:color w:val="auto"/>
          <w:sz w:val="24"/>
          <w:highlight w:val="none"/>
        </w:rPr>
      </w:pPr>
      <w:bookmarkStart w:id="188" w:name="_Toc1125"/>
      <w:bookmarkStart w:id="189" w:name="_Toc6596"/>
      <w:bookmarkStart w:id="190" w:name="_Toc14563"/>
      <w:r>
        <w:rPr>
          <w:rFonts w:hint="eastAsia" w:ascii="宋体" w:hAnsi="宋体" w:eastAsia="宋体" w:cs="宋体"/>
          <w:b/>
          <w:color w:val="auto"/>
          <w:sz w:val="24"/>
          <w:highlight w:val="none"/>
        </w:rPr>
        <w:t>2.17 检验和验收</w:t>
      </w:r>
      <w:bookmarkEnd w:id="188"/>
      <w:bookmarkEnd w:id="189"/>
      <w:bookmarkEnd w:id="190"/>
    </w:p>
    <w:p w14:paraId="6BC6C1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729478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799F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bookmarkEnd w:id="160"/>
      <w:bookmarkEnd w:id="161"/>
      <w:bookmarkEnd w:id="162"/>
      <w:bookmarkEnd w:id="163"/>
    </w:p>
    <w:p w14:paraId="253AA204">
      <w:pPr>
        <w:spacing w:line="360" w:lineRule="auto"/>
        <w:ind w:firstLine="482" w:firstLineChars="200"/>
        <w:rPr>
          <w:rFonts w:hint="eastAsia" w:ascii="宋体" w:hAnsi="宋体" w:eastAsia="宋体" w:cs="宋体"/>
          <w:b/>
          <w:color w:val="auto"/>
          <w:sz w:val="24"/>
          <w:highlight w:val="none"/>
        </w:rPr>
      </w:pPr>
      <w:bookmarkStart w:id="191" w:name="_Toc259093690"/>
      <w:bookmarkStart w:id="192" w:name="_Toc279701261"/>
      <w:bookmarkStart w:id="193" w:name="_Toc487900371"/>
      <w:bookmarkStart w:id="194" w:name="_Toc11284"/>
      <w:bookmarkStart w:id="195" w:name="_Toc25182"/>
      <w:bookmarkStart w:id="196" w:name="_Toc19604"/>
      <w:r>
        <w:rPr>
          <w:rFonts w:hint="eastAsia" w:ascii="宋体" w:hAnsi="宋体" w:eastAsia="宋体" w:cs="宋体"/>
          <w:b/>
          <w:color w:val="auto"/>
          <w:sz w:val="24"/>
          <w:highlight w:val="none"/>
        </w:rPr>
        <w:t>2.18 通知</w:t>
      </w:r>
      <w:bookmarkEnd w:id="191"/>
      <w:bookmarkEnd w:id="192"/>
      <w:bookmarkEnd w:id="193"/>
      <w:r>
        <w:rPr>
          <w:rFonts w:hint="eastAsia" w:ascii="宋体" w:hAnsi="宋体" w:eastAsia="宋体" w:cs="宋体"/>
          <w:b/>
          <w:color w:val="auto"/>
          <w:sz w:val="24"/>
          <w:highlight w:val="none"/>
        </w:rPr>
        <w:t>和送达</w:t>
      </w:r>
      <w:bookmarkEnd w:id="194"/>
      <w:bookmarkEnd w:id="195"/>
      <w:bookmarkEnd w:id="196"/>
    </w:p>
    <w:p w14:paraId="0B767FD3">
      <w:pPr>
        <w:spacing w:line="360" w:lineRule="auto"/>
        <w:ind w:firstLine="480" w:firstLineChars="200"/>
        <w:rPr>
          <w:rFonts w:hint="eastAsia" w:ascii="宋体" w:hAnsi="宋体" w:eastAsia="宋体" w:cs="宋体"/>
          <w:color w:val="auto"/>
          <w:sz w:val="24"/>
          <w:highlight w:val="none"/>
        </w:rPr>
      </w:pPr>
      <w:bookmarkStart w:id="197" w:name="_Toc3135"/>
      <w:bookmarkStart w:id="198" w:name="_Toc6698"/>
      <w:bookmarkStart w:id="199" w:name="_Toc487900372"/>
      <w:bookmarkStart w:id="200" w:name="_Toc279701262"/>
      <w:bookmarkStart w:id="201"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197"/>
      <w:bookmarkEnd w:id="198"/>
    </w:p>
    <w:p w14:paraId="56492C71">
      <w:pPr>
        <w:spacing w:line="360" w:lineRule="auto"/>
        <w:ind w:firstLine="480" w:firstLineChars="200"/>
        <w:rPr>
          <w:rFonts w:hint="eastAsia" w:ascii="宋体" w:hAnsi="宋体" w:eastAsia="宋体" w:cs="宋体"/>
          <w:color w:val="auto"/>
          <w:sz w:val="24"/>
          <w:highlight w:val="none"/>
        </w:rPr>
      </w:pPr>
      <w:bookmarkStart w:id="202" w:name="_Toc23128"/>
      <w:bookmarkStart w:id="203"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2"/>
      <w:bookmarkEnd w:id="203"/>
    </w:p>
    <w:p w14:paraId="03B1B066">
      <w:pPr>
        <w:spacing w:line="360" w:lineRule="auto"/>
        <w:ind w:firstLine="482" w:firstLineChars="200"/>
        <w:rPr>
          <w:rFonts w:hint="eastAsia" w:ascii="宋体" w:hAnsi="宋体" w:eastAsia="宋体" w:cs="宋体"/>
          <w:b/>
          <w:color w:val="auto"/>
          <w:sz w:val="24"/>
          <w:highlight w:val="none"/>
        </w:rPr>
      </w:pPr>
      <w:bookmarkStart w:id="204" w:name="_Toc4355"/>
      <w:bookmarkStart w:id="205" w:name="_Toc30599"/>
      <w:bookmarkStart w:id="206" w:name="_Toc18540"/>
      <w:r>
        <w:rPr>
          <w:rFonts w:hint="eastAsia" w:ascii="宋体" w:hAnsi="宋体" w:eastAsia="宋体" w:cs="宋体"/>
          <w:b/>
          <w:color w:val="auto"/>
          <w:sz w:val="24"/>
          <w:highlight w:val="none"/>
        </w:rPr>
        <w:t>2.19 计量单位</w:t>
      </w:r>
      <w:bookmarkEnd w:id="199"/>
      <w:bookmarkEnd w:id="200"/>
      <w:bookmarkEnd w:id="201"/>
      <w:bookmarkEnd w:id="204"/>
      <w:bookmarkEnd w:id="205"/>
      <w:bookmarkEnd w:id="206"/>
    </w:p>
    <w:p w14:paraId="289B33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593C2E00">
      <w:pPr>
        <w:spacing w:line="360" w:lineRule="auto"/>
        <w:ind w:firstLine="482" w:firstLineChars="200"/>
        <w:rPr>
          <w:rFonts w:hint="eastAsia" w:ascii="宋体" w:hAnsi="宋体" w:eastAsia="宋体" w:cs="宋体"/>
          <w:b/>
          <w:color w:val="auto"/>
          <w:sz w:val="24"/>
          <w:highlight w:val="none"/>
        </w:rPr>
      </w:pPr>
      <w:bookmarkStart w:id="207" w:name="_Toc18567"/>
      <w:bookmarkStart w:id="208" w:name="_Toc10330"/>
      <w:bookmarkStart w:id="209" w:name="_Toc279701263"/>
      <w:bookmarkStart w:id="210" w:name="_Toc487900373"/>
      <w:bookmarkStart w:id="211" w:name="_Toc12773"/>
      <w:bookmarkStart w:id="212" w:name="_Toc259093692"/>
      <w:r>
        <w:rPr>
          <w:rFonts w:hint="eastAsia" w:ascii="宋体" w:hAnsi="宋体" w:eastAsia="宋体" w:cs="宋体"/>
          <w:b/>
          <w:color w:val="auto"/>
          <w:sz w:val="24"/>
          <w:highlight w:val="none"/>
        </w:rPr>
        <w:t>2.20 合同使用的文字和适用的法律</w:t>
      </w:r>
      <w:bookmarkEnd w:id="207"/>
      <w:bookmarkEnd w:id="208"/>
      <w:bookmarkEnd w:id="209"/>
      <w:bookmarkEnd w:id="210"/>
      <w:bookmarkEnd w:id="211"/>
      <w:bookmarkEnd w:id="212"/>
    </w:p>
    <w:p w14:paraId="1D2975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5F464B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63B0A2AD">
      <w:pPr>
        <w:spacing w:line="360" w:lineRule="auto"/>
        <w:ind w:firstLine="482" w:firstLineChars="200"/>
        <w:rPr>
          <w:rFonts w:hint="eastAsia" w:ascii="宋体" w:hAnsi="宋体" w:eastAsia="宋体" w:cs="宋体"/>
          <w:b/>
          <w:color w:val="auto"/>
          <w:sz w:val="24"/>
          <w:highlight w:val="none"/>
        </w:rPr>
      </w:pPr>
      <w:bookmarkStart w:id="213" w:name="_Toc259093693"/>
      <w:bookmarkStart w:id="214" w:name="_Toc12004"/>
      <w:bookmarkStart w:id="215" w:name="_Toc279701264"/>
      <w:bookmarkStart w:id="216" w:name="_Toc16673"/>
      <w:bookmarkStart w:id="217" w:name="_Toc3148"/>
      <w:bookmarkStart w:id="218" w:name="_Toc487900374"/>
      <w:r>
        <w:rPr>
          <w:rFonts w:hint="eastAsia" w:ascii="宋体" w:hAnsi="宋体" w:eastAsia="宋体" w:cs="宋体"/>
          <w:b/>
          <w:color w:val="auto"/>
          <w:sz w:val="24"/>
          <w:highlight w:val="none"/>
        </w:rPr>
        <w:t>2.21 履约保证金</w:t>
      </w:r>
      <w:bookmarkEnd w:id="213"/>
      <w:bookmarkEnd w:id="214"/>
      <w:bookmarkEnd w:id="215"/>
      <w:bookmarkEnd w:id="216"/>
      <w:bookmarkEnd w:id="217"/>
    </w:p>
    <w:p w14:paraId="5D177012">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2AF485DD">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4DD72422">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2.22.1本合同（否）为可融资合同，关于中小企业信用融资事项见采购文件“供应商须知正文”。</w:t>
      </w:r>
    </w:p>
    <w:p w14:paraId="2C73959B">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2.22.2本合同（否）为中小企业预留合同。</w:t>
      </w:r>
      <w:bookmarkEnd w:id="218"/>
    </w:p>
    <w:p w14:paraId="2DBB254A">
      <w:pPr>
        <w:spacing w:line="360" w:lineRule="auto"/>
        <w:ind w:firstLine="482" w:firstLineChars="200"/>
        <w:rPr>
          <w:rFonts w:hint="eastAsia" w:ascii="宋体" w:hAnsi="宋体" w:eastAsia="宋体" w:cs="宋体"/>
          <w:b/>
          <w:color w:val="auto"/>
          <w:sz w:val="24"/>
          <w:highlight w:val="none"/>
        </w:rPr>
      </w:pPr>
      <w:bookmarkStart w:id="219" w:name="_Toc6885"/>
      <w:bookmarkStart w:id="220" w:name="_Toc14001"/>
      <w:bookmarkStart w:id="221" w:name="_Toc19890"/>
      <w:r>
        <w:rPr>
          <w:rFonts w:hint="eastAsia" w:ascii="宋体" w:hAnsi="宋体" w:eastAsia="宋体" w:cs="宋体"/>
          <w:b/>
          <w:color w:val="auto"/>
          <w:sz w:val="24"/>
          <w:highlight w:val="none"/>
        </w:rPr>
        <w:t>2.23 合同份数</w:t>
      </w:r>
      <w:bookmarkEnd w:id="219"/>
      <w:bookmarkEnd w:id="220"/>
      <w:bookmarkEnd w:id="221"/>
    </w:p>
    <w:p w14:paraId="48B68C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份。每份均具有同等法律效力。</w:t>
      </w:r>
    </w:p>
    <w:p w14:paraId="4C051960">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sz w:val="24"/>
          <w:szCs w:val="21"/>
          <w:highlight w:val="none"/>
        </w:rPr>
        <w:br w:type="page"/>
      </w:r>
      <w:bookmarkStart w:id="222" w:name="_Toc331685784"/>
      <w:bookmarkStart w:id="223" w:name="_Toc80205946"/>
      <w:bookmarkStart w:id="224" w:name="_Toc80886950"/>
      <w:r>
        <w:rPr>
          <w:rFonts w:hint="eastAsia" w:ascii="宋体" w:hAnsi="宋体" w:eastAsia="宋体" w:cs="宋体"/>
          <w:b/>
          <w:color w:val="auto"/>
          <w:sz w:val="28"/>
          <w:szCs w:val="28"/>
          <w:highlight w:val="none"/>
        </w:rPr>
        <w:t>第三部分  合同专用条款</w:t>
      </w:r>
      <w:bookmarkEnd w:id="222"/>
      <w:bookmarkEnd w:id="223"/>
      <w:bookmarkEnd w:id="224"/>
    </w:p>
    <w:p w14:paraId="19FD69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96780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53CC2E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546AC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620D8E6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12837C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1727D14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6AF9DA25">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2EAD250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10F17AA5">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4F884D4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sym w:font="Wingdings 2" w:char="F052"/>
      </w: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4402F35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承担违约责任，违约金上限按照《合同书》约定执行。</w:t>
      </w:r>
    </w:p>
    <w:p w14:paraId="04E79A7E">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0B3A08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230F38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日内以书面形式通知对方当事人，并在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日内，将有关部门出具的证明文件送达对方当事人。</w:t>
      </w:r>
    </w:p>
    <w:p w14:paraId="34757D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日内以书面形式变更合同；</w:t>
      </w:r>
    </w:p>
    <w:p w14:paraId="2DC82D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日内发起验收，并可依法邀请相关方参加，验收应出具验收书。</w:t>
      </w:r>
    </w:p>
    <w:p w14:paraId="371717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0DCD992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51E084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规定组织对乙方履约的验收。验收方成员应当在验收书上签字，并承担相应的法律责任。如果发现与合同中要求不符，乙方须承担由此发生的一切损失和费用，并接受相应的处理。</w:t>
      </w:r>
    </w:p>
    <w:p w14:paraId="663370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F85B9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06B2B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7DAAE1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303C95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0180793C">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3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99"/>
        <w:gridCol w:w="5930"/>
      </w:tblGrid>
      <w:tr w14:paraId="40D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1D6F3849">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599" w:type="dxa"/>
            <w:noWrap w:val="0"/>
            <w:vAlign w:val="center"/>
          </w:tcPr>
          <w:p w14:paraId="17ED25B2">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noWrap w:val="0"/>
            <w:vAlign w:val="center"/>
          </w:tcPr>
          <w:p w14:paraId="1F7778EA">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77E5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noWrap w:val="0"/>
            <w:vAlign w:val="center"/>
          </w:tcPr>
          <w:p w14:paraId="4F642A3D">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599" w:type="dxa"/>
            <w:noWrap w:val="0"/>
            <w:vAlign w:val="center"/>
          </w:tcPr>
          <w:p w14:paraId="2286707C">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服务数量</w:t>
            </w:r>
          </w:p>
        </w:tc>
        <w:tc>
          <w:tcPr>
            <w:tcW w:w="5930" w:type="dxa"/>
            <w:noWrap w:val="0"/>
            <w:vAlign w:val="center"/>
          </w:tcPr>
          <w:p w14:paraId="77788A11">
            <w:pPr>
              <w:widowControl/>
              <w:spacing w:line="360" w:lineRule="auto"/>
              <w:ind w:firstLine="200"/>
              <w:jc w:val="center"/>
              <w:rPr>
                <w:rFonts w:hint="eastAsia" w:ascii="宋体" w:hAnsi="宋体" w:eastAsia="宋体" w:cs="宋体"/>
                <w:color w:val="auto"/>
                <w:kern w:val="0"/>
                <w:sz w:val="24"/>
                <w:highlight w:val="none"/>
              </w:rPr>
            </w:pPr>
          </w:p>
        </w:tc>
      </w:tr>
      <w:tr w14:paraId="0861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2AB692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599" w:type="dxa"/>
            <w:noWrap w:val="0"/>
            <w:vAlign w:val="center"/>
          </w:tcPr>
          <w:p w14:paraId="5FADC6DB">
            <w:pPr>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服务内容</w:t>
            </w:r>
          </w:p>
        </w:tc>
        <w:tc>
          <w:tcPr>
            <w:tcW w:w="5930" w:type="dxa"/>
            <w:noWrap w:val="0"/>
            <w:vAlign w:val="center"/>
          </w:tcPr>
          <w:p w14:paraId="62E3F830">
            <w:pPr>
              <w:spacing w:line="360" w:lineRule="auto"/>
              <w:ind w:firstLine="200"/>
              <w:jc w:val="left"/>
              <w:rPr>
                <w:rFonts w:hint="eastAsia" w:ascii="宋体" w:hAnsi="宋体" w:eastAsia="宋体" w:cs="宋体"/>
                <w:color w:val="auto"/>
                <w:highlight w:val="none"/>
                <w:lang w:val="zh-CN"/>
              </w:rPr>
            </w:pPr>
          </w:p>
        </w:tc>
      </w:tr>
      <w:tr w14:paraId="78C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88" w:type="dxa"/>
            <w:noWrap w:val="0"/>
            <w:vAlign w:val="center"/>
          </w:tcPr>
          <w:p w14:paraId="4622FB72">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99" w:type="dxa"/>
            <w:noWrap w:val="0"/>
            <w:vAlign w:val="center"/>
          </w:tcPr>
          <w:p w14:paraId="20CF0DD2">
            <w:pPr>
              <w:spacing w:line="360" w:lineRule="auto"/>
              <w:ind w:firstLine="200"/>
              <w:jc w:val="both"/>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服务承诺</w:t>
            </w:r>
          </w:p>
        </w:tc>
        <w:tc>
          <w:tcPr>
            <w:tcW w:w="5930" w:type="dxa"/>
            <w:noWrap w:val="0"/>
            <w:vAlign w:val="center"/>
          </w:tcPr>
          <w:p w14:paraId="330A00B6">
            <w:pPr>
              <w:widowControl/>
              <w:spacing w:line="360" w:lineRule="auto"/>
              <w:ind w:firstLine="200"/>
              <w:jc w:val="center"/>
              <w:rPr>
                <w:rFonts w:hint="eastAsia" w:ascii="宋体" w:hAnsi="宋体" w:eastAsia="宋体" w:cs="宋体"/>
                <w:color w:val="auto"/>
                <w:kern w:val="0"/>
                <w:sz w:val="24"/>
                <w:highlight w:val="none"/>
              </w:rPr>
            </w:pPr>
          </w:p>
        </w:tc>
      </w:tr>
      <w:tr w14:paraId="28BD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88" w:type="dxa"/>
            <w:noWrap w:val="0"/>
            <w:vAlign w:val="center"/>
          </w:tcPr>
          <w:p w14:paraId="030D33E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599" w:type="dxa"/>
            <w:noWrap w:val="0"/>
            <w:vAlign w:val="center"/>
          </w:tcPr>
          <w:p w14:paraId="1EDF7885">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noWrap w:val="0"/>
            <w:vAlign w:val="center"/>
          </w:tcPr>
          <w:p w14:paraId="382C3C0A">
            <w:pPr>
              <w:widowControl/>
              <w:spacing w:line="360" w:lineRule="auto"/>
              <w:ind w:firstLine="200"/>
              <w:jc w:val="left"/>
              <w:rPr>
                <w:rFonts w:hint="eastAsia" w:ascii="宋体" w:hAnsi="宋体" w:eastAsia="宋体" w:cs="宋体"/>
                <w:color w:val="auto"/>
                <w:kern w:val="0"/>
                <w:sz w:val="24"/>
                <w:highlight w:val="none"/>
              </w:rPr>
            </w:pPr>
          </w:p>
        </w:tc>
      </w:tr>
    </w:tbl>
    <w:p w14:paraId="5BBEEF28">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2FF5C7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7EE31B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209CCD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481D0F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0DDFA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235797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（4）工作成果等；</w:t>
      </w:r>
    </w:p>
    <w:p w14:paraId="0230B7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14:paraId="65A5D59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3A5544E">
      <w:pPr>
        <w:tabs>
          <w:tab w:val="left" w:pos="7380"/>
        </w:tabs>
        <w:spacing w:line="360" w:lineRule="auto"/>
        <w:jc w:val="center"/>
        <w:rPr>
          <w:rFonts w:hint="eastAsia" w:ascii="宋体" w:hAnsi="宋体" w:eastAsia="宋体" w:cs="宋体"/>
          <w:b/>
          <w:color w:val="auto"/>
          <w:sz w:val="44"/>
          <w:szCs w:val="44"/>
          <w:highlight w:val="none"/>
        </w:rPr>
      </w:pPr>
    </w:p>
    <w:p w14:paraId="775408FF">
      <w:pPr>
        <w:tabs>
          <w:tab w:val="left" w:pos="3261"/>
        </w:tabs>
        <w:spacing w:line="360" w:lineRule="auto"/>
        <w:contextualSpacing/>
        <w:jc w:val="center"/>
        <w:rPr>
          <w:rFonts w:hint="eastAsia" w:ascii="宋体" w:hAnsi="宋体" w:eastAsia="宋体" w:cs="宋体"/>
          <w:b/>
          <w:color w:val="auto"/>
          <w:sz w:val="44"/>
          <w:szCs w:val="44"/>
          <w:highlight w:val="none"/>
        </w:rPr>
      </w:pPr>
    </w:p>
    <w:p w14:paraId="0B622F73">
      <w:pPr>
        <w:rPr>
          <w:rFonts w:hint="eastAsia" w:ascii="宋体" w:hAnsi="宋体" w:eastAsia="宋体" w:cs="宋体"/>
          <w:color w:val="auto"/>
          <w:sz w:val="24"/>
          <w:szCs w:val="24"/>
          <w:highlight w:val="none"/>
        </w:rPr>
      </w:pPr>
    </w:p>
    <w:p w14:paraId="5BF77939">
      <w:pPr>
        <w:tabs>
          <w:tab w:val="left" w:pos="3261"/>
        </w:tabs>
        <w:spacing w:line="360" w:lineRule="auto"/>
        <w:contextualSpacing/>
        <w:jc w:val="center"/>
        <w:rPr>
          <w:rFonts w:hint="eastAsia" w:ascii="宋体" w:hAnsi="宋体" w:eastAsia="宋体" w:cs="宋体"/>
          <w:b/>
          <w:color w:val="auto"/>
          <w:sz w:val="44"/>
          <w:szCs w:val="44"/>
          <w:highlight w:val="none"/>
        </w:rPr>
      </w:pPr>
    </w:p>
    <w:p w14:paraId="18C0D24A">
      <w:pPr>
        <w:spacing w:line="360" w:lineRule="auto"/>
        <w:jc w:val="center"/>
        <w:rPr>
          <w:rFonts w:hint="eastAsia" w:ascii="宋体" w:hAnsi="宋体" w:eastAsia="宋体" w:cs="宋体"/>
          <w:b/>
          <w:bCs/>
          <w:color w:val="auto"/>
          <w:sz w:val="44"/>
          <w:szCs w:val="44"/>
          <w:highlight w:val="none"/>
        </w:rPr>
        <w:sectPr>
          <w:pgSz w:w="11910" w:h="16840"/>
          <w:pgMar w:top="1440" w:right="1080" w:bottom="1440" w:left="1080" w:header="720" w:footer="720" w:gutter="0"/>
          <w:cols w:space="720" w:num="1"/>
        </w:sectPr>
      </w:pPr>
    </w:p>
    <w:p w14:paraId="1A9E6850">
      <w:pPr>
        <w:pStyle w:val="3"/>
        <w:numPr>
          <w:ilvl w:val="0"/>
          <w:numId w:val="1"/>
        </w:numPr>
        <w:spacing w:line="400" w:lineRule="exact"/>
        <w:jc w:val="center"/>
        <w:rPr>
          <w:rFonts w:hint="eastAsia" w:ascii="宋体" w:hAnsi="宋体" w:eastAsia="宋体" w:cs="宋体"/>
          <w:color w:val="auto"/>
          <w:sz w:val="44"/>
          <w:szCs w:val="44"/>
          <w:highlight w:val="none"/>
        </w:rPr>
      </w:pPr>
      <w:bookmarkStart w:id="225" w:name="_Toc80886951"/>
      <w:r>
        <w:rPr>
          <w:rFonts w:hint="eastAsia" w:ascii="宋体" w:hAnsi="宋体" w:eastAsia="宋体" w:cs="宋体"/>
          <w:color w:val="auto"/>
          <w:sz w:val="44"/>
          <w:szCs w:val="44"/>
          <w:highlight w:val="none"/>
        </w:rPr>
        <w:t>质疑、投诉材料格式</w:t>
      </w:r>
      <w:bookmarkEnd w:id="225"/>
    </w:p>
    <w:p w14:paraId="393A1F8A">
      <w:pPr>
        <w:widowControl w:val="0"/>
        <w:numPr>
          <w:ilvl w:val="0"/>
          <w:numId w:val="0"/>
        </w:numPr>
        <w:jc w:val="both"/>
        <w:rPr>
          <w:rFonts w:hint="eastAsia" w:ascii="宋体" w:hAnsi="宋体" w:eastAsia="宋体" w:cs="宋体"/>
          <w:color w:val="auto"/>
          <w:highlight w:val="none"/>
          <w:lang w:val="en-US"/>
        </w:rPr>
        <w:sectPr>
          <w:pgSz w:w="11910" w:h="16840"/>
          <w:pgMar w:top="1440" w:right="1080" w:bottom="1440" w:left="1080" w:header="720" w:footer="720" w:gutter="0"/>
          <w:cols w:space="720" w:num="1"/>
        </w:sectPr>
      </w:pPr>
    </w:p>
    <w:p w14:paraId="1C1FA6F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06A38F0E">
      <w:pPr>
        <w:pStyle w:val="2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D12BF57">
      <w:pPr>
        <w:pStyle w:val="2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1C1B8A8">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B322F3">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B303B57">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277DAA56">
      <w:pPr>
        <w:pStyle w:val="2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B16ECA6">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5C33B7">
      <w:pPr>
        <w:pStyle w:val="2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605EFE2E">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181C8EB">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4BFC159">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A0EEFFF">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C4898F8">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31D9866">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8BB5DDA">
      <w:pPr>
        <w:pStyle w:val="2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D9C20F4">
      <w:pPr>
        <w:pStyle w:val="2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FEF50D2">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6EA2CA8">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C4F11D2">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4D8489C">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51B3291">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4C0DE00">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0A32DC7">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34BA4D3E">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p>
    <w:p w14:paraId="32977A29">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535269">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p>
    <w:p w14:paraId="28D9BD6F">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56D89DE">
      <w:pPr>
        <w:pStyle w:val="21"/>
        <w:spacing w:line="360" w:lineRule="auto"/>
        <w:contextualSpacing/>
        <w:rPr>
          <w:rFonts w:hint="eastAsia" w:ascii="宋体" w:hAnsi="宋体" w:eastAsia="宋体" w:cs="宋体"/>
          <w:b/>
          <w:color w:val="auto"/>
          <w:sz w:val="24"/>
          <w:szCs w:val="24"/>
          <w:highlight w:val="none"/>
          <w:lang w:eastAsia="zh-CN"/>
        </w:rPr>
      </w:pPr>
    </w:p>
    <w:p w14:paraId="621B73AB">
      <w:pPr>
        <w:pStyle w:val="21"/>
        <w:spacing w:line="360" w:lineRule="auto"/>
        <w:contextualSpacing/>
        <w:rPr>
          <w:rFonts w:hint="eastAsia" w:ascii="宋体" w:hAnsi="宋体" w:eastAsia="宋体" w:cs="宋体"/>
          <w:b/>
          <w:color w:val="auto"/>
          <w:sz w:val="24"/>
          <w:szCs w:val="24"/>
          <w:highlight w:val="none"/>
          <w:lang w:eastAsia="zh-CN"/>
        </w:rPr>
      </w:pPr>
    </w:p>
    <w:p w14:paraId="1EA95399">
      <w:pPr>
        <w:pStyle w:val="2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87A993C">
      <w:pPr>
        <w:pStyle w:val="2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1F412B98">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CE115E">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380B55E">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A2BAAF6">
      <w:pPr>
        <w:pStyle w:val="2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E3211C1">
      <w:pPr>
        <w:pStyle w:val="21"/>
        <w:snapToGrid w:val="0"/>
        <w:rPr>
          <w:rFonts w:hint="eastAsia" w:ascii="宋体" w:hAnsi="宋体" w:eastAsia="宋体" w:cs="宋体"/>
          <w:b/>
          <w:color w:val="auto"/>
          <w:sz w:val="24"/>
          <w:szCs w:val="24"/>
          <w:highlight w:val="none"/>
        </w:rPr>
      </w:pPr>
    </w:p>
    <w:p w14:paraId="78466E3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53F837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4ABC5A0">
      <w:pPr>
        <w:pStyle w:val="2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564DE5A">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771283A">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111E94C">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6D268EBE">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BD596D0">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69D5962">
      <w:pPr>
        <w:pStyle w:val="2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42877B5">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FF64E9">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25720D8">
      <w:pPr>
        <w:pStyle w:val="2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DD1B08E">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E05D6C9">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EF50271">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B5700AB">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124AB02">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87F968C">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4629131">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25EA5C">
      <w:pPr>
        <w:pStyle w:val="2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E8762D6">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4E297D1">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5D266DD2">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B9D29FF">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629C1A">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2F11344">
      <w:pPr>
        <w:pStyle w:val="2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437F75F">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6857364">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62AD9065">
      <w:pPr>
        <w:pStyle w:val="2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9E61D58">
      <w:pPr>
        <w:pStyle w:val="2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2AA3AD6">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5B6409ED">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EE540D9">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2EACEA61">
      <w:pPr>
        <w:pStyle w:val="2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C94F73">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C1D9190">
      <w:pPr>
        <w:pStyle w:val="2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A16BCF3">
      <w:pPr>
        <w:pStyle w:val="2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7B11AC6">
      <w:pPr>
        <w:pStyle w:val="2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29E05C5D">
      <w:pPr>
        <w:pStyle w:val="2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0C0CB21">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79DD5F7">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592F604">
      <w:pPr>
        <w:pStyle w:val="21"/>
        <w:spacing w:line="360" w:lineRule="auto"/>
        <w:ind w:left="25" w:leftChars="12" w:firstLine="352" w:firstLineChars="147"/>
        <w:rPr>
          <w:rFonts w:hint="eastAsia" w:ascii="宋体" w:hAnsi="宋体" w:eastAsia="宋体" w:cs="宋体"/>
          <w:color w:val="auto"/>
          <w:sz w:val="24"/>
          <w:szCs w:val="24"/>
          <w:highlight w:val="none"/>
        </w:rPr>
      </w:pPr>
    </w:p>
    <w:p w14:paraId="311576B4">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BED8599">
      <w:pPr>
        <w:pStyle w:val="21"/>
        <w:spacing w:line="360" w:lineRule="auto"/>
        <w:ind w:left="25" w:leftChars="12" w:firstLine="352" w:firstLineChars="147"/>
        <w:rPr>
          <w:rFonts w:hint="eastAsia" w:ascii="宋体" w:hAnsi="宋体" w:eastAsia="宋体" w:cs="宋体"/>
          <w:color w:val="auto"/>
          <w:sz w:val="24"/>
          <w:szCs w:val="24"/>
          <w:highlight w:val="none"/>
        </w:rPr>
      </w:pPr>
    </w:p>
    <w:p w14:paraId="40F5C600">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BBA5ABA">
      <w:pPr>
        <w:pStyle w:val="2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77595D15">
      <w:pPr>
        <w:pStyle w:val="2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C8DF893">
      <w:pPr>
        <w:pStyle w:val="2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F5B928E">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C25BF4">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AF8A340">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FE7CEC">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20FB59C0">
      <w:pPr>
        <w:pStyle w:val="2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7DD01A8E">
      <w:pPr>
        <w:spacing w:line="360" w:lineRule="auto"/>
        <w:jc w:val="center"/>
        <w:rPr>
          <w:rFonts w:hint="eastAsia" w:ascii="宋体" w:hAnsi="宋体" w:eastAsia="宋体" w:cs="宋体"/>
          <w:b/>
          <w:color w:val="auto"/>
          <w:highlight w:val="none"/>
        </w:rPr>
      </w:pPr>
    </w:p>
    <w:sectPr>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embedRegular r:id="rId1" w:fontKey="{8B2A92AB-9710-4A97-98CB-F4217E7D4569}"/>
  </w:font>
  <w:font w:name="微软雅黑">
    <w:panose1 w:val="020B0503020204020204"/>
    <w:charset w:val="86"/>
    <w:family w:val="auto"/>
    <w:pitch w:val="default"/>
    <w:sig w:usb0="80000287" w:usb1="2ACF3C50" w:usb2="00000016" w:usb3="00000000" w:csb0="0004001F" w:csb1="00000000"/>
  </w:font>
  <w:font w:name="font-weight : 400">
    <w:altName w:val="Times New Roman"/>
    <w:panose1 w:val="00000000000000000000"/>
    <w:charset w:val="00"/>
    <w:family w:val="auto"/>
    <w:pitch w:val="default"/>
    <w:sig w:usb0="00000000" w:usb1="00000000" w:usb2="00000000" w:usb3="00000000" w:csb0="00040001"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15B0">
    <w:pPr>
      <w:pStyle w:val="24"/>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CF2C7B">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14:paraId="60CF2C7B">
                    <w:pPr>
                      <w:pStyle w:val="24"/>
                    </w:pPr>
                    <w:r>
                      <w:fldChar w:fldCharType="begin"/>
                    </w:r>
                    <w:r>
                      <w:instrText xml:space="preserve"> PAGE  \* MERGEFORMAT </w:instrText>
                    </w:r>
                    <w:r>
                      <w:fldChar w:fldCharType="separate"/>
                    </w:r>
                    <w:r>
                      <w:t>2</w:t>
                    </w:r>
                    <w:r>
                      <w:fldChar w:fldCharType="end"/>
                    </w:r>
                  </w:p>
                </w:txbxContent>
              </v:textbox>
            </v:shape>
          </w:pict>
        </mc:Fallback>
      </mc:AlternateContent>
    </w:r>
  </w:p>
  <w:p w14:paraId="552EB3D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40D4">
    <w:pPr>
      <w:pStyle w:val="24"/>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F959E"/>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7FFj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vqLEcYsDv3z/dvnx6/LzK3mx&#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xRYzLAQAAnAMAAA4AAAAAAAAAAQAgAAAAHgEAAGRycy9lMm9E&#10;b2MueG1sUEsFBgAAAAAGAAYAWQEAAFsFAAAAAA==&#10;">
              <v:fill on="f" focussize="0,0"/>
              <v:stroke on="f"/>
              <v:imagedata o:title=""/>
              <o:lock v:ext="edit" aspectratio="f"/>
              <v:textbox inset="0mm,0mm,0mm,0mm" style="mso-fit-shape-to-text:t;">
                <w:txbxContent>
                  <w:p w14:paraId="4F2F959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B61D">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625FAE">
                          <w:pPr>
                            <w:pStyle w:val="24"/>
                            <w:jc w:val="center"/>
                          </w:pPr>
                          <w:r>
                            <w:fldChar w:fldCharType="begin"/>
                          </w:r>
                          <w:r>
                            <w:rPr>
                              <w:rStyle w:val="40"/>
                            </w:rPr>
                            <w:instrText xml:space="preserve"> PAGE </w:instrText>
                          </w:r>
                          <w:r>
                            <w:fldChar w:fldCharType="separate"/>
                          </w:r>
                          <w:r>
                            <w:rPr>
                              <w:rStyle w:val="40"/>
                            </w:rP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A625FAE">
                    <w:pPr>
                      <w:pStyle w:val="24"/>
                      <w:jc w:val="center"/>
                    </w:pPr>
                    <w:r>
                      <w:fldChar w:fldCharType="begin"/>
                    </w:r>
                    <w:r>
                      <w:rPr>
                        <w:rStyle w:val="40"/>
                      </w:rPr>
                      <w:instrText xml:space="preserve"> PAGE </w:instrText>
                    </w:r>
                    <w:r>
                      <w:fldChar w:fldCharType="separate"/>
                    </w:r>
                    <w:r>
                      <w:rPr>
                        <w:rStyle w:val="40"/>
                      </w:rP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E2AA">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BAB3D3">
                          <w:pPr>
                            <w:pStyle w:val="24"/>
                            <w:jc w:val="center"/>
                          </w:pPr>
                          <w:r>
                            <w:fldChar w:fldCharType="begin"/>
                          </w:r>
                          <w:r>
                            <w:rPr>
                              <w:rStyle w:val="40"/>
                            </w:rPr>
                            <w:instrText xml:space="preserve"> PAGE </w:instrText>
                          </w:r>
                          <w:r>
                            <w:fldChar w:fldCharType="separate"/>
                          </w:r>
                          <w:r>
                            <w:rPr>
                              <w:rStyle w:val="40"/>
                            </w:rP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35BAB3D3">
                    <w:pPr>
                      <w:pStyle w:val="24"/>
                      <w:jc w:val="center"/>
                    </w:pPr>
                    <w:r>
                      <w:fldChar w:fldCharType="begin"/>
                    </w:r>
                    <w:r>
                      <w:rPr>
                        <w:rStyle w:val="40"/>
                      </w:rPr>
                      <w:instrText xml:space="preserve"> PAGE </w:instrText>
                    </w:r>
                    <w:r>
                      <w:fldChar w:fldCharType="separate"/>
                    </w:r>
                    <w:r>
                      <w:rPr>
                        <w:rStyle w:val="40"/>
                      </w:rP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03A0">
    <w:pPr>
      <w:pStyle w:val="2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D17AF4">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5AD17AF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B5D6">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21632">
                          <w:pPr>
                            <w:pStyle w:val="24"/>
                            <w:jc w:val="center"/>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9y18s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4/ctfLAQAAnAMAAA4AAAAAAAAAAQAgAAAAHgEAAGRycy9lMm9E&#10;b2MueG1sUEsFBgAAAAAGAAYAWQEAAFsFAAAAAA==&#10;">
              <v:fill on="f" focussize="0,0"/>
              <v:stroke on="f"/>
              <v:imagedata o:title=""/>
              <o:lock v:ext="edit" aspectratio="f"/>
              <v:textbox inset="0mm,0mm,0mm,0mm" style="mso-fit-shape-to-text:t;">
                <w:txbxContent>
                  <w:p w14:paraId="75B21632">
                    <w:pPr>
                      <w:pStyle w:val="24"/>
                      <w:jc w:val="center"/>
                    </w:pPr>
                    <w:r>
                      <w:fldChar w:fldCharType="begin"/>
                    </w:r>
                    <w:r>
                      <w:instrText xml:space="preserve"> PAGE  \* MERGEFORMAT </w:instrText>
                    </w:r>
                    <w:r>
                      <w:fldChar w:fldCharType="separate"/>
                    </w:r>
                    <w:r>
                      <w:t>94</w:t>
                    </w:r>
                    <w:r>
                      <w:fldChar w:fldCharType="end"/>
                    </w:r>
                  </w:p>
                </w:txbxContent>
              </v:textbox>
            </v:shape>
          </w:pict>
        </mc:Fallback>
      </mc:AlternateContent>
    </w:r>
  </w:p>
  <w:p w14:paraId="37D6684C">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6183">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30BD8">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56530BD8">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E0C6">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A639">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A79E">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35606"/>
    <w:multiLevelType w:val="singleLevel"/>
    <w:tmpl w:val="D9535606"/>
    <w:lvl w:ilvl="0" w:tentative="0">
      <w:start w:val="1"/>
      <w:numFmt w:val="chineseCounting"/>
      <w:suff w:val="space"/>
      <w:lvlText w:val="第%1章"/>
      <w:lvlJc w:val="left"/>
      <w:rPr>
        <w:rFonts w:hint="eastAsia"/>
        <w:b/>
        <w:bCs/>
        <w:sz w:val="44"/>
        <w:szCs w:val="44"/>
      </w:rPr>
    </w:lvl>
  </w:abstractNum>
  <w:abstractNum w:abstractNumId="1">
    <w:nsid w:val="F5A5F90E"/>
    <w:multiLevelType w:val="singleLevel"/>
    <w:tmpl w:val="F5A5F90E"/>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10FB2DF"/>
    <w:multiLevelType w:val="singleLevel"/>
    <w:tmpl w:val="310FB2DF"/>
    <w:lvl w:ilvl="0" w:tentative="0">
      <w:start w:val="6"/>
      <w:numFmt w:val="decimal"/>
      <w:lvlText w:val="%1."/>
      <w:lvlJc w:val="left"/>
      <w:pPr>
        <w:tabs>
          <w:tab w:val="left" w:pos="312"/>
        </w:tabs>
      </w:pPr>
    </w:lvl>
  </w:abstractNum>
  <w:abstractNum w:abstractNumId="5">
    <w:nsid w:val="787E2F9E"/>
    <w:multiLevelType w:val="singleLevel"/>
    <w:tmpl w:val="787E2F9E"/>
    <w:lvl w:ilvl="0" w:tentative="0">
      <w:start w:val="1"/>
      <w:numFmt w:val="decimal"/>
      <w:suff w:val="nothing"/>
      <w:lvlText w:val="%1、"/>
      <w:lvlJc w:val="left"/>
    </w:lvl>
  </w:abstractNum>
  <w:abstractNum w:abstractNumId="6">
    <w:nsid w:val="7E36647E"/>
    <w:multiLevelType w:val="singleLevel"/>
    <w:tmpl w:val="7E36647E"/>
    <w:lvl w:ilvl="0" w:tentative="0">
      <w:start w:val="2"/>
      <w:numFmt w:val="decimal"/>
      <w:lvlText w:val="%1."/>
      <w:lvlJc w:val="left"/>
      <w:pPr>
        <w:tabs>
          <w:tab w:val="left" w:pos="312"/>
        </w:tabs>
      </w:pPr>
    </w:lvl>
  </w:abstractNum>
  <w:num w:numId="1">
    <w:abstractNumId w:val="0"/>
  </w:num>
  <w:num w:numId="2">
    <w:abstractNumId w:val="5"/>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YzczNGViMTFiNzk5NmI0ZmI1OGQ5ZDc3MmRhNmU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C8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4C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57FD3"/>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A7C96"/>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418"/>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280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0A9F"/>
    <w:rsid w:val="00531761"/>
    <w:rsid w:val="0053248F"/>
    <w:rsid w:val="0053332A"/>
    <w:rsid w:val="0053358A"/>
    <w:rsid w:val="00534668"/>
    <w:rsid w:val="00534DDD"/>
    <w:rsid w:val="00535291"/>
    <w:rsid w:val="00535A94"/>
    <w:rsid w:val="00535E7A"/>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9E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A98"/>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4D91"/>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2AC9"/>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0024"/>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0BFB"/>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6861"/>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01B5"/>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0B7"/>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48C9"/>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92"/>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8FD"/>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484"/>
    <w:rsid w:val="00FF1C9B"/>
    <w:rsid w:val="00FF1D49"/>
    <w:rsid w:val="00FF203B"/>
    <w:rsid w:val="00FF2562"/>
    <w:rsid w:val="00FF3A41"/>
    <w:rsid w:val="00FF3E5B"/>
    <w:rsid w:val="00FF57E4"/>
    <w:rsid w:val="00FF78E5"/>
    <w:rsid w:val="010351AA"/>
    <w:rsid w:val="012D66CB"/>
    <w:rsid w:val="015044B7"/>
    <w:rsid w:val="016033C0"/>
    <w:rsid w:val="018F272E"/>
    <w:rsid w:val="01AF3D99"/>
    <w:rsid w:val="01C76484"/>
    <w:rsid w:val="01CC3898"/>
    <w:rsid w:val="01DD59FB"/>
    <w:rsid w:val="01E661A7"/>
    <w:rsid w:val="02186A33"/>
    <w:rsid w:val="021D2670"/>
    <w:rsid w:val="024737BC"/>
    <w:rsid w:val="025106A8"/>
    <w:rsid w:val="02511F9D"/>
    <w:rsid w:val="02C47780"/>
    <w:rsid w:val="02CE5187"/>
    <w:rsid w:val="02EA04B2"/>
    <w:rsid w:val="02F92D08"/>
    <w:rsid w:val="030555C0"/>
    <w:rsid w:val="030575E0"/>
    <w:rsid w:val="030671D3"/>
    <w:rsid w:val="031E7046"/>
    <w:rsid w:val="032A2EC2"/>
    <w:rsid w:val="03317B75"/>
    <w:rsid w:val="034B2E38"/>
    <w:rsid w:val="035C5045"/>
    <w:rsid w:val="035D3297"/>
    <w:rsid w:val="037B54CB"/>
    <w:rsid w:val="03802AE2"/>
    <w:rsid w:val="03A26EFC"/>
    <w:rsid w:val="03A314B8"/>
    <w:rsid w:val="03AF33C7"/>
    <w:rsid w:val="03B22EB7"/>
    <w:rsid w:val="03CF4343"/>
    <w:rsid w:val="03D82B98"/>
    <w:rsid w:val="03DD6B4C"/>
    <w:rsid w:val="03EC0177"/>
    <w:rsid w:val="03F83E8B"/>
    <w:rsid w:val="041E7A18"/>
    <w:rsid w:val="04617A87"/>
    <w:rsid w:val="046B5540"/>
    <w:rsid w:val="04A81EAC"/>
    <w:rsid w:val="04C133B2"/>
    <w:rsid w:val="04C775F7"/>
    <w:rsid w:val="04D264D3"/>
    <w:rsid w:val="050C1396"/>
    <w:rsid w:val="05121E5F"/>
    <w:rsid w:val="052B0E21"/>
    <w:rsid w:val="052D0B0F"/>
    <w:rsid w:val="053242B0"/>
    <w:rsid w:val="05381A5A"/>
    <w:rsid w:val="05393890"/>
    <w:rsid w:val="053A4F12"/>
    <w:rsid w:val="056B77C2"/>
    <w:rsid w:val="05AC4062"/>
    <w:rsid w:val="05BA6ECD"/>
    <w:rsid w:val="05C56868"/>
    <w:rsid w:val="05C62623"/>
    <w:rsid w:val="05CA44E8"/>
    <w:rsid w:val="05CD3FD8"/>
    <w:rsid w:val="05D76AC3"/>
    <w:rsid w:val="05DC147E"/>
    <w:rsid w:val="06042EB7"/>
    <w:rsid w:val="060C6AB2"/>
    <w:rsid w:val="061D286A"/>
    <w:rsid w:val="062C6F51"/>
    <w:rsid w:val="065546FA"/>
    <w:rsid w:val="0669428A"/>
    <w:rsid w:val="067F3525"/>
    <w:rsid w:val="06A7424A"/>
    <w:rsid w:val="06AC1E40"/>
    <w:rsid w:val="06CE0008"/>
    <w:rsid w:val="06E94E42"/>
    <w:rsid w:val="06F01622"/>
    <w:rsid w:val="06FA0DFD"/>
    <w:rsid w:val="070E6657"/>
    <w:rsid w:val="072B5E64"/>
    <w:rsid w:val="074B3407"/>
    <w:rsid w:val="07554C34"/>
    <w:rsid w:val="07603356"/>
    <w:rsid w:val="0782186B"/>
    <w:rsid w:val="07B17300"/>
    <w:rsid w:val="07B72767"/>
    <w:rsid w:val="07BB512F"/>
    <w:rsid w:val="07D32C5F"/>
    <w:rsid w:val="07D96C64"/>
    <w:rsid w:val="07E42725"/>
    <w:rsid w:val="07EC0C5F"/>
    <w:rsid w:val="08031F33"/>
    <w:rsid w:val="08077E72"/>
    <w:rsid w:val="08395955"/>
    <w:rsid w:val="084F33CB"/>
    <w:rsid w:val="08624EAC"/>
    <w:rsid w:val="08634DDA"/>
    <w:rsid w:val="087150EF"/>
    <w:rsid w:val="088210AA"/>
    <w:rsid w:val="08882DD0"/>
    <w:rsid w:val="08886BAF"/>
    <w:rsid w:val="08B15F75"/>
    <w:rsid w:val="08D66B6F"/>
    <w:rsid w:val="08F43AA3"/>
    <w:rsid w:val="090A1A33"/>
    <w:rsid w:val="091122F8"/>
    <w:rsid w:val="091B19AB"/>
    <w:rsid w:val="097F7EB7"/>
    <w:rsid w:val="099771E8"/>
    <w:rsid w:val="09CC2AAC"/>
    <w:rsid w:val="09D26E76"/>
    <w:rsid w:val="09DA2DEB"/>
    <w:rsid w:val="09EB4E86"/>
    <w:rsid w:val="09EF5859"/>
    <w:rsid w:val="0A000995"/>
    <w:rsid w:val="0A2D637A"/>
    <w:rsid w:val="0A402FCB"/>
    <w:rsid w:val="0A587458"/>
    <w:rsid w:val="0A5B1BB3"/>
    <w:rsid w:val="0A652D3E"/>
    <w:rsid w:val="0A6E7C7E"/>
    <w:rsid w:val="0A7B2255"/>
    <w:rsid w:val="0A7D5509"/>
    <w:rsid w:val="0A8A57E5"/>
    <w:rsid w:val="0AA01CBB"/>
    <w:rsid w:val="0AC92FC0"/>
    <w:rsid w:val="0ADF4592"/>
    <w:rsid w:val="0AE41CEE"/>
    <w:rsid w:val="0AF90439"/>
    <w:rsid w:val="0B074AE1"/>
    <w:rsid w:val="0B0859F4"/>
    <w:rsid w:val="0B326F2A"/>
    <w:rsid w:val="0B36251A"/>
    <w:rsid w:val="0B3643CE"/>
    <w:rsid w:val="0B3A3EBE"/>
    <w:rsid w:val="0B582596"/>
    <w:rsid w:val="0B5A3DE6"/>
    <w:rsid w:val="0B687DEF"/>
    <w:rsid w:val="0B7E71EE"/>
    <w:rsid w:val="0BA675DA"/>
    <w:rsid w:val="0BBE4AEF"/>
    <w:rsid w:val="0C061FF2"/>
    <w:rsid w:val="0C1E2888"/>
    <w:rsid w:val="0C3D613A"/>
    <w:rsid w:val="0C3F3F99"/>
    <w:rsid w:val="0C4A1EDF"/>
    <w:rsid w:val="0C5B233E"/>
    <w:rsid w:val="0C807FF6"/>
    <w:rsid w:val="0C92213C"/>
    <w:rsid w:val="0C92221D"/>
    <w:rsid w:val="0CCA1272"/>
    <w:rsid w:val="0CF15F6D"/>
    <w:rsid w:val="0D0B3D64"/>
    <w:rsid w:val="0D124483"/>
    <w:rsid w:val="0D1878EB"/>
    <w:rsid w:val="0D587CAC"/>
    <w:rsid w:val="0D63673C"/>
    <w:rsid w:val="0D84032B"/>
    <w:rsid w:val="0DA3575C"/>
    <w:rsid w:val="0DB46F7A"/>
    <w:rsid w:val="0DC57B21"/>
    <w:rsid w:val="0DD04770"/>
    <w:rsid w:val="0DE10A49"/>
    <w:rsid w:val="0DEB76F2"/>
    <w:rsid w:val="0DF02F5A"/>
    <w:rsid w:val="0DFE11D3"/>
    <w:rsid w:val="0E06441C"/>
    <w:rsid w:val="0E3E5A73"/>
    <w:rsid w:val="0E460DCC"/>
    <w:rsid w:val="0E56100F"/>
    <w:rsid w:val="0E763437"/>
    <w:rsid w:val="0E7B0A75"/>
    <w:rsid w:val="0E7D2A40"/>
    <w:rsid w:val="0EA22A67"/>
    <w:rsid w:val="0EAA196D"/>
    <w:rsid w:val="0EAE2659"/>
    <w:rsid w:val="0EC60BEF"/>
    <w:rsid w:val="0EC87A33"/>
    <w:rsid w:val="0ED71A24"/>
    <w:rsid w:val="0ED87C76"/>
    <w:rsid w:val="0EDF65D9"/>
    <w:rsid w:val="0EE859DF"/>
    <w:rsid w:val="0EEF4FBF"/>
    <w:rsid w:val="0F2A74C4"/>
    <w:rsid w:val="0F537684"/>
    <w:rsid w:val="0F713C26"/>
    <w:rsid w:val="0FE077E5"/>
    <w:rsid w:val="0FF41ADA"/>
    <w:rsid w:val="0FF859EA"/>
    <w:rsid w:val="0FFE195E"/>
    <w:rsid w:val="100B7806"/>
    <w:rsid w:val="10120FF5"/>
    <w:rsid w:val="10294501"/>
    <w:rsid w:val="10384174"/>
    <w:rsid w:val="10525806"/>
    <w:rsid w:val="10667503"/>
    <w:rsid w:val="106C2D6C"/>
    <w:rsid w:val="10915988"/>
    <w:rsid w:val="109C2F25"/>
    <w:rsid w:val="10A27F31"/>
    <w:rsid w:val="10CA5CE4"/>
    <w:rsid w:val="10CD154D"/>
    <w:rsid w:val="110945C1"/>
    <w:rsid w:val="110E10F1"/>
    <w:rsid w:val="11763776"/>
    <w:rsid w:val="11927058"/>
    <w:rsid w:val="11AE45E5"/>
    <w:rsid w:val="11D76886"/>
    <w:rsid w:val="11ED1C8A"/>
    <w:rsid w:val="121E1156"/>
    <w:rsid w:val="1223075D"/>
    <w:rsid w:val="126C1002"/>
    <w:rsid w:val="127C6B6A"/>
    <w:rsid w:val="12BE7C8A"/>
    <w:rsid w:val="12D9220E"/>
    <w:rsid w:val="12E36BE9"/>
    <w:rsid w:val="12ED7A68"/>
    <w:rsid w:val="12F86B39"/>
    <w:rsid w:val="1312127D"/>
    <w:rsid w:val="13225964"/>
    <w:rsid w:val="1323348A"/>
    <w:rsid w:val="13236FDC"/>
    <w:rsid w:val="134C214E"/>
    <w:rsid w:val="137E35E2"/>
    <w:rsid w:val="138008DC"/>
    <w:rsid w:val="13876F66"/>
    <w:rsid w:val="13951B3B"/>
    <w:rsid w:val="13AC16D1"/>
    <w:rsid w:val="13AF4F03"/>
    <w:rsid w:val="13D94699"/>
    <w:rsid w:val="13E250F3"/>
    <w:rsid w:val="13F60B9E"/>
    <w:rsid w:val="14346AB7"/>
    <w:rsid w:val="145C0176"/>
    <w:rsid w:val="14736E66"/>
    <w:rsid w:val="14773A8D"/>
    <w:rsid w:val="147F458F"/>
    <w:rsid w:val="14875E2B"/>
    <w:rsid w:val="14A32AD4"/>
    <w:rsid w:val="14A405FA"/>
    <w:rsid w:val="14A547D9"/>
    <w:rsid w:val="14AC612E"/>
    <w:rsid w:val="14D507B4"/>
    <w:rsid w:val="14D958EC"/>
    <w:rsid w:val="14F926F4"/>
    <w:rsid w:val="15165F8A"/>
    <w:rsid w:val="151C4634"/>
    <w:rsid w:val="1526711A"/>
    <w:rsid w:val="15325C06"/>
    <w:rsid w:val="1534169A"/>
    <w:rsid w:val="15360F33"/>
    <w:rsid w:val="15396F94"/>
    <w:rsid w:val="155344FA"/>
    <w:rsid w:val="157629DC"/>
    <w:rsid w:val="15962639"/>
    <w:rsid w:val="159E5049"/>
    <w:rsid w:val="15A20FDE"/>
    <w:rsid w:val="15B14D7D"/>
    <w:rsid w:val="15BB3E4D"/>
    <w:rsid w:val="15C03E03"/>
    <w:rsid w:val="162A25EB"/>
    <w:rsid w:val="16534086"/>
    <w:rsid w:val="16662DEA"/>
    <w:rsid w:val="16777D74"/>
    <w:rsid w:val="16B0772A"/>
    <w:rsid w:val="16B32166"/>
    <w:rsid w:val="16C04E49"/>
    <w:rsid w:val="16C84A74"/>
    <w:rsid w:val="16D74CB7"/>
    <w:rsid w:val="16E3540A"/>
    <w:rsid w:val="16FD2A55"/>
    <w:rsid w:val="17067C1A"/>
    <w:rsid w:val="17366761"/>
    <w:rsid w:val="173B6FF4"/>
    <w:rsid w:val="17424826"/>
    <w:rsid w:val="176C2E67"/>
    <w:rsid w:val="177C01F0"/>
    <w:rsid w:val="177C13BA"/>
    <w:rsid w:val="17830121"/>
    <w:rsid w:val="17A80401"/>
    <w:rsid w:val="17CE6630"/>
    <w:rsid w:val="17FD6A90"/>
    <w:rsid w:val="183F08BB"/>
    <w:rsid w:val="18697B91"/>
    <w:rsid w:val="188D5986"/>
    <w:rsid w:val="18926C24"/>
    <w:rsid w:val="19351C0F"/>
    <w:rsid w:val="194B54E8"/>
    <w:rsid w:val="195425EF"/>
    <w:rsid w:val="195A572B"/>
    <w:rsid w:val="19A81F09"/>
    <w:rsid w:val="19BE010F"/>
    <w:rsid w:val="1A02029D"/>
    <w:rsid w:val="1A051B3B"/>
    <w:rsid w:val="1A057D8D"/>
    <w:rsid w:val="1A257608"/>
    <w:rsid w:val="1A766595"/>
    <w:rsid w:val="1A7F18ED"/>
    <w:rsid w:val="1A952EBF"/>
    <w:rsid w:val="1AA72ECD"/>
    <w:rsid w:val="1ABA5EDF"/>
    <w:rsid w:val="1AC76DF0"/>
    <w:rsid w:val="1AF02488"/>
    <w:rsid w:val="1AFD1FE1"/>
    <w:rsid w:val="1AFF0AFE"/>
    <w:rsid w:val="1B0D4C89"/>
    <w:rsid w:val="1B1A1616"/>
    <w:rsid w:val="1B244243"/>
    <w:rsid w:val="1B2D759B"/>
    <w:rsid w:val="1B3C77DE"/>
    <w:rsid w:val="1B4F19F8"/>
    <w:rsid w:val="1B524D8E"/>
    <w:rsid w:val="1B7817B9"/>
    <w:rsid w:val="1B892BBB"/>
    <w:rsid w:val="1B9847F5"/>
    <w:rsid w:val="1BA57132"/>
    <w:rsid w:val="1BAB599E"/>
    <w:rsid w:val="1BBB6955"/>
    <w:rsid w:val="1C0540A5"/>
    <w:rsid w:val="1C226F03"/>
    <w:rsid w:val="1C295FB5"/>
    <w:rsid w:val="1C4E5FEC"/>
    <w:rsid w:val="1C536B8E"/>
    <w:rsid w:val="1C5D1621"/>
    <w:rsid w:val="1C637780"/>
    <w:rsid w:val="1C737230"/>
    <w:rsid w:val="1C784846"/>
    <w:rsid w:val="1C905FFE"/>
    <w:rsid w:val="1C914D81"/>
    <w:rsid w:val="1CAE1118"/>
    <w:rsid w:val="1CB33AD0"/>
    <w:rsid w:val="1CE4012E"/>
    <w:rsid w:val="1D1C5936"/>
    <w:rsid w:val="1D225DAB"/>
    <w:rsid w:val="1D266050"/>
    <w:rsid w:val="1D2943EB"/>
    <w:rsid w:val="1D3A5FA0"/>
    <w:rsid w:val="1D44297A"/>
    <w:rsid w:val="1D534C64"/>
    <w:rsid w:val="1D6D3C7F"/>
    <w:rsid w:val="1D7416EB"/>
    <w:rsid w:val="1D790876"/>
    <w:rsid w:val="1D864D41"/>
    <w:rsid w:val="1D9D5FEF"/>
    <w:rsid w:val="1DA447C3"/>
    <w:rsid w:val="1DA90739"/>
    <w:rsid w:val="1DA91B49"/>
    <w:rsid w:val="1DE5415D"/>
    <w:rsid w:val="1DE823D1"/>
    <w:rsid w:val="1DF47EFC"/>
    <w:rsid w:val="1E1E31CB"/>
    <w:rsid w:val="1E3649B9"/>
    <w:rsid w:val="1E4E6B9B"/>
    <w:rsid w:val="1E636E30"/>
    <w:rsid w:val="1E752D7E"/>
    <w:rsid w:val="1E8F059E"/>
    <w:rsid w:val="1EAA53BD"/>
    <w:rsid w:val="1ECC44FA"/>
    <w:rsid w:val="1EEA6C68"/>
    <w:rsid w:val="1F063325"/>
    <w:rsid w:val="1F0661B3"/>
    <w:rsid w:val="1F31768D"/>
    <w:rsid w:val="1F675C95"/>
    <w:rsid w:val="1F6B4D7F"/>
    <w:rsid w:val="1FA3619B"/>
    <w:rsid w:val="1FBC5DF5"/>
    <w:rsid w:val="1FD44489"/>
    <w:rsid w:val="1FE52AE8"/>
    <w:rsid w:val="1FE61346"/>
    <w:rsid w:val="1FF90588"/>
    <w:rsid w:val="1FFC1BD3"/>
    <w:rsid w:val="1FFE764B"/>
    <w:rsid w:val="20036B1D"/>
    <w:rsid w:val="200C59D1"/>
    <w:rsid w:val="203B42C4"/>
    <w:rsid w:val="20547DFF"/>
    <w:rsid w:val="206122BB"/>
    <w:rsid w:val="20653333"/>
    <w:rsid w:val="206B3A09"/>
    <w:rsid w:val="20841CDA"/>
    <w:rsid w:val="20B10327"/>
    <w:rsid w:val="20C3623F"/>
    <w:rsid w:val="20C52024"/>
    <w:rsid w:val="20DD55C0"/>
    <w:rsid w:val="20E57FD0"/>
    <w:rsid w:val="20F52909"/>
    <w:rsid w:val="20FA3A7C"/>
    <w:rsid w:val="21107ED6"/>
    <w:rsid w:val="21384411"/>
    <w:rsid w:val="213F3B84"/>
    <w:rsid w:val="216A0E5F"/>
    <w:rsid w:val="216A3B76"/>
    <w:rsid w:val="21781212"/>
    <w:rsid w:val="21974A0B"/>
    <w:rsid w:val="21A954A2"/>
    <w:rsid w:val="21B83F86"/>
    <w:rsid w:val="21DC4F15"/>
    <w:rsid w:val="21F93D33"/>
    <w:rsid w:val="221178A8"/>
    <w:rsid w:val="221213CF"/>
    <w:rsid w:val="22235254"/>
    <w:rsid w:val="22266AF2"/>
    <w:rsid w:val="22327A92"/>
    <w:rsid w:val="223B434C"/>
    <w:rsid w:val="2241392C"/>
    <w:rsid w:val="226B46E4"/>
    <w:rsid w:val="22885F3B"/>
    <w:rsid w:val="228C4BA7"/>
    <w:rsid w:val="22941CAE"/>
    <w:rsid w:val="229A666B"/>
    <w:rsid w:val="22B12860"/>
    <w:rsid w:val="22CD4D2E"/>
    <w:rsid w:val="22E449E3"/>
    <w:rsid w:val="22F64717"/>
    <w:rsid w:val="230F0E90"/>
    <w:rsid w:val="231D53A2"/>
    <w:rsid w:val="232055C2"/>
    <w:rsid w:val="23243032"/>
    <w:rsid w:val="233A2855"/>
    <w:rsid w:val="233D2A6A"/>
    <w:rsid w:val="23517B9F"/>
    <w:rsid w:val="23600D7B"/>
    <w:rsid w:val="236D5383"/>
    <w:rsid w:val="23831F10"/>
    <w:rsid w:val="239C4F5A"/>
    <w:rsid w:val="23A82173"/>
    <w:rsid w:val="23AC4119"/>
    <w:rsid w:val="23B7504C"/>
    <w:rsid w:val="23E8356C"/>
    <w:rsid w:val="23F925C2"/>
    <w:rsid w:val="23FE7D27"/>
    <w:rsid w:val="240C2B7C"/>
    <w:rsid w:val="24283AE1"/>
    <w:rsid w:val="243F4DF7"/>
    <w:rsid w:val="24571307"/>
    <w:rsid w:val="245E4322"/>
    <w:rsid w:val="24883A94"/>
    <w:rsid w:val="248875F1"/>
    <w:rsid w:val="248F4E23"/>
    <w:rsid w:val="24CE594B"/>
    <w:rsid w:val="24DA10FF"/>
    <w:rsid w:val="24F46A34"/>
    <w:rsid w:val="25044920"/>
    <w:rsid w:val="25050C41"/>
    <w:rsid w:val="25110A2A"/>
    <w:rsid w:val="251D5326"/>
    <w:rsid w:val="251F7F55"/>
    <w:rsid w:val="256C0944"/>
    <w:rsid w:val="25893A50"/>
    <w:rsid w:val="259B3353"/>
    <w:rsid w:val="25A55949"/>
    <w:rsid w:val="25C26B32"/>
    <w:rsid w:val="25C96CBC"/>
    <w:rsid w:val="25CC175F"/>
    <w:rsid w:val="25E90AB7"/>
    <w:rsid w:val="26263565"/>
    <w:rsid w:val="263977DE"/>
    <w:rsid w:val="26446DE3"/>
    <w:rsid w:val="264F27ED"/>
    <w:rsid w:val="265728A3"/>
    <w:rsid w:val="266B75E9"/>
    <w:rsid w:val="26702394"/>
    <w:rsid w:val="26776042"/>
    <w:rsid w:val="267A740D"/>
    <w:rsid w:val="268D6098"/>
    <w:rsid w:val="269669E7"/>
    <w:rsid w:val="26AA5F44"/>
    <w:rsid w:val="26C402FB"/>
    <w:rsid w:val="26D7699F"/>
    <w:rsid w:val="26E9410A"/>
    <w:rsid w:val="270618CF"/>
    <w:rsid w:val="278F2052"/>
    <w:rsid w:val="27A26C1B"/>
    <w:rsid w:val="27BD5803"/>
    <w:rsid w:val="27C560FB"/>
    <w:rsid w:val="27D25752"/>
    <w:rsid w:val="27F154AD"/>
    <w:rsid w:val="27F3075D"/>
    <w:rsid w:val="280A2E1D"/>
    <w:rsid w:val="280E6ACE"/>
    <w:rsid w:val="282E1BAE"/>
    <w:rsid w:val="28357A8F"/>
    <w:rsid w:val="28364530"/>
    <w:rsid w:val="283D5E5E"/>
    <w:rsid w:val="28426E41"/>
    <w:rsid w:val="28745C63"/>
    <w:rsid w:val="2899060D"/>
    <w:rsid w:val="28BA1D43"/>
    <w:rsid w:val="28BC1F5F"/>
    <w:rsid w:val="28C10498"/>
    <w:rsid w:val="28CE6296"/>
    <w:rsid w:val="28D87ACB"/>
    <w:rsid w:val="28EF00C5"/>
    <w:rsid w:val="28F2772E"/>
    <w:rsid w:val="29167350"/>
    <w:rsid w:val="291A0F8E"/>
    <w:rsid w:val="29220014"/>
    <w:rsid w:val="292A511A"/>
    <w:rsid w:val="293D4E4D"/>
    <w:rsid w:val="295B3526"/>
    <w:rsid w:val="29680339"/>
    <w:rsid w:val="29B449E4"/>
    <w:rsid w:val="2A1A0CEB"/>
    <w:rsid w:val="2A1D7E43"/>
    <w:rsid w:val="2A277B15"/>
    <w:rsid w:val="2A3E70CF"/>
    <w:rsid w:val="2A465F84"/>
    <w:rsid w:val="2A6B366E"/>
    <w:rsid w:val="2A6D3510"/>
    <w:rsid w:val="2A8940C2"/>
    <w:rsid w:val="2AA55E34"/>
    <w:rsid w:val="2AA66A22"/>
    <w:rsid w:val="2AA76B76"/>
    <w:rsid w:val="2AB56C65"/>
    <w:rsid w:val="2AB70C30"/>
    <w:rsid w:val="2AD45D99"/>
    <w:rsid w:val="2AD57308"/>
    <w:rsid w:val="2AE45217"/>
    <w:rsid w:val="2AFE060C"/>
    <w:rsid w:val="2B09234C"/>
    <w:rsid w:val="2B4F38F7"/>
    <w:rsid w:val="2B560448"/>
    <w:rsid w:val="2B71245C"/>
    <w:rsid w:val="2B774624"/>
    <w:rsid w:val="2B852ADC"/>
    <w:rsid w:val="2BBE1B4A"/>
    <w:rsid w:val="2BC012F4"/>
    <w:rsid w:val="2BD355F5"/>
    <w:rsid w:val="2BD61589"/>
    <w:rsid w:val="2BE47802"/>
    <w:rsid w:val="2BF832AE"/>
    <w:rsid w:val="2BFF7007"/>
    <w:rsid w:val="2C1752F1"/>
    <w:rsid w:val="2C7A72BE"/>
    <w:rsid w:val="2C9A7D75"/>
    <w:rsid w:val="2CA03864"/>
    <w:rsid w:val="2CC17412"/>
    <w:rsid w:val="2CD07D87"/>
    <w:rsid w:val="2CD94E8D"/>
    <w:rsid w:val="2CDA2D61"/>
    <w:rsid w:val="2D03015C"/>
    <w:rsid w:val="2D056848"/>
    <w:rsid w:val="2D3B6342"/>
    <w:rsid w:val="2D4B5504"/>
    <w:rsid w:val="2D53647D"/>
    <w:rsid w:val="2D5B3147"/>
    <w:rsid w:val="2D5B3AF4"/>
    <w:rsid w:val="2D660218"/>
    <w:rsid w:val="2DB040D5"/>
    <w:rsid w:val="2DB63A2B"/>
    <w:rsid w:val="2DBD030B"/>
    <w:rsid w:val="2DE735DA"/>
    <w:rsid w:val="2DE77219"/>
    <w:rsid w:val="2DFD2DFD"/>
    <w:rsid w:val="2E1B1164"/>
    <w:rsid w:val="2E426A62"/>
    <w:rsid w:val="2E5C3FC8"/>
    <w:rsid w:val="2E9976CE"/>
    <w:rsid w:val="2ED92941"/>
    <w:rsid w:val="2ED95618"/>
    <w:rsid w:val="2EE31EEB"/>
    <w:rsid w:val="2F083808"/>
    <w:rsid w:val="2F0D6469"/>
    <w:rsid w:val="2F101F14"/>
    <w:rsid w:val="2F277649"/>
    <w:rsid w:val="2F2B74F6"/>
    <w:rsid w:val="2F401D3C"/>
    <w:rsid w:val="2F5B24E1"/>
    <w:rsid w:val="2F6A022C"/>
    <w:rsid w:val="2F6A29D6"/>
    <w:rsid w:val="2F6C1C8A"/>
    <w:rsid w:val="2F737636"/>
    <w:rsid w:val="2FA320AA"/>
    <w:rsid w:val="2FA95C88"/>
    <w:rsid w:val="2FB93473"/>
    <w:rsid w:val="2FC33BD3"/>
    <w:rsid w:val="2FD962A4"/>
    <w:rsid w:val="2FF34329"/>
    <w:rsid w:val="2FF41FDE"/>
    <w:rsid w:val="300C7328"/>
    <w:rsid w:val="30182689"/>
    <w:rsid w:val="301D32E3"/>
    <w:rsid w:val="30234671"/>
    <w:rsid w:val="303D3985"/>
    <w:rsid w:val="3041370F"/>
    <w:rsid w:val="304A7E50"/>
    <w:rsid w:val="304F6CCA"/>
    <w:rsid w:val="30534F57"/>
    <w:rsid w:val="308634A8"/>
    <w:rsid w:val="30946CE0"/>
    <w:rsid w:val="3098728C"/>
    <w:rsid w:val="309E2EE2"/>
    <w:rsid w:val="30A21DB2"/>
    <w:rsid w:val="30AE11A0"/>
    <w:rsid w:val="30D17A98"/>
    <w:rsid w:val="30D67A4C"/>
    <w:rsid w:val="30EE4C7F"/>
    <w:rsid w:val="30F2476F"/>
    <w:rsid w:val="30F71D86"/>
    <w:rsid w:val="30FE1378"/>
    <w:rsid w:val="310149B3"/>
    <w:rsid w:val="312B50A3"/>
    <w:rsid w:val="31440D43"/>
    <w:rsid w:val="31453842"/>
    <w:rsid w:val="314F3970"/>
    <w:rsid w:val="31501496"/>
    <w:rsid w:val="31540F86"/>
    <w:rsid w:val="317E4B60"/>
    <w:rsid w:val="3185633A"/>
    <w:rsid w:val="319D54FA"/>
    <w:rsid w:val="31C12394"/>
    <w:rsid w:val="31EF5153"/>
    <w:rsid w:val="31F91B2E"/>
    <w:rsid w:val="32236B14"/>
    <w:rsid w:val="32252923"/>
    <w:rsid w:val="32285F6F"/>
    <w:rsid w:val="32323C7C"/>
    <w:rsid w:val="3238327F"/>
    <w:rsid w:val="323C2C54"/>
    <w:rsid w:val="32453A27"/>
    <w:rsid w:val="32472B54"/>
    <w:rsid w:val="3263064A"/>
    <w:rsid w:val="32750D51"/>
    <w:rsid w:val="32865EBA"/>
    <w:rsid w:val="32A43132"/>
    <w:rsid w:val="32A55811"/>
    <w:rsid w:val="32AC0C06"/>
    <w:rsid w:val="32BB5035"/>
    <w:rsid w:val="32C263C3"/>
    <w:rsid w:val="32E07A9C"/>
    <w:rsid w:val="32F05A68"/>
    <w:rsid w:val="32FB08A2"/>
    <w:rsid w:val="331165AB"/>
    <w:rsid w:val="331458AD"/>
    <w:rsid w:val="33152997"/>
    <w:rsid w:val="3328091C"/>
    <w:rsid w:val="33344EF5"/>
    <w:rsid w:val="3343544A"/>
    <w:rsid w:val="334F4E0C"/>
    <w:rsid w:val="335C6818"/>
    <w:rsid w:val="33611270"/>
    <w:rsid w:val="339B1F83"/>
    <w:rsid w:val="33AF52A6"/>
    <w:rsid w:val="33C91B60"/>
    <w:rsid w:val="33CD5020"/>
    <w:rsid w:val="33D32127"/>
    <w:rsid w:val="33D42485"/>
    <w:rsid w:val="33D62126"/>
    <w:rsid w:val="33DD56B5"/>
    <w:rsid w:val="33EF31E8"/>
    <w:rsid w:val="34012F1B"/>
    <w:rsid w:val="342A4270"/>
    <w:rsid w:val="34563267"/>
    <w:rsid w:val="34650F8A"/>
    <w:rsid w:val="34700611"/>
    <w:rsid w:val="34871673"/>
    <w:rsid w:val="349839A8"/>
    <w:rsid w:val="34CF14D0"/>
    <w:rsid w:val="34D523DE"/>
    <w:rsid w:val="34DA6224"/>
    <w:rsid w:val="34FD1935"/>
    <w:rsid w:val="35141A9E"/>
    <w:rsid w:val="351E294D"/>
    <w:rsid w:val="3522139B"/>
    <w:rsid w:val="352441D1"/>
    <w:rsid w:val="3537750C"/>
    <w:rsid w:val="3537798C"/>
    <w:rsid w:val="354557D5"/>
    <w:rsid w:val="35637A66"/>
    <w:rsid w:val="35690D78"/>
    <w:rsid w:val="356A0598"/>
    <w:rsid w:val="357C0D65"/>
    <w:rsid w:val="358505FE"/>
    <w:rsid w:val="35936382"/>
    <w:rsid w:val="35A87D41"/>
    <w:rsid w:val="35AF70D3"/>
    <w:rsid w:val="35C13FC9"/>
    <w:rsid w:val="35CF32D1"/>
    <w:rsid w:val="360F369C"/>
    <w:rsid w:val="36131B57"/>
    <w:rsid w:val="36165869"/>
    <w:rsid w:val="36296D8F"/>
    <w:rsid w:val="36343134"/>
    <w:rsid w:val="364257B6"/>
    <w:rsid w:val="365626B3"/>
    <w:rsid w:val="36663854"/>
    <w:rsid w:val="366A4DA8"/>
    <w:rsid w:val="367077C6"/>
    <w:rsid w:val="36720B63"/>
    <w:rsid w:val="36B67FED"/>
    <w:rsid w:val="36C07146"/>
    <w:rsid w:val="36D51F92"/>
    <w:rsid w:val="36FF1994"/>
    <w:rsid w:val="371A4A20"/>
    <w:rsid w:val="371D006C"/>
    <w:rsid w:val="3760729E"/>
    <w:rsid w:val="3768578B"/>
    <w:rsid w:val="378C0D4E"/>
    <w:rsid w:val="37922808"/>
    <w:rsid w:val="37A0061B"/>
    <w:rsid w:val="37A75E0A"/>
    <w:rsid w:val="37C4498C"/>
    <w:rsid w:val="37E57845"/>
    <w:rsid w:val="37EA5922"/>
    <w:rsid w:val="37EE6DAE"/>
    <w:rsid w:val="37FC2378"/>
    <w:rsid w:val="3801173C"/>
    <w:rsid w:val="38037262"/>
    <w:rsid w:val="38276B93"/>
    <w:rsid w:val="383A69FC"/>
    <w:rsid w:val="38426E58"/>
    <w:rsid w:val="3843357E"/>
    <w:rsid w:val="385C4BC4"/>
    <w:rsid w:val="38657F1D"/>
    <w:rsid w:val="38710670"/>
    <w:rsid w:val="388760E5"/>
    <w:rsid w:val="389078A0"/>
    <w:rsid w:val="38AA3C4E"/>
    <w:rsid w:val="38AB7A97"/>
    <w:rsid w:val="38AC3431"/>
    <w:rsid w:val="38E30E42"/>
    <w:rsid w:val="38E54BBA"/>
    <w:rsid w:val="38EF77E6"/>
    <w:rsid w:val="392F2E16"/>
    <w:rsid w:val="39355B41"/>
    <w:rsid w:val="39605A68"/>
    <w:rsid w:val="3962620A"/>
    <w:rsid w:val="396A50BF"/>
    <w:rsid w:val="398F53E8"/>
    <w:rsid w:val="39BB5444"/>
    <w:rsid w:val="39D24B04"/>
    <w:rsid w:val="39E00529"/>
    <w:rsid w:val="39E430C3"/>
    <w:rsid w:val="39EB585D"/>
    <w:rsid w:val="39F845BC"/>
    <w:rsid w:val="39FC3F7F"/>
    <w:rsid w:val="3A0B64A7"/>
    <w:rsid w:val="3A574DDA"/>
    <w:rsid w:val="3A777A93"/>
    <w:rsid w:val="3A7E1F53"/>
    <w:rsid w:val="3A865F28"/>
    <w:rsid w:val="3A8D5509"/>
    <w:rsid w:val="3AAD5BAB"/>
    <w:rsid w:val="3ACB4314"/>
    <w:rsid w:val="3ACE5AA9"/>
    <w:rsid w:val="3AD3075A"/>
    <w:rsid w:val="3AF74C02"/>
    <w:rsid w:val="3B0954D1"/>
    <w:rsid w:val="3B0B7552"/>
    <w:rsid w:val="3B0C28D2"/>
    <w:rsid w:val="3B0E03F8"/>
    <w:rsid w:val="3B192011"/>
    <w:rsid w:val="3B282240"/>
    <w:rsid w:val="3B3140E6"/>
    <w:rsid w:val="3B4846E0"/>
    <w:rsid w:val="3B5811B8"/>
    <w:rsid w:val="3B863D9D"/>
    <w:rsid w:val="3BBC46AC"/>
    <w:rsid w:val="3C0059A5"/>
    <w:rsid w:val="3C125D05"/>
    <w:rsid w:val="3C134E78"/>
    <w:rsid w:val="3C163FA9"/>
    <w:rsid w:val="3C171239"/>
    <w:rsid w:val="3C237ED3"/>
    <w:rsid w:val="3C2D2B00"/>
    <w:rsid w:val="3C4D6EC5"/>
    <w:rsid w:val="3C5376EB"/>
    <w:rsid w:val="3C5462DE"/>
    <w:rsid w:val="3C7544A7"/>
    <w:rsid w:val="3C9A5384"/>
    <w:rsid w:val="3CBE5E4E"/>
    <w:rsid w:val="3CF06942"/>
    <w:rsid w:val="3D1E4803"/>
    <w:rsid w:val="3D314871"/>
    <w:rsid w:val="3D3A09F5"/>
    <w:rsid w:val="3D400FA1"/>
    <w:rsid w:val="3D4B5983"/>
    <w:rsid w:val="3D78424E"/>
    <w:rsid w:val="3D8413A5"/>
    <w:rsid w:val="3D84201B"/>
    <w:rsid w:val="3DBF246A"/>
    <w:rsid w:val="3DE25B6C"/>
    <w:rsid w:val="3DEC7285"/>
    <w:rsid w:val="3DF6345D"/>
    <w:rsid w:val="3E0755D2"/>
    <w:rsid w:val="3E173A67"/>
    <w:rsid w:val="3E2B4E2C"/>
    <w:rsid w:val="3E2B5515"/>
    <w:rsid w:val="3E2E0DB1"/>
    <w:rsid w:val="3E3642DC"/>
    <w:rsid w:val="3E4D4F28"/>
    <w:rsid w:val="3E9E7CE5"/>
    <w:rsid w:val="3EBF7C5B"/>
    <w:rsid w:val="3EE13701"/>
    <w:rsid w:val="3EF81910"/>
    <w:rsid w:val="3EFC00A8"/>
    <w:rsid w:val="3F19736B"/>
    <w:rsid w:val="3F1A4BB3"/>
    <w:rsid w:val="3F367F1D"/>
    <w:rsid w:val="3F392B0D"/>
    <w:rsid w:val="3F3B5533"/>
    <w:rsid w:val="3F713CF6"/>
    <w:rsid w:val="3F9B4224"/>
    <w:rsid w:val="3F9F3D14"/>
    <w:rsid w:val="400F0BC5"/>
    <w:rsid w:val="40192BA6"/>
    <w:rsid w:val="40250D1A"/>
    <w:rsid w:val="406E7B8B"/>
    <w:rsid w:val="407231D7"/>
    <w:rsid w:val="40963817"/>
    <w:rsid w:val="40970E8F"/>
    <w:rsid w:val="40AE7F87"/>
    <w:rsid w:val="40C14CB1"/>
    <w:rsid w:val="40C55867"/>
    <w:rsid w:val="40F94CA6"/>
    <w:rsid w:val="40FD375C"/>
    <w:rsid w:val="41126D92"/>
    <w:rsid w:val="41202A2F"/>
    <w:rsid w:val="414C3A28"/>
    <w:rsid w:val="4151103E"/>
    <w:rsid w:val="415D0879"/>
    <w:rsid w:val="41683F65"/>
    <w:rsid w:val="416B7C26"/>
    <w:rsid w:val="41766EA9"/>
    <w:rsid w:val="41782A6F"/>
    <w:rsid w:val="4198705A"/>
    <w:rsid w:val="419F57ED"/>
    <w:rsid w:val="41B4593E"/>
    <w:rsid w:val="41D41C6F"/>
    <w:rsid w:val="41E005E7"/>
    <w:rsid w:val="41EF130C"/>
    <w:rsid w:val="41F457BB"/>
    <w:rsid w:val="41F71364"/>
    <w:rsid w:val="41F7191C"/>
    <w:rsid w:val="420A46BA"/>
    <w:rsid w:val="421D3616"/>
    <w:rsid w:val="421F2EEA"/>
    <w:rsid w:val="423657AF"/>
    <w:rsid w:val="42550A18"/>
    <w:rsid w:val="425F4F0E"/>
    <w:rsid w:val="4260230D"/>
    <w:rsid w:val="429831F5"/>
    <w:rsid w:val="429D496A"/>
    <w:rsid w:val="42AE24C0"/>
    <w:rsid w:val="42DC0DDB"/>
    <w:rsid w:val="42E14644"/>
    <w:rsid w:val="42E66126"/>
    <w:rsid w:val="42F473A1"/>
    <w:rsid w:val="4348021A"/>
    <w:rsid w:val="436A4639"/>
    <w:rsid w:val="437C436D"/>
    <w:rsid w:val="43807EA4"/>
    <w:rsid w:val="43CE41BB"/>
    <w:rsid w:val="43E01237"/>
    <w:rsid w:val="43F16B09"/>
    <w:rsid w:val="4415455C"/>
    <w:rsid w:val="441E62C0"/>
    <w:rsid w:val="44621C79"/>
    <w:rsid w:val="44735770"/>
    <w:rsid w:val="44840F1C"/>
    <w:rsid w:val="448B0B50"/>
    <w:rsid w:val="448B0EBC"/>
    <w:rsid w:val="44946BAD"/>
    <w:rsid w:val="44A81645"/>
    <w:rsid w:val="44B02520"/>
    <w:rsid w:val="44BC0EC5"/>
    <w:rsid w:val="450862C5"/>
    <w:rsid w:val="45325D14"/>
    <w:rsid w:val="454F7F8B"/>
    <w:rsid w:val="45505AB1"/>
    <w:rsid w:val="45811C7C"/>
    <w:rsid w:val="4590066E"/>
    <w:rsid w:val="45906116"/>
    <w:rsid w:val="45A1630C"/>
    <w:rsid w:val="45B94BBD"/>
    <w:rsid w:val="45C5302A"/>
    <w:rsid w:val="45E306D3"/>
    <w:rsid w:val="45E628A4"/>
    <w:rsid w:val="45EB6C62"/>
    <w:rsid w:val="45ED50AE"/>
    <w:rsid w:val="45EF122E"/>
    <w:rsid w:val="45F4643C"/>
    <w:rsid w:val="45FB5A1D"/>
    <w:rsid w:val="461547E6"/>
    <w:rsid w:val="46171CA0"/>
    <w:rsid w:val="46276812"/>
    <w:rsid w:val="46467B26"/>
    <w:rsid w:val="464E0242"/>
    <w:rsid w:val="465014F2"/>
    <w:rsid w:val="46674440"/>
    <w:rsid w:val="467B45BC"/>
    <w:rsid w:val="46853E3A"/>
    <w:rsid w:val="468B3EFB"/>
    <w:rsid w:val="46A87EDE"/>
    <w:rsid w:val="46C202E8"/>
    <w:rsid w:val="46C329DE"/>
    <w:rsid w:val="46CE3131"/>
    <w:rsid w:val="46CF4B12"/>
    <w:rsid w:val="46EB6657"/>
    <w:rsid w:val="470A6193"/>
    <w:rsid w:val="471843AC"/>
    <w:rsid w:val="471B7293"/>
    <w:rsid w:val="47385210"/>
    <w:rsid w:val="476D64A6"/>
    <w:rsid w:val="47775577"/>
    <w:rsid w:val="477A6E15"/>
    <w:rsid w:val="47A45C40"/>
    <w:rsid w:val="47AC6F9E"/>
    <w:rsid w:val="47B820A6"/>
    <w:rsid w:val="47B9793D"/>
    <w:rsid w:val="47DC4F5C"/>
    <w:rsid w:val="47E81FD1"/>
    <w:rsid w:val="47F07120"/>
    <w:rsid w:val="48173FA1"/>
    <w:rsid w:val="482C3836"/>
    <w:rsid w:val="48345216"/>
    <w:rsid w:val="48355E30"/>
    <w:rsid w:val="485E2293"/>
    <w:rsid w:val="488241D3"/>
    <w:rsid w:val="48B40671"/>
    <w:rsid w:val="48B9571B"/>
    <w:rsid w:val="48C75102"/>
    <w:rsid w:val="48C87F95"/>
    <w:rsid w:val="48CE3E95"/>
    <w:rsid w:val="48E00EFA"/>
    <w:rsid w:val="48E90C88"/>
    <w:rsid w:val="48F47307"/>
    <w:rsid w:val="4909256D"/>
    <w:rsid w:val="49283121"/>
    <w:rsid w:val="49462AAC"/>
    <w:rsid w:val="49470F79"/>
    <w:rsid w:val="495F3470"/>
    <w:rsid w:val="496419EC"/>
    <w:rsid w:val="497E2BEC"/>
    <w:rsid w:val="498129F8"/>
    <w:rsid w:val="49973CAE"/>
    <w:rsid w:val="499B5738"/>
    <w:rsid w:val="499F244D"/>
    <w:rsid w:val="49B05835"/>
    <w:rsid w:val="49B83A21"/>
    <w:rsid w:val="49ED6F18"/>
    <w:rsid w:val="4A3414FD"/>
    <w:rsid w:val="4A413C1A"/>
    <w:rsid w:val="4A6718D3"/>
    <w:rsid w:val="4A814286"/>
    <w:rsid w:val="4A973F3F"/>
    <w:rsid w:val="4A9B6A47"/>
    <w:rsid w:val="4ABE46B5"/>
    <w:rsid w:val="4AF64D13"/>
    <w:rsid w:val="4AF96BC7"/>
    <w:rsid w:val="4B0E79EC"/>
    <w:rsid w:val="4B154060"/>
    <w:rsid w:val="4B2B2900"/>
    <w:rsid w:val="4B383B38"/>
    <w:rsid w:val="4B4439C2"/>
    <w:rsid w:val="4B5065BD"/>
    <w:rsid w:val="4B5A416B"/>
    <w:rsid w:val="4B7C13AE"/>
    <w:rsid w:val="4B862A85"/>
    <w:rsid w:val="4B8B60BF"/>
    <w:rsid w:val="4B92297F"/>
    <w:rsid w:val="4B932FE8"/>
    <w:rsid w:val="4BB63873"/>
    <w:rsid w:val="4BC32B39"/>
    <w:rsid w:val="4BC863A1"/>
    <w:rsid w:val="4BD27220"/>
    <w:rsid w:val="4BDE02E1"/>
    <w:rsid w:val="4C3C5197"/>
    <w:rsid w:val="4C4C6FD2"/>
    <w:rsid w:val="4CAE5A62"/>
    <w:rsid w:val="4CEF36E2"/>
    <w:rsid w:val="4CEF4DC5"/>
    <w:rsid w:val="4CF3569F"/>
    <w:rsid w:val="4D1F6494"/>
    <w:rsid w:val="4D2E0486"/>
    <w:rsid w:val="4D400E87"/>
    <w:rsid w:val="4D467EC5"/>
    <w:rsid w:val="4D587F17"/>
    <w:rsid w:val="4D5A571F"/>
    <w:rsid w:val="4D603EEF"/>
    <w:rsid w:val="4D77007F"/>
    <w:rsid w:val="4D797C22"/>
    <w:rsid w:val="4D7D140D"/>
    <w:rsid w:val="4D897DB2"/>
    <w:rsid w:val="4D924EB8"/>
    <w:rsid w:val="4DAB5C9B"/>
    <w:rsid w:val="4DE839AB"/>
    <w:rsid w:val="4E1A4EAE"/>
    <w:rsid w:val="4E257655"/>
    <w:rsid w:val="4E74512F"/>
    <w:rsid w:val="4E7C5AD8"/>
    <w:rsid w:val="4E812AB0"/>
    <w:rsid w:val="4E8E7871"/>
    <w:rsid w:val="4E942743"/>
    <w:rsid w:val="4EA05CA0"/>
    <w:rsid w:val="4EBB76B9"/>
    <w:rsid w:val="4ED23C67"/>
    <w:rsid w:val="4F184B72"/>
    <w:rsid w:val="4F30693B"/>
    <w:rsid w:val="4F372380"/>
    <w:rsid w:val="4F372FFB"/>
    <w:rsid w:val="4F555807"/>
    <w:rsid w:val="4F6C1681"/>
    <w:rsid w:val="4FB258B3"/>
    <w:rsid w:val="4FBF0DD1"/>
    <w:rsid w:val="4FF73E3F"/>
    <w:rsid w:val="4FFE6835"/>
    <w:rsid w:val="5025116D"/>
    <w:rsid w:val="505E411C"/>
    <w:rsid w:val="505F156F"/>
    <w:rsid w:val="50A12196"/>
    <w:rsid w:val="50A52C7D"/>
    <w:rsid w:val="50A53881"/>
    <w:rsid w:val="50B05D49"/>
    <w:rsid w:val="50CD6207"/>
    <w:rsid w:val="511B51C5"/>
    <w:rsid w:val="51204B84"/>
    <w:rsid w:val="51494F2C"/>
    <w:rsid w:val="51786DCC"/>
    <w:rsid w:val="517B5C63"/>
    <w:rsid w:val="51A23BB4"/>
    <w:rsid w:val="51B573C7"/>
    <w:rsid w:val="51C21AE4"/>
    <w:rsid w:val="51C50152"/>
    <w:rsid w:val="51EF32D0"/>
    <w:rsid w:val="51F85506"/>
    <w:rsid w:val="52132340"/>
    <w:rsid w:val="5218167A"/>
    <w:rsid w:val="521D4F6D"/>
    <w:rsid w:val="522462FB"/>
    <w:rsid w:val="52263E21"/>
    <w:rsid w:val="522B77E3"/>
    <w:rsid w:val="522D51B0"/>
    <w:rsid w:val="52395ECD"/>
    <w:rsid w:val="524845E8"/>
    <w:rsid w:val="52952D55"/>
    <w:rsid w:val="529A65BD"/>
    <w:rsid w:val="52C10D75"/>
    <w:rsid w:val="52E51339"/>
    <w:rsid w:val="52FE417C"/>
    <w:rsid w:val="531225F7"/>
    <w:rsid w:val="534978DC"/>
    <w:rsid w:val="53682217"/>
    <w:rsid w:val="53746E0E"/>
    <w:rsid w:val="53857FAC"/>
    <w:rsid w:val="539C5AB5"/>
    <w:rsid w:val="53A50449"/>
    <w:rsid w:val="53B07848"/>
    <w:rsid w:val="53C27FF8"/>
    <w:rsid w:val="540155E3"/>
    <w:rsid w:val="54041F40"/>
    <w:rsid w:val="54581D8E"/>
    <w:rsid w:val="5461562E"/>
    <w:rsid w:val="54693280"/>
    <w:rsid w:val="5486504B"/>
    <w:rsid w:val="548C50E7"/>
    <w:rsid w:val="548D1A29"/>
    <w:rsid w:val="549E1A80"/>
    <w:rsid w:val="54C658F4"/>
    <w:rsid w:val="54D45DB6"/>
    <w:rsid w:val="55083CB2"/>
    <w:rsid w:val="550C4BD7"/>
    <w:rsid w:val="554C1D56"/>
    <w:rsid w:val="55572986"/>
    <w:rsid w:val="5563713A"/>
    <w:rsid w:val="556752C9"/>
    <w:rsid w:val="55766E6E"/>
    <w:rsid w:val="55C062DD"/>
    <w:rsid w:val="55D8772E"/>
    <w:rsid w:val="56152E93"/>
    <w:rsid w:val="56350AD7"/>
    <w:rsid w:val="56372A02"/>
    <w:rsid w:val="563D3E2F"/>
    <w:rsid w:val="5647080A"/>
    <w:rsid w:val="565340FA"/>
    <w:rsid w:val="566E3FE9"/>
    <w:rsid w:val="567C04B4"/>
    <w:rsid w:val="56CA56C3"/>
    <w:rsid w:val="56F02C50"/>
    <w:rsid w:val="56F269C8"/>
    <w:rsid w:val="5723343E"/>
    <w:rsid w:val="572F3778"/>
    <w:rsid w:val="573D7EAB"/>
    <w:rsid w:val="574E64D0"/>
    <w:rsid w:val="575B7CD1"/>
    <w:rsid w:val="577218B7"/>
    <w:rsid w:val="57B17A20"/>
    <w:rsid w:val="57B2406C"/>
    <w:rsid w:val="57BB500C"/>
    <w:rsid w:val="57C83620"/>
    <w:rsid w:val="57D918BF"/>
    <w:rsid w:val="57DA57DF"/>
    <w:rsid w:val="57DD4F82"/>
    <w:rsid w:val="57E91B79"/>
    <w:rsid w:val="57EE3633"/>
    <w:rsid w:val="57EE6B55"/>
    <w:rsid w:val="5800136A"/>
    <w:rsid w:val="58002EF8"/>
    <w:rsid w:val="58354DBE"/>
    <w:rsid w:val="58581538"/>
    <w:rsid w:val="58762C3C"/>
    <w:rsid w:val="589917F1"/>
    <w:rsid w:val="58A27F7A"/>
    <w:rsid w:val="58A30D3A"/>
    <w:rsid w:val="58D61EDF"/>
    <w:rsid w:val="58D90A73"/>
    <w:rsid w:val="590F3861"/>
    <w:rsid w:val="595B0854"/>
    <w:rsid w:val="59725B9E"/>
    <w:rsid w:val="59771406"/>
    <w:rsid w:val="59A541C5"/>
    <w:rsid w:val="59A55F73"/>
    <w:rsid w:val="59C0257D"/>
    <w:rsid w:val="59D316E3"/>
    <w:rsid w:val="59D32C97"/>
    <w:rsid w:val="59E95259"/>
    <w:rsid w:val="59F47263"/>
    <w:rsid w:val="5A0E1D6B"/>
    <w:rsid w:val="5A2F2CC8"/>
    <w:rsid w:val="5A3317D1"/>
    <w:rsid w:val="5A783688"/>
    <w:rsid w:val="5AA61FA3"/>
    <w:rsid w:val="5AB55AF2"/>
    <w:rsid w:val="5ABA5A4E"/>
    <w:rsid w:val="5AE005F4"/>
    <w:rsid w:val="5AE64A95"/>
    <w:rsid w:val="5AE7175F"/>
    <w:rsid w:val="5B0329EC"/>
    <w:rsid w:val="5B351B81"/>
    <w:rsid w:val="5B691D0C"/>
    <w:rsid w:val="5B6C2364"/>
    <w:rsid w:val="5B8816A9"/>
    <w:rsid w:val="5B8F2A37"/>
    <w:rsid w:val="5BA26962"/>
    <w:rsid w:val="5BC14BBB"/>
    <w:rsid w:val="5BEC1C38"/>
    <w:rsid w:val="5C045D7F"/>
    <w:rsid w:val="5C10702D"/>
    <w:rsid w:val="5C152601"/>
    <w:rsid w:val="5C45759A"/>
    <w:rsid w:val="5C4F591D"/>
    <w:rsid w:val="5C5617A7"/>
    <w:rsid w:val="5C591F03"/>
    <w:rsid w:val="5C5B500F"/>
    <w:rsid w:val="5C5D0D87"/>
    <w:rsid w:val="5C82259C"/>
    <w:rsid w:val="5C8A1B2F"/>
    <w:rsid w:val="5CAC586B"/>
    <w:rsid w:val="5CC91F79"/>
    <w:rsid w:val="5D0B21F3"/>
    <w:rsid w:val="5D610403"/>
    <w:rsid w:val="5D6879E4"/>
    <w:rsid w:val="5D7146BE"/>
    <w:rsid w:val="5D7E39BE"/>
    <w:rsid w:val="5D8232CA"/>
    <w:rsid w:val="5D902A97"/>
    <w:rsid w:val="5D914004"/>
    <w:rsid w:val="5D961A50"/>
    <w:rsid w:val="5D982E7B"/>
    <w:rsid w:val="5DA0717E"/>
    <w:rsid w:val="5DAA3B58"/>
    <w:rsid w:val="5DAE61D8"/>
    <w:rsid w:val="5DBC7D30"/>
    <w:rsid w:val="5DC15BFF"/>
    <w:rsid w:val="5DF66D9E"/>
    <w:rsid w:val="5E052405"/>
    <w:rsid w:val="5E1B4334"/>
    <w:rsid w:val="5E341674"/>
    <w:rsid w:val="5E44774B"/>
    <w:rsid w:val="5E4A2CEB"/>
    <w:rsid w:val="5E7D6499"/>
    <w:rsid w:val="5E857496"/>
    <w:rsid w:val="5EA426FE"/>
    <w:rsid w:val="5EAD3A6B"/>
    <w:rsid w:val="5EAE7F8C"/>
    <w:rsid w:val="5EC61DC6"/>
    <w:rsid w:val="5ED54ECF"/>
    <w:rsid w:val="5EF7640B"/>
    <w:rsid w:val="5F074FDA"/>
    <w:rsid w:val="5F0E0117"/>
    <w:rsid w:val="5F1C2834"/>
    <w:rsid w:val="5F351B48"/>
    <w:rsid w:val="5F3C4C84"/>
    <w:rsid w:val="5F4B4EC7"/>
    <w:rsid w:val="5F561B72"/>
    <w:rsid w:val="5F5A15AE"/>
    <w:rsid w:val="5F662A1E"/>
    <w:rsid w:val="5F6D7533"/>
    <w:rsid w:val="5F7206A6"/>
    <w:rsid w:val="5F773F0E"/>
    <w:rsid w:val="5F8E562C"/>
    <w:rsid w:val="5F995FBF"/>
    <w:rsid w:val="5FAB1E0A"/>
    <w:rsid w:val="5FE137DD"/>
    <w:rsid w:val="5FEB434F"/>
    <w:rsid w:val="5FF61782"/>
    <w:rsid w:val="5FFE018B"/>
    <w:rsid w:val="601A109F"/>
    <w:rsid w:val="602D0A71"/>
    <w:rsid w:val="604C5C06"/>
    <w:rsid w:val="60591C05"/>
    <w:rsid w:val="606007BB"/>
    <w:rsid w:val="6068709D"/>
    <w:rsid w:val="60687CFB"/>
    <w:rsid w:val="60874F01"/>
    <w:rsid w:val="60983F8C"/>
    <w:rsid w:val="60A61275"/>
    <w:rsid w:val="60AC7F66"/>
    <w:rsid w:val="60B30F76"/>
    <w:rsid w:val="60BF234B"/>
    <w:rsid w:val="610619ED"/>
    <w:rsid w:val="61092DFE"/>
    <w:rsid w:val="610D059B"/>
    <w:rsid w:val="6118527D"/>
    <w:rsid w:val="611F2AAF"/>
    <w:rsid w:val="6128395A"/>
    <w:rsid w:val="614263CB"/>
    <w:rsid w:val="61627658"/>
    <w:rsid w:val="616C45AA"/>
    <w:rsid w:val="616D753E"/>
    <w:rsid w:val="617043E8"/>
    <w:rsid w:val="618337CB"/>
    <w:rsid w:val="61BF10D9"/>
    <w:rsid w:val="61DA3D4C"/>
    <w:rsid w:val="61E74801"/>
    <w:rsid w:val="620A21ED"/>
    <w:rsid w:val="62165C60"/>
    <w:rsid w:val="621974FF"/>
    <w:rsid w:val="62227388"/>
    <w:rsid w:val="623D09FA"/>
    <w:rsid w:val="623F74CB"/>
    <w:rsid w:val="62402CDD"/>
    <w:rsid w:val="625D119F"/>
    <w:rsid w:val="62635B83"/>
    <w:rsid w:val="62AC22DC"/>
    <w:rsid w:val="62AF0BA0"/>
    <w:rsid w:val="62B11030"/>
    <w:rsid w:val="62D942AA"/>
    <w:rsid w:val="62EC16C5"/>
    <w:rsid w:val="62EC69C1"/>
    <w:rsid w:val="62F53B9C"/>
    <w:rsid w:val="630006BE"/>
    <w:rsid w:val="63043D0B"/>
    <w:rsid w:val="630A5099"/>
    <w:rsid w:val="63482606"/>
    <w:rsid w:val="63721D0E"/>
    <w:rsid w:val="637569B7"/>
    <w:rsid w:val="637833E8"/>
    <w:rsid w:val="6384309D"/>
    <w:rsid w:val="63860BC4"/>
    <w:rsid w:val="63AA4AF1"/>
    <w:rsid w:val="63C55B81"/>
    <w:rsid w:val="63F14499"/>
    <w:rsid w:val="63F363D3"/>
    <w:rsid w:val="63FF1202"/>
    <w:rsid w:val="64137F7D"/>
    <w:rsid w:val="64192517"/>
    <w:rsid w:val="64372562"/>
    <w:rsid w:val="64462101"/>
    <w:rsid w:val="645E569D"/>
    <w:rsid w:val="646C79E0"/>
    <w:rsid w:val="649317EA"/>
    <w:rsid w:val="64A75B7C"/>
    <w:rsid w:val="64B81251"/>
    <w:rsid w:val="64C25C2B"/>
    <w:rsid w:val="64C33752"/>
    <w:rsid w:val="64E33DF4"/>
    <w:rsid w:val="64E45EF7"/>
    <w:rsid w:val="651746CD"/>
    <w:rsid w:val="65222B6E"/>
    <w:rsid w:val="652D7C77"/>
    <w:rsid w:val="65562818"/>
    <w:rsid w:val="656C3DE9"/>
    <w:rsid w:val="656E2699"/>
    <w:rsid w:val="657D4B0B"/>
    <w:rsid w:val="65815417"/>
    <w:rsid w:val="658C21FD"/>
    <w:rsid w:val="65975D1F"/>
    <w:rsid w:val="65BF03BD"/>
    <w:rsid w:val="65C9251A"/>
    <w:rsid w:val="65CD0D2C"/>
    <w:rsid w:val="65D521FE"/>
    <w:rsid w:val="65FE0EE5"/>
    <w:rsid w:val="65FE1C7D"/>
    <w:rsid w:val="66143608"/>
    <w:rsid w:val="66204350"/>
    <w:rsid w:val="662B7800"/>
    <w:rsid w:val="6634690B"/>
    <w:rsid w:val="66811B16"/>
    <w:rsid w:val="66815672"/>
    <w:rsid w:val="6688644D"/>
    <w:rsid w:val="6691014E"/>
    <w:rsid w:val="6695125A"/>
    <w:rsid w:val="66C87CCE"/>
    <w:rsid w:val="66E520A5"/>
    <w:rsid w:val="66E677D5"/>
    <w:rsid w:val="66EB7D79"/>
    <w:rsid w:val="67065B78"/>
    <w:rsid w:val="670A72F2"/>
    <w:rsid w:val="671F0C75"/>
    <w:rsid w:val="673821D5"/>
    <w:rsid w:val="673B1CC5"/>
    <w:rsid w:val="67695A94"/>
    <w:rsid w:val="677435B2"/>
    <w:rsid w:val="6783527B"/>
    <w:rsid w:val="67B922EB"/>
    <w:rsid w:val="67CA4DF7"/>
    <w:rsid w:val="67E6633A"/>
    <w:rsid w:val="67E67E83"/>
    <w:rsid w:val="67E77458"/>
    <w:rsid w:val="67EF75F1"/>
    <w:rsid w:val="68156D2F"/>
    <w:rsid w:val="681F15E7"/>
    <w:rsid w:val="68275505"/>
    <w:rsid w:val="683F70D7"/>
    <w:rsid w:val="68442740"/>
    <w:rsid w:val="68545EAA"/>
    <w:rsid w:val="687A681D"/>
    <w:rsid w:val="68850A6D"/>
    <w:rsid w:val="689C49E5"/>
    <w:rsid w:val="68A07B40"/>
    <w:rsid w:val="68A13DAA"/>
    <w:rsid w:val="68A22F22"/>
    <w:rsid w:val="68A62B6C"/>
    <w:rsid w:val="68BA4E6C"/>
    <w:rsid w:val="68C64184"/>
    <w:rsid w:val="68C744DA"/>
    <w:rsid w:val="68D771CE"/>
    <w:rsid w:val="68EA39A3"/>
    <w:rsid w:val="68F56BC8"/>
    <w:rsid w:val="69124F16"/>
    <w:rsid w:val="69342E70"/>
    <w:rsid w:val="694A5205"/>
    <w:rsid w:val="69635503"/>
    <w:rsid w:val="697427A6"/>
    <w:rsid w:val="69B008D6"/>
    <w:rsid w:val="69B2636C"/>
    <w:rsid w:val="69B51695"/>
    <w:rsid w:val="69BD689D"/>
    <w:rsid w:val="69CA2576"/>
    <w:rsid w:val="69CD5C14"/>
    <w:rsid w:val="69CF0D33"/>
    <w:rsid w:val="69D53908"/>
    <w:rsid w:val="69DD5D05"/>
    <w:rsid w:val="69E2467A"/>
    <w:rsid w:val="69EE1271"/>
    <w:rsid w:val="69EF33C0"/>
    <w:rsid w:val="69FA7C16"/>
    <w:rsid w:val="69FE68B1"/>
    <w:rsid w:val="6A3274DB"/>
    <w:rsid w:val="6A711A96"/>
    <w:rsid w:val="6A793230"/>
    <w:rsid w:val="6A81393E"/>
    <w:rsid w:val="6A8A6BF9"/>
    <w:rsid w:val="6A8B6AC0"/>
    <w:rsid w:val="6A946ADE"/>
    <w:rsid w:val="6ABA2A1A"/>
    <w:rsid w:val="6AC4619B"/>
    <w:rsid w:val="6B2F1B41"/>
    <w:rsid w:val="6B4C329D"/>
    <w:rsid w:val="6B5808D3"/>
    <w:rsid w:val="6B5B46E4"/>
    <w:rsid w:val="6B5F1CFB"/>
    <w:rsid w:val="6B765E58"/>
    <w:rsid w:val="6B8C0D41"/>
    <w:rsid w:val="6B930322"/>
    <w:rsid w:val="6B9876E6"/>
    <w:rsid w:val="6B9946B3"/>
    <w:rsid w:val="6BB32772"/>
    <w:rsid w:val="6BB40298"/>
    <w:rsid w:val="6BBC456E"/>
    <w:rsid w:val="6BD3071E"/>
    <w:rsid w:val="6BD558D2"/>
    <w:rsid w:val="6BDF70C3"/>
    <w:rsid w:val="6BF568E6"/>
    <w:rsid w:val="6C0728F1"/>
    <w:rsid w:val="6C27626F"/>
    <w:rsid w:val="6C283B3C"/>
    <w:rsid w:val="6C5279F0"/>
    <w:rsid w:val="6C662189"/>
    <w:rsid w:val="6C7007C7"/>
    <w:rsid w:val="6C7E5884"/>
    <w:rsid w:val="6C830B16"/>
    <w:rsid w:val="6C9D74E4"/>
    <w:rsid w:val="6C9F4AA4"/>
    <w:rsid w:val="6CA702FF"/>
    <w:rsid w:val="6CB5251A"/>
    <w:rsid w:val="6CB542C8"/>
    <w:rsid w:val="6CBA18DE"/>
    <w:rsid w:val="6CDE737B"/>
    <w:rsid w:val="6D322934"/>
    <w:rsid w:val="6D4F0278"/>
    <w:rsid w:val="6D7970A3"/>
    <w:rsid w:val="6D88378A"/>
    <w:rsid w:val="6D893D5F"/>
    <w:rsid w:val="6DA71E62"/>
    <w:rsid w:val="6DBD3A9A"/>
    <w:rsid w:val="6DDE1D22"/>
    <w:rsid w:val="6DDE33AA"/>
    <w:rsid w:val="6DE76850"/>
    <w:rsid w:val="6E0C43BB"/>
    <w:rsid w:val="6E0E32D9"/>
    <w:rsid w:val="6E217B91"/>
    <w:rsid w:val="6E3556C0"/>
    <w:rsid w:val="6E3631E6"/>
    <w:rsid w:val="6E58315D"/>
    <w:rsid w:val="6E6C4368"/>
    <w:rsid w:val="6E9248C1"/>
    <w:rsid w:val="6E935AD6"/>
    <w:rsid w:val="6E970129"/>
    <w:rsid w:val="6EAB14DE"/>
    <w:rsid w:val="6EAC36D2"/>
    <w:rsid w:val="6EC24A7A"/>
    <w:rsid w:val="6EDD2DC6"/>
    <w:rsid w:val="6EF32018"/>
    <w:rsid w:val="6EFC7F8C"/>
    <w:rsid w:val="6F1F1ECC"/>
    <w:rsid w:val="6F231B39"/>
    <w:rsid w:val="6F2806FC"/>
    <w:rsid w:val="6F59004E"/>
    <w:rsid w:val="6F975F07"/>
    <w:rsid w:val="6FA431BE"/>
    <w:rsid w:val="6FB20BD4"/>
    <w:rsid w:val="6FB32532"/>
    <w:rsid w:val="6FB650F7"/>
    <w:rsid w:val="6FBA59BE"/>
    <w:rsid w:val="6FC55E04"/>
    <w:rsid w:val="6FCF744E"/>
    <w:rsid w:val="700C2451"/>
    <w:rsid w:val="7019409A"/>
    <w:rsid w:val="701C2C4F"/>
    <w:rsid w:val="70296B3E"/>
    <w:rsid w:val="702F7EED"/>
    <w:rsid w:val="70611204"/>
    <w:rsid w:val="706C1141"/>
    <w:rsid w:val="70C046B1"/>
    <w:rsid w:val="70D56CE6"/>
    <w:rsid w:val="70E50557"/>
    <w:rsid w:val="710366B1"/>
    <w:rsid w:val="71092E34"/>
    <w:rsid w:val="711F5874"/>
    <w:rsid w:val="71324692"/>
    <w:rsid w:val="71347B72"/>
    <w:rsid w:val="713E360F"/>
    <w:rsid w:val="714876D3"/>
    <w:rsid w:val="714F0151"/>
    <w:rsid w:val="71680F8E"/>
    <w:rsid w:val="71B97C16"/>
    <w:rsid w:val="71FE04BF"/>
    <w:rsid w:val="72236650"/>
    <w:rsid w:val="723F34C0"/>
    <w:rsid w:val="7241583B"/>
    <w:rsid w:val="724E6D50"/>
    <w:rsid w:val="72690811"/>
    <w:rsid w:val="729268C0"/>
    <w:rsid w:val="729606F7"/>
    <w:rsid w:val="729C74BA"/>
    <w:rsid w:val="72D06194"/>
    <w:rsid w:val="72D10413"/>
    <w:rsid w:val="72DB435C"/>
    <w:rsid w:val="72E33859"/>
    <w:rsid w:val="72E651DB"/>
    <w:rsid w:val="72F5336E"/>
    <w:rsid w:val="73046B32"/>
    <w:rsid w:val="73163CCB"/>
    <w:rsid w:val="73180714"/>
    <w:rsid w:val="734010B4"/>
    <w:rsid w:val="73445350"/>
    <w:rsid w:val="737C1A64"/>
    <w:rsid w:val="737C4E8A"/>
    <w:rsid w:val="73966C01"/>
    <w:rsid w:val="739A5FC5"/>
    <w:rsid w:val="73AB1806"/>
    <w:rsid w:val="73C848E1"/>
    <w:rsid w:val="73D529F8"/>
    <w:rsid w:val="73E31DC4"/>
    <w:rsid w:val="74100EAA"/>
    <w:rsid w:val="74273CFD"/>
    <w:rsid w:val="74534AF2"/>
    <w:rsid w:val="746B05AE"/>
    <w:rsid w:val="74794305"/>
    <w:rsid w:val="747D1E13"/>
    <w:rsid w:val="74903946"/>
    <w:rsid w:val="749173C8"/>
    <w:rsid w:val="74BF0599"/>
    <w:rsid w:val="74C94DB4"/>
    <w:rsid w:val="74DA266E"/>
    <w:rsid w:val="74FA2C30"/>
    <w:rsid w:val="75025B26"/>
    <w:rsid w:val="7533222E"/>
    <w:rsid w:val="753F6E24"/>
    <w:rsid w:val="754D5C4B"/>
    <w:rsid w:val="755E004F"/>
    <w:rsid w:val="7592164A"/>
    <w:rsid w:val="759279C7"/>
    <w:rsid w:val="75A32909"/>
    <w:rsid w:val="75B570E6"/>
    <w:rsid w:val="75E965F1"/>
    <w:rsid w:val="76446CDE"/>
    <w:rsid w:val="766F4367"/>
    <w:rsid w:val="76766876"/>
    <w:rsid w:val="76C240A7"/>
    <w:rsid w:val="76F65C09"/>
    <w:rsid w:val="770E2215"/>
    <w:rsid w:val="775246B7"/>
    <w:rsid w:val="77C80083"/>
    <w:rsid w:val="77CC3857"/>
    <w:rsid w:val="77FF289B"/>
    <w:rsid w:val="780D320A"/>
    <w:rsid w:val="781274B4"/>
    <w:rsid w:val="78153E6C"/>
    <w:rsid w:val="781E69D1"/>
    <w:rsid w:val="78210A63"/>
    <w:rsid w:val="784B7A9D"/>
    <w:rsid w:val="785E1CB7"/>
    <w:rsid w:val="786F33C6"/>
    <w:rsid w:val="787B4617"/>
    <w:rsid w:val="787B63C5"/>
    <w:rsid w:val="78A53442"/>
    <w:rsid w:val="78B064B0"/>
    <w:rsid w:val="78B10039"/>
    <w:rsid w:val="79116D2A"/>
    <w:rsid w:val="79134850"/>
    <w:rsid w:val="792C3B64"/>
    <w:rsid w:val="79346574"/>
    <w:rsid w:val="79410091"/>
    <w:rsid w:val="796977C7"/>
    <w:rsid w:val="797038BC"/>
    <w:rsid w:val="797259EB"/>
    <w:rsid w:val="798A0AC8"/>
    <w:rsid w:val="79A731EA"/>
    <w:rsid w:val="79CB3C80"/>
    <w:rsid w:val="7A1B7E60"/>
    <w:rsid w:val="7A263B6B"/>
    <w:rsid w:val="7A5E1AFB"/>
    <w:rsid w:val="7A68362D"/>
    <w:rsid w:val="7A772BBC"/>
    <w:rsid w:val="7A807CC3"/>
    <w:rsid w:val="7A831364"/>
    <w:rsid w:val="7AAB2866"/>
    <w:rsid w:val="7AD33A6E"/>
    <w:rsid w:val="7AEC3437"/>
    <w:rsid w:val="7AF46346"/>
    <w:rsid w:val="7B0F5EBF"/>
    <w:rsid w:val="7B130FB9"/>
    <w:rsid w:val="7B6B0973"/>
    <w:rsid w:val="7B6C0AD3"/>
    <w:rsid w:val="7B7D1600"/>
    <w:rsid w:val="7B7F61CD"/>
    <w:rsid w:val="7B872A40"/>
    <w:rsid w:val="7B887FF8"/>
    <w:rsid w:val="7BA97C45"/>
    <w:rsid w:val="7BB8348D"/>
    <w:rsid w:val="7BC704F2"/>
    <w:rsid w:val="7BE040CE"/>
    <w:rsid w:val="7BF64EDE"/>
    <w:rsid w:val="7C040879"/>
    <w:rsid w:val="7C041228"/>
    <w:rsid w:val="7C1D3F89"/>
    <w:rsid w:val="7C400C1E"/>
    <w:rsid w:val="7C442F72"/>
    <w:rsid w:val="7C510CBF"/>
    <w:rsid w:val="7C596A1E"/>
    <w:rsid w:val="7C747562"/>
    <w:rsid w:val="7C7D1C97"/>
    <w:rsid w:val="7C807910"/>
    <w:rsid w:val="7C9D7170"/>
    <w:rsid w:val="7C9E6B26"/>
    <w:rsid w:val="7CA83501"/>
    <w:rsid w:val="7CB11F5A"/>
    <w:rsid w:val="7CC04CEF"/>
    <w:rsid w:val="7CC612E0"/>
    <w:rsid w:val="7CE00EED"/>
    <w:rsid w:val="7CEA5DDC"/>
    <w:rsid w:val="7CEF1130"/>
    <w:rsid w:val="7D4B47F7"/>
    <w:rsid w:val="7D53753B"/>
    <w:rsid w:val="7D983576"/>
    <w:rsid w:val="7DC44142"/>
    <w:rsid w:val="7DD11708"/>
    <w:rsid w:val="7DD33150"/>
    <w:rsid w:val="7DE7564A"/>
    <w:rsid w:val="7DE84A53"/>
    <w:rsid w:val="7DFF53A3"/>
    <w:rsid w:val="7E1B502A"/>
    <w:rsid w:val="7E226F1F"/>
    <w:rsid w:val="7E597F4E"/>
    <w:rsid w:val="7E7062A0"/>
    <w:rsid w:val="7E7318ED"/>
    <w:rsid w:val="7EA30424"/>
    <w:rsid w:val="7EA321D2"/>
    <w:rsid w:val="7EBD579E"/>
    <w:rsid w:val="7EC167BD"/>
    <w:rsid w:val="7EEB3B79"/>
    <w:rsid w:val="7EF40C80"/>
    <w:rsid w:val="7F005876"/>
    <w:rsid w:val="7F1A66A7"/>
    <w:rsid w:val="7F272D9E"/>
    <w:rsid w:val="7F2D43E8"/>
    <w:rsid w:val="7F39472E"/>
    <w:rsid w:val="7F4E3F5B"/>
    <w:rsid w:val="7F520E85"/>
    <w:rsid w:val="7F5923A2"/>
    <w:rsid w:val="7F673200"/>
    <w:rsid w:val="7F800765"/>
    <w:rsid w:val="7F967F89"/>
    <w:rsid w:val="7F9D6DFF"/>
    <w:rsid w:val="7FB504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4"/>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8"/>
    <w:link w:val="90"/>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sz w:val="24"/>
    </w:rPr>
  </w:style>
  <w:style w:type="paragraph" w:styleId="10">
    <w:name w:val="heading 8"/>
    <w:basedOn w:val="1"/>
    <w:next w:val="1"/>
    <w:link w:val="91"/>
    <w:qFormat/>
    <w:uiPriority w:val="9"/>
    <w:pPr>
      <w:keepNext/>
      <w:keepLines/>
      <w:spacing w:before="240" w:after="64" w:line="320" w:lineRule="auto"/>
      <w:outlineLvl w:val="7"/>
    </w:pPr>
    <w:rPr>
      <w:rFonts w:ascii="等线 Light" w:hAnsi="等线 Light" w:eastAsia="等线 Light"/>
      <w:sz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94"/>
    <w:unhideWhenUsed/>
    <w:qFormat/>
    <w:uiPriority w:val="0"/>
    <w:pPr>
      <w:spacing w:after="120"/>
    </w:pPr>
  </w:style>
  <w:style w:type="paragraph" w:styleId="8">
    <w:name w:val="Normal Indent"/>
    <w:basedOn w:val="1"/>
    <w:qFormat/>
    <w:uiPriority w:val="0"/>
    <w:pPr>
      <w:ind w:firstLine="420"/>
    </w:pPr>
    <w:rPr>
      <w:szCs w:val="20"/>
    </w:r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annotation text"/>
    <w:basedOn w:val="1"/>
    <w:link w:val="92"/>
    <w:qFormat/>
    <w:uiPriority w:val="0"/>
    <w:pPr>
      <w:jc w:val="left"/>
    </w:pPr>
  </w:style>
  <w:style w:type="paragraph" w:styleId="15">
    <w:name w:val="Body Text 3"/>
    <w:basedOn w:val="1"/>
    <w:link w:val="93"/>
    <w:unhideWhenUsed/>
    <w:qFormat/>
    <w:uiPriority w:val="99"/>
    <w:pPr>
      <w:spacing w:after="120"/>
    </w:pPr>
    <w:rPr>
      <w:sz w:val="16"/>
      <w:szCs w:val="16"/>
    </w:rPr>
  </w:style>
  <w:style w:type="paragraph" w:styleId="16">
    <w:name w:val="Body Text Indent"/>
    <w:basedOn w:val="1"/>
    <w:next w:val="17"/>
    <w:link w:val="95"/>
    <w:qFormat/>
    <w:uiPriority w:val="0"/>
    <w:pPr>
      <w:ind w:firstLine="830" w:firstLineChars="352"/>
    </w:pPr>
    <w:rPr>
      <w:rFonts w:ascii="仿宋_GB2312" w:eastAsia="仿宋_GB2312"/>
      <w:kern w:val="0"/>
      <w:sz w:val="32"/>
      <w:szCs w:val="20"/>
    </w:rPr>
  </w:style>
  <w:style w:type="paragraph" w:styleId="17">
    <w:name w:val="envelope return"/>
    <w:basedOn w:val="1"/>
    <w:qFormat/>
    <w:uiPriority w:val="0"/>
    <w:pPr>
      <w:snapToGrid w:val="0"/>
    </w:pPr>
    <w:rPr>
      <w:rFonts w:ascii="Arial" w:hAnsi="Arial"/>
    </w:rPr>
  </w:style>
  <w:style w:type="paragraph" w:styleId="18">
    <w:name w:val="List 2"/>
    <w:basedOn w:val="1"/>
    <w:unhideWhenUsed/>
    <w:qFormat/>
    <w:uiPriority w:val="99"/>
    <w:pPr>
      <w:ind w:left="100" w:leftChars="200" w:hanging="200" w:hangingChars="200"/>
      <w:contextualSpacing/>
    </w:p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toc 3"/>
    <w:basedOn w:val="1"/>
    <w:next w:val="1"/>
    <w:unhideWhenUsed/>
    <w:qFormat/>
    <w:uiPriority w:val="39"/>
    <w:pPr>
      <w:ind w:left="840" w:leftChars="400"/>
    </w:pPr>
  </w:style>
  <w:style w:type="paragraph" w:styleId="21">
    <w:name w:val="Plain Text"/>
    <w:basedOn w:val="1"/>
    <w:next w:val="12"/>
    <w:link w:val="79"/>
    <w:qFormat/>
    <w:uiPriority w:val="0"/>
    <w:rPr>
      <w:rFonts w:ascii="宋体" w:hAnsi="Courier New"/>
      <w:kern w:val="0"/>
      <w:sz w:val="20"/>
      <w:szCs w:val="21"/>
    </w:rPr>
  </w:style>
  <w:style w:type="paragraph" w:styleId="22">
    <w:name w:val="Date"/>
    <w:basedOn w:val="1"/>
    <w:next w:val="1"/>
    <w:link w:val="81"/>
    <w:unhideWhenUsed/>
    <w:qFormat/>
    <w:uiPriority w:val="99"/>
    <w:pPr>
      <w:ind w:left="100" w:leftChars="2500"/>
    </w:pPr>
  </w:style>
  <w:style w:type="paragraph" w:styleId="23">
    <w:name w:val="Balloon Text"/>
    <w:basedOn w:val="1"/>
    <w:link w:val="97"/>
    <w:semiHidden/>
    <w:qFormat/>
    <w:uiPriority w:val="0"/>
    <w:rPr>
      <w:sz w:val="18"/>
      <w:szCs w:val="18"/>
    </w:rPr>
  </w:style>
  <w:style w:type="paragraph" w:styleId="24">
    <w:name w:val="footer"/>
    <w:basedOn w:val="1"/>
    <w:link w:val="99"/>
    <w:unhideWhenUsed/>
    <w:qFormat/>
    <w:uiPriority w:val="99"/>
    <w:pPr>
      <w:tabs>
        <w:tab w:val="center" w:pos="4153"/>
        <w:tab w:val="right" w:pos="8306"/>
      </w:tabs>
      <w:snapToGrid w:val="0"/>
      <w:jc w:val="left"/>
    </w:pPr>
    <w:rPr>
      <w:kern w:val="0"/>
      <w:sz w:val="18"/>
      <w:szCs w:val="18"/>
    </w:rPr>
  </w:style>
  <w:style w:type="paragraph" w:styleId="25">
    <w:name w:val="header"/>
    <w:basedOn w:val="1"/>
    <w:link w:val="6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Subtitle"/>
    <w:basedOn w:val="1"/>
    <w:next w:val="1"/>
    <w:link w:val="101"/>
    <w:qFormat/>
    <w:uiPriority w:val="0"/>
    <w:pPr>
      <w:spacing w:before="240" w:after="60" w:line="312" w:lineRule="auto"/>
      <w:jc w:val="center"/>
      <w:outlineLvl w:val="1"/>
    </w:pPr>
    <w:rPr>
      <w:rFonts w:ascii="Cambria" w:hAnsi="Cambria"/>
      <w:b/>
      <w:bCs/>
      <w:kern w:val="28"/>
      <w:sz w:val="32"/>
      <w:szCs w:val="32"/>
    </w:rPr>
  </w:style>
  <w:style w:type="paragraph" w:styleId="28">
    <w:name w:val="List"/>
    <w:basedOn w:val="1"/>
    <w:unhideWhenUsed/>
    <w:qFormat/>
    <w:uiPriority w:val="99"/>
    <w:pPr>
      <w:ind w:left="200" w:hanging="200" w:hangingChars="200"/>
      <w:contextualSpacing/>
    </w:pPr>
  </w:style>
  <w:style w:type="paragraph" w:styleId="29">
    <w:name w:val="Body Text Indent 3"/>
    <w:basedOn w:val="1"/>
    <w:link w:val="102"/>
    <w:unhideWhenUsed/>
    <w:qFormat/>
    <w:uiPriority w:val="0"/>
    <w:pPr>
      <w:spacing w:after="120"/>
      <w:ind w:left="420" w:leftChars="200"/>
    </w:pPr>
    <w:rPr>
      <w:sz w:val="16"/>
      <w:szCs w:val="16"/>
    </w:rPr>
  </w:style>
  <w:style w:type="paragraph" w:styleId="30">
    <w:name w:val="toc 2"/>
    <w:basedOn w:val="1"/>
    <w:next w:val="1"/>
    <w:unhideWhenUsed/>
    <w:qFormat/>
    <w:uiPriority w:val="39"/>
    <w:pPr>
      <w:tabs>
        <w:tab w:val="right" w:leader="dot" w:pos="8296"/>
      </w:tabs>
      <w:ind w:left="420" w:leftChars="200"/>
    </w:pPr>
  </w:style>
  <w:style w:type="paragraph" w:styleId="31">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2">
    <w:name w:val="Title"/>
    <w:basedOn w:val="1"/>
    <w:next w:val="1"/>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33">
    <w:name w:val="annotation subject"/>
    <w:basedOn w:val="14"/>
    <w:next w:val="14"/>
    <w:link w:val="103"/>
    <w:qFormat/>
    <w:uiPriority w:val="99"/>
    <w:rPr>
      <w:b/>
      <w:bCs/>
    </w:rPr>
  </w:style>
  <w:style w:type="paragraph" w:styleId="34">
    <w:name w:val="Body Text First Indent"/>
    <w:basedOn w:val="2"/>
    <w:unhideWhenUsed/>
    <w:qFormat/>
    <w:uiPriority w:val="99"/>
    <w:pPr>
      <w:ind w:firstLine="420" w:firstLineChars="100"/>
    </w:pPr>
    <w:rPr>
      <w:rFonts w:hint="eastAsia" w:ascii="Arial Unicode MS" w:hAnsi="Arial Unicode MS" w:eastAsia="Arial Unicode MS" w:cs="Arial Unicode MS"/>
      <w:color w:val="000000"/>
      <w:sz w:val="32"/>
      <w:szCs w:val="32"/>
    </w:rPr>
  </w:style>
  <w:style w:type="paragraph" w:styleId="35">
    <w:name w:val="Body Text First Indent 2"/>
    <w:basedOn w:val="16"/>
    <w:qFormat/>
    <w:uiPriority w:val="0"/>
    <w:pPr>
      <w:spacing w:after="120" w:line="240" w:lineRule="auto"/>
      <w:ind w:left="420" w:leftChars="200" w:firstLine="210"/>
    </w:pPr>
    <w:rPr>
      <w:rFonts w:ascii="Times New Roman" w:hAnsi="Times New Roman"/>
      <w:sz w:val="21"/>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unhideWhenUsed/>
    <w:qFormat/>
    <w:uiPriority w:val="99"/>
    <w:rPr>
      <w:vertAlign w:val="superscript"/>
    </w:rPr>
  </w:style>
  <w:style w:type="character" w:styleId="40">
    <w:name w:val="page number"/>
    <w:basedOn w:val="38"/>
    <w:qFormat/>
    <w:uiPriority w:val="0"/>
  </w:style>
  <w:style w:type="character" w:styleId="41">
    <w:name w:val="FollowedHyperlink"/>
    <w:unhideWhenUsed/>
    <w:qFormat/>
    <w:uiPriority w:val="99"/>
    <w:rPr>
      <w:color w:val="800080"/>
      <w:u w:val="single"/>
    </w:rPr>
  </w:style>
  <w:style w:type="character" w:styleId="42">
    <w:name w:val="Hyperlink"/>
    <w:unhideWhenUsed/>
    <w:qFormat/>
    <w:uiPriority w:val="99"/>
    <w:rPr>
      <w:color w:val="0000FF"/>
      <w:u w:val="single"/>
    </w:rPr>
  </w:style>
  <w:style w:type="character" w:styleId="43">
    <w:name w:val="annotation reference"/>
    <w:qFormat/>
    <w:uiPriority w:val="99"/>
    <w:rPr>
      <w:sz w:val="21"/>
      <w:szCs w:val="21"/>
    </w:rPr>
  </w:style>
  <w:style w:type="character" w:customStyle="1" w:styleId="44">
    <w:name w:val="纯文本 Char"/>
    <w:qFormat/>
    <w:uiPriority w:val="0"/>
    <w:rPr>
      <w:rFonts w:ascii="宋体" w:hAnsi="Courier New" w:eastAsia="宋体" w:cs="Courier New"/>
      <w:szCs w:val="21"/>
    </w:rPr>
  </w:style>
  <w:style w:type="character" w:customStyle="1" w:styleId="45">
    <w:name w:val="标题 2 字符"/>
    <w:qFormat/>
    <w:uiPriority w:val="9"/>
    <w:rPr>
      <w:rFonts w:ascii="Cambria" w:hAnsi="Cambria" w:eastAsia="宋体" w:cs="Times New Roman"/>
      <w:b/>
      <w:bCs/>
      <w:sz w:val="32"/>
      <w:szCs w:val="32"/>
      <w:lang w:val="zh-CN" w:eastAsia="zh-CN"/>
    </w:rPr>
  </w:style>
  <w:style w:type="character" w:customStyle="1" w:styleId="46">
    <w:name w:val="正文文本 Char"/>
    <w:qFormat/>
    <w:uiPriority w:val="0"/>
    <w:rPr>
      <w:rFonts w:ascii="Times New Roman" w:hAnsi="Times New Roman"/>
      <w:kern w:val="2"/>
      <w:sz w:val="21"/>
      <w:szCs w:val="24"/>
    </w:rPr>
  </w:style>
  <w:style w:type="paragraph" w:customStyle="1" w:styleId="47">
    <w:name w:val="表格文字"/>
    <w:basedOn w:val="1"/>
    <w:qFormat/>
    <w:uiPriority w:val="99"/>
    <w:pPr>
      <w:spacing w:before="25" w:after="25"/>
      <w:ind w:firstLine="315" w:firstLineChars="150"/>
    </w:pPr>
    <w:rPr>
      <w:bCs/>
      <w:color w:val="000000"/>
      <w:szCs w:val="21"/>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副标题1"/>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customStyle="1" w:styleId="50">
    <w:name w:val="_Style 7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列表段落1"/>
    <w:basedOn w:val="1"/>
    <w:qFormat/>
    <w:uiPriority w:val="34"/>
    <w:pPr>
      <w:ind w:firstLine="420" w:firstLineChars="200"/>
    </w:p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4">
    <w:name w:val="Table Paragraph"/>
    <w:basedOn w:val="1"/>
    <w:qFormat/>
    <w:uiPriority w:val="1"/>
    <w:pPr>
      <w:jc w:val="left"/>
    </w:pPr>
    <w:rPr>
      <w:rFonts w:ascii="Calibri" w:hAnsi="Calibri"/>
      <w:kern w:val="0"/>
      <w:sz w:val="22"/>
      <w:szCs w:val="22"/>
      <w:lang w:eastAsia="en-US"/>
    </w:rPr>
  </w:style>
  <w:style w:type="paragraph" w:customStyle="1" w:styleId="5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56">
    <w:name w:val="正文2"/>
    <w:basedOn w:val="1"/>
    <w:link w:val="72"/>
    <w:qFormat/>
    <w:uiPriority w:val="0"/>
    <w:pPr>
      <w:adjustRightInd w:val="0"/>
      <w:spacing w:before="156" w:line="360" w:lineRule="auto"/>
      <w:ind w:firstLine="510" w:firstLineChars="200"/>
    </w:pPr>
    <w:rPr>
      <w:kern w:val="0"/>
      <w:sz w:val="24"/>
      <w:szCs w:val="20"/>
    </w:rPr>
  </w:style>
  <w:style w:type="paragraph" w:customStyle="1" w:styleId="57">
    <w:name w:val="默认段落字体 Para Char Char Char Char Char Char Char Char Char1 Char Char Char Char"/>
    <w:basedOn w:val="1"/>
    <w:qFormat/>
    <w:uiPriority w:val="0"/>
    <w:rPr>
      <w:rFonts w:ascii="Tahoma" w:hAnsi="Tahoma"/>
      <w:sz w:val="24"/>
      <w:szCs w:val="20"/>
    </w:rPr>
  </w:style>
  <w:style w:type="paragraph" w:customStyle="1" w:styleId="58">
    <w:name w:val="样式 0正文 + 首行缩进:  2 字符1"/>
    <w:basedOn w:val="1"/>
    <w:qFormat/>
    <w:uiPriority w:val="99"/>
    <w:pPr>
      <w:spacing w:line="360" w:lineRule="auto"/>
      <w:ind w:firstLine="200" w:firstLineChars="200"/>
    </w:pPr>
    <w:rPr>
      <w:szCs w:val="20"/>
    </w:rPr>
  </w:style>
  <w:style w:type="paragraph" w:customStyle="1" w:styleId="59">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paragraph" w:customStyle="1" w:styleId="6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61">
    <w:name w:val="列出段落1"/>
    <w:basedOn w:val="1"/>
    <w:qFormat/>
    <w:uiPriority w:val="34"/>
    <w:pPr>
      <w:spacing w:line="360" w:lineRule="auto"/>
      <w:ind w:firstLine="420" w:firstLineChars="200"/>
    </w:pPr>
    <w:rPr>
      <w:rFonts w:ascii="Times New Roman" w:hAnsi="Times New Roman" w:eastAsia="仿宋" w:cs="Times New Roman"/>
      <w:sz w:val="28"/>
      <w:szCs w:val="24"/>
    </w:rPr>
  </w:style>
  <w:style w:type="paragraph" w:customStyle="1" w:styleId="62">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63">
    <w:name w:val="List Paragraph"/>
    <w:basedOn w:val="1"/>
    <w:qFormat/>
    <w:uiPriority w:val="99"/>
    <w:pPr>
      <w:ind w:firstLine="420" w:firstLineChars="200"/>
    </w:pPr>
  </w:style>
  <w:style w:type="paragraph" w:customStyle="1" w:styleId="64">
    <w:name w:val="Char Char Char Char"/>
    <w:basedOn w:val="1"/>
    <w:qFormat/>
    <w:uiPriority w:val="0"/>
    <w:pPr>
      <w:widowControl/>
      <w:spacing w:after="160" w:line="240" w:lineRule="exact"/>
      <w:jc w:val="left"/>
    </w:pPr>
  </w:style>
  <w:style w:type="paragraph" w:customStyle="1" w:styleId="65">
    <w:name w:val="_Style 60"/>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66">
    <w:name w:val="正文-公1"/>
    <w:basedOn w:val="1"/>
    <w:qFormat/>
    <w:uiPriority w:val="0"/>
    <w:pPr>
      <w:ind w:firstLine="200" w:firstLineChars="200"/>
      <w:jc w:val="left"/>
    </w:pPr>
    <w:rPr>
      <w:rFonts w:ascii="Times New Roman" w:hAnsi="Times New Roman" w:eastAsia="仿宋_GB2312" w:cs="Times New Roman"/>
    </w:rPr>
  </w:style>
  <w:style w:type="character" w:customStyle="1" w:styleId="67">
    <w:name w:val="font71"/>
    <w:basedOn w:val="38"/>
    <w:qFormat/>
    <w:uiPriority w:val="0"/>
    <w:rPr>
      <w:rFonts w:ascii="Wingdings 2" w:hAnsi="Wingdings 2" w:eastAsia="Wingdings 2" w:cs="Wingdings 2"/>
      <w:color w:val="000000"/>
      <w:sz w:val="18"/>
      <w:szCs w:val="18"/>
      <w:u w:val="none"/>
    </w:rPr>
  </w:style>
  <w:style w:type="character" w:customStyle="1" w:styleId="68">
    <w:name w:val="font61"/>
    <w:basedOn w:val="38"/>
    <w:qFormat/>
    <w:uiPriority w:val="0"/>
    <w:rPr>
      <w:rFonts w:hint="eastAsia" w:ascii="微软雅黑" w:hAnsi="微软雅黑" w:eastAsia="微软雅黑" w:cs="微软雅黑"/>
      <w:color w:val="000000"/>
      <w:sz w:val="18"/>
      <w:szCs w:val="18"/>
      <w:u w:val="none"/>
    </w:rPr>
  </w:style>
  <w:style w:type="character" w:customStyle="1" w:styleId="69">
    <w:name w:val="页眉 Char"/>
    <w:link w:val="25"/>
    <w:qFormat/>
    <w:uiPriority w:val="99"/>
    <w:rPr>
      <w:sz w:val="18"/>
      <w:szCs w:val="18"/>
    </w:rPr>
  </w:style>
  <w:style w:type="character" w:customStyle="1" w:styleId="70">
    <w:name w:val="标题 5 字符"/>
    <w:qFormat/>
    <w:uiPriority w:val="9"/>
    <w:rPr>
      <w:rFonts w:ascii="Times New Roman" w:hAnsi="Times New Roman" w:eastAsia="宋体" w:cs="Times New Roman"/>
      <w:b/>
      <w:bCs/>
      <w:sz w:val="28"/>
      <w:szCs w:val="28"/>
      <w:lang w:val="zh-CN" w:eastAsia="zh-CN"/>
    </w:rPr>
  </w:style>
  <w:style w:type="character" w:customStyle="1" w:styleId="71">
    <w:name w:val="页眉 字符"/>
    <w:qFormat/>
    <w:uiPriority w:val="99"/>
    <w:rPr>
      <w:rFonts w:ascii="Times New Roman" w:hAnsi="Times New Roman" w:eastAsia="宋体" w:cs="Times New Roman"/>
      <w:kern w:val="0"/>
      <w:sz w:val="18"/>
      <w:szCs w:val="18"/>
      <w:lang w:val="zh-CN" w:eastAsia="zh-CN"/>
    </w:rPr>
  </w:style>
  <w:style w:type="character" w:customStyle="1" w:styleId="72">
    <w:name w:val="正文2 Char Char"/>
    <w:link w:val="56"/>
    <w:qFormat/>
    <w:uiPriority w:val="0"/>
    <w:rPr>
      <w:sz w:val="24"/>
    </w:rPr>
  </w:style>
  <w:style w:type="character" w:customStyle="1" w:styleId="73">
    <w:name w:val="标题 2 Char1"/>
    <w:link w:val="4"/>
    <w:qFormat/>
    <w:uiPriority w:val="9"/>
    <w:rPr>
      <w:rFonts w:ascii="Cambria" w:hAnsi="Cambria" w:eastAsia="宋体" w:cs="Times New Roman"/>
      <w:b/>
      <w:bCs/>
      <w:kern w:val="2"/>
      <w:sz w:val="32"/>
      <w:szCs w:val="32"/>
    </w:rPr>
  </w:style>
  <w:style w:type="character" w:customStyle="1" w:styleId="74">
    <w:name w:val="纯文本 字符"/>
    <w:qFormat/>
    <w:uiPriority w:val="0"/>
    <w:rPr>
      <w:rFonts w:ascii="宋体" w:hAnsi="Courier New" w:eastAsia="宋体" w:cs="Courier New"/>
      <w:szCs w:val="21"/>
    </w:rPr>
  </w:style>
  <w:style w:type="character" w:customStyle="1" w:styleId="75">
    <w:name w:val="未处理的提及1"/>
    <w:unhideWhenUsed/>
    <w:qFormat/>
    <w:uiPriority w:val="99"/>
    <w:rPr>
      <w:color w:val="605E5C"/>
      <w:shd w:val="clear" w:color="auto" w:fill="E1DFDD"/>
    </w:rPr>
  </w:style>
  <w:style w:type="character" w:customStyle="1" w:styleId="76">
    <w:name w:val="批注文字 字符"/>
    <w:qFormat/>
    <w:uiPriority w:val="0"/>
    <w:rPr>
      <w:rFonts w:ascii="Times New Roman" w:hAnsi="Times New Roman"/>
      <w:kern w:val="2"/>
      <w:sz w:val="21"/>
      <w:szCs w:val="24"/>
    </w:rPr>
  </w:style>
  <w:style w:type="character" w:customStyle="1" w:styleId="77">
    <w:name w:val="正文文本 字符"/>
    <w:qFormat/>
    <w:uiPriority w:val="0"/>
    <w:rPr>
      <w:rFonts w:ascii="Times New Roman" w:hAnsi="Times New Roman"/>
      <w:kern w:val="2"/>
      <w:sz w:val="21"/>
      <w:szCs w:val="24"/>
    </w:rPr>
  </w:style>
  <w:style w:type="character" w:customStyle="1" w:styleId="78">
    <w:name w:val="批注主题 字符"/>
    <w:qFormat/>
    <w:uiPriority w:val="99"/>
    <w:rPr>
      <w:rFonts w:ascii="Times New Roman" w:hAnsi="Times New Roman" w:eastAsia="宋体" w:cs="Times New Roman"/>
      <w:b/>
      <w:bCs/>
      <w:kern w:val="2"/>
      <w:sz w:val="21"/>
      <w:szCs w:val="24"/>
      <w:lang w:val="zh-CN" w:eastAsia="zh-CN"/>
    </w:rPr>
  </w:style>
  <w:style w:type="character" w:customStyle="1" w:styleId="79">
    <w:name w:val="纯文本 Char1"/>
    <w:link w:val="21"/>
    <w:qFormat/>
    <w:uiPriority w:val="0"/>
    <w:rPr>
      <w:rFonts w:ascii="宋体" w:hAnsi="Courier New" w:eastAsia="宋体" w:cs="Courier New"/>
      <w:szCs w:val="21"/>
    </w:rPr>
  </w:style>
  <w:style w:type="character" w:customStyle="1" w:styleId="80">
    <w:name w:val="标题 1 Char"/>
    <w:link w:val="3"/>
    <w:qFormat/>
    <w:uiPriority w:val="9"/>
    <w:rPr>
      <w:b/>
      <w:bCs/>
      <w:kern w:val="44"/>
      <w:sz w:val="44"/>
      <w:szCs w:val="44"/>
    </w:rPr>
  </w:style>
  <w:style w:type="character" w:customStyle="1" w:styleId="81">
    <w:name w:val="日期 Char"/>
    <w:link w:val="22"/>
    <w:semiHidden/>
    <w:qFormat/>
    <w:uiPriority w:val="99"/>
    <w:rPr>
      <w:rFonts w:ascii="Times New Roman" w:hAnsi="Times New Roman"/>
      <w:kern w:val="2"/>
      <w:sz w:val="21"/>
      <w:szCs w:val="24"/>
    </w:rPr>
  </w:style>
  <w:style w:type="character" w:customStyle="1" w:styleId="82">
    <w:name w:val="font21"/>
    <w:basedOn w:val="38"/>
    <w:qFormat/>
    <w:uiPriority w:val="0"/>
    <w:rPr>
      <w:rFonts w:hint="eastAsia" w:ascii="宋体" w:hAnsi="宋体" w:eastAsia="宋体" w:cs="宋体"/>
      <w:color w:val="000000"/>
      <w:sz w:val="20"/>
      <w:szCs w:val="20"/>
      <w:u w:val="none"/>
    </w:rPr>
  </w:style>
  <w:style w:type="character" w:customStyle="1" w:styleId="83">
    <w:name w:val="标题 1 字符1"/>
    <w:qFormat/>
    <w:uiPriority w:val="0"/>
    <w:rPr>
      <w:b/>
      <w:bCs/>
      <w:kern w:val="44"/>
      <w:sz w:val="44"/>
      <w:szCs w:val="44"/>
    </w:rPr>
  </w:style>
  <w:style w:type="character" w:customStyle="1" w:styleId="84">
    <w:name w:val="标题 3 Char"/>
    <w:link w:val="5"/>
    <w:semiHidden/>
    <w:qFormat/>
    <w:uiPriority w:val="9"/>
    <w:rPr>
      <w:b/>
      <w:bCs/>
      <w:kern w:val="2"/>
      <w:sz w:val="32"/>
      <w:szCs w:val="32"/>
    </w:rPr>
  </w:style>
  <w:style w:type="character" w:customStyle="1" w:styleId="85">
    <w:name w:val="font01"/>
    <w:basedOn w:val="38"/>
    <w:qFormat/>
    <w:uiPriority w:val="0"/>
    <w:rPr>
      <w:rFonts w:hint="default" w:ascii="font-weight : 400" w:hAnsi="font-weight : 400" w:eastAsia="font-weight : 400" w:cs="font-weight : 400"/>
      <w:color w:val="FF0000"/>
      <w:sz w:val="18"/>
      <w:szCs w:val="18"/>
      <w:u w:val="none"/>
    </w:rPr>
  </w:style>
  <w:style w:type="character" w:customStyle="1" w:styleId="86">
    <w:name w:val="未处理的提及2"/>
    <w:unhideWhenUsed/>
    <w:qFormat/>
    <w:uiPriority w:val="99"/>
    <w:rPr>
      <w:color w:val="605E5C"/>
      <w:shd w:val="clear" w:color="auto" w:fill="E1DFDD"/>
    </w:rPr>
  </w:style>
  <w:style w:type="character" w:customStyle="1" w:styleId="87">
    <w:name w:val="正文文本 3 字符"/>
    <w:qFormat/>
    <w:uiPriority w:val="99"/>
    <w:rPr>
      <w:rFonts w:ascii="Times New Roman" w:hAnsi="Times New Roman" w:eastAsia="宋体" w:cs="Times New Roman"/>
      <w:sz w:val="16"/>
      <w:szCs w:val="16"/>
      <w:lang w:val="zh-CN" w:eastAsia="zh-CN"/>
    </w:rPr>
  </w:style>
  <w:style w:type="character" w:customStyle="1" w:styleId="88">
    <w:name w:val="副标题 字符"/>
    <w:qFormat/>
    <w:uiPriority w:val="0"/>
    <w:rPr>
      <w:rFonts w:ascii="Cambria" w:hAnsi="Cambria"/>
      <w:b/>
      <w:bCs/>
      <w:kern w:val="28"/>
      <w:sz w:val="32"/>
      <w:szCs w:val="32"/>
    </w:rPr>
  </w:style>
  <w:style w:type="character" w:customStyle="1" w:styleId="89">
    <w:name w:val="font31"/>
    <w:qFormat/>
    <w:uiPriority w:val="0"/>
    <w:rPr>
      <w:rFonts w:hint="eastAsia" w:ascii="宋体" w:hAnsi="宋体" w:eastAsia="宋体" w:cs="宋体"/>
      <w:color w:val="FF0000"/>
      <w:sz w:val="20"/>
      <w:szCs w:val="20"/>
      <w:u w:val="none"/>
    </w:rPr>
  </w:style>
  <w:style w:type="character" w:customStyle="1" w:styleId="90">
    <w:name w:val="标题 5 Char"/>
    <w:link w:val="7"/>
    <w:qFormat/>
    <w:uiPriority w:val="9"/>
    <w:rPr>
      <w:rFonts w:ascii="Times New Roman" w:hAnsi="Times New Roman"/>
      <w:b/>
      <w:bCs/>
      <w:kern w:val="2"/>
      <w:sz w:val="28"/>
      <w:szCs w:val="28"/>
    </w:rPr>
  </w:style>
  <w:style w:type="character" w:customStyle="1" w:styleId="91">
    <w:name w:val="标题 8 Char1"/>
    <w:link w:val="10"/>
    <w:semiHidden/>
    <w:qFormat/>
    <w:uiPriority w:val="9"/>
    <w:rPr>
      <w:rFonts w:ascii="等线 Light" w:hAnsi="等线 Light" w:eastAsia="等线 Light" w:cs="Times New Roman"/>
      <w:kern w:val="2"/>
      <w:sz w:val="24"/>
      <w:szCs w:val="24"/>
    </w:rPr>
  </w:style>
  <w:style w:type="character" w:customStyle="1" w:styleId="92">
    <w:name w:val="批注文字 Char1"/>
    <w:link w:val="14"/>
    <w:qFormat/>
    <w:uiPriority w:val="0"/>
    <w:rPr>
      <w:rFonts w:ascii="Times New Roman" w:hAnsi="Times New Roman"/>
      <w:kern w:val="2"/>
      <w:sz w:val="21"/>
      <w:szCs w:val="24"/>
    </w:rPr>
  </w:style>
  <w:style w:type="character" w:customStyle="1" w:styleId="93">
    <w:name w:val="正文文本 3 Char"/>
    <w:link w:val="15"/>
    <w:semiHidden/>
    <w:qFormat/>
    <w:uiPriority w:val="99"/>
    <w:rPr>
      <w:kern w:val="2"/>
      <w:sz w:val="16"/>
      <w:szCs w:val="16"/>
    </w:rPr>
  </w:style>
  <w:style w:type="character" w:customStyle="1" w:styleId="94">
    <w:name w:val="正文文本 Char1"/>
    <w:link w:val="2"/>
    <w:qFormat/>
    <w:uiPriority w:val="0"/>
    <w:rPr>
      <w:rFonts w:ascii="Times New Roman" w:hAnsi="Times New Roman"/>
      <w:kern w:val="2"/>
      <w:sz w:val="21"/>
      <w:szCs w:val="24"/>
    </w:rPr>
  </w:style>
  <w:style w:type="character" w:customStyle="1" w:styleId="95">
    <w:name w:val="正文文本缩进 Char"/>
    <w:link w:val="16"/>
    <w:qFormat/>
    <w:uiPriority w:val="0"/>
    <w:rPr>
      <w:rFonts w:ascii="仿宋_GB2312" w:hAnsi="Times New Roman" w:eastAsia="仿宋_GB2312" w:cs="Times New Roman"/>
      <w:sz w:val="32"/>
      <w:szCs w:val="20"/>
    </w:rPr>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批注框文本 字符"/>
    <w:link w:val="23"/>
    <w:semiHidden/>
    <w:qFormat/>
    <w:uiPriority w:val="0"/>
    <w:rPr>
      <w:kern w:val="2"/>
      <w:sz w:val="18"/>
      <w:szCs w:val="18"/>
    </w:rPr>
  </w:style>
  <w:style w:type="character" w:customStyle="1" w:styleId="98">
    <w:name w:val="NormalCharacter"/>
    <w:qFormat/>
    <w:uiPriority w:val="0"/>
    <w:rPr>
      <w:kern w:val="2"/>
      <w:sz w:val="21"/>
      <w:szCs w:val="24"/>
      <w:lang w:val="en-US" w:eastAsia="zh-CN" w:bidi="ar-SA"/>
    </w:rPr>
  </w:style>
  <w:style w:type="character" w:customStyle="1" w:styleId="99">
    <w:name w:val="页脚 Char"/>
    <w:link w:val="24"/>
    <w:qFormat/>
    <w:uiPriority w:val="99"/>
    <w:rPr>
      <w:sz w:val="18"/>
      <w:szCs w:val="18"/>
    </w:rPr>
  </w:style>
  <w:style w:type="character" w:customStyle="1" w:styleId="100">
    <w:name w:val="标题 1 字符"/>
    <w:qFormat/>
    <w:uiPriority w:val="9"/>
    <w:rPr>
      <w:rFonts w:ascii="Times New Roman" w:hAnsi="Times New Roman" w:eastAsia="宋体" w:cs="Times New Roman"/>
      <w:b/>
      <w:bCs/>
      <w:kern w:val="44"/>
      <w:sz w:val="44"/>
      <w:szCs w:val="44"/>
      <w:lang w:val="zh-CN" w:eastAsia="zh-CN"/>
    </w:rPr>
  </w:style>
  <w:style w:type="character" w:customStyle="1" w:styleId="101">
    <w:name w:val="副标题 字符1"/>
    <w:link w:val="27"/>
    <w:qFormat/>
    <w:uiPriority w:val="11"/>
    <w:rPr>
      <w:rFonts w:ascii="等线 Light" w:hAnsi="等线 Light" w:cs="Times New Roman"/>
      <w:b/>
      <w:bCs/>
      <w:kern w:val="28"/>
      <w:sz w:val="32"/>
      <w:szCs w:val="32"/>
    </w:rPr>
  </w:style>
  <w:style w:type="character" w:customStyle="1" w:styleId="102">
    <w:name w:val="正文文本缩进 3 字符"/>
    <w:link w:val="29"/>
    <w:qFormat/>
    <w:uiPriority w:val="0"/>
    <w:rPr>
      <w:kern w:val="2"/>
      <w:sz w:val="16"/>
      <w:szCs w:val="16"/>
    </w:rPr>
  </w:style>
  <w:style w:type="character" w:customStyle="1" w:styleId="103">
    <w:name w:val="批注主题 Char"/>
    <w:link w:val="33"/>
    <w:qFormat/>
    <w:uiPriority w:val="99"/>
    <w:rPr>
      <w:rFonts w:ascii="Times New Roman" w:hAnsi="Times New Roman"/>
      <w:b/>
      <w:bCs/>
      <w:kern w:val="2"/>
      <w:sz w:val="21"/>
      <w:szCs w:val="24"/>
    </w:rPr>
  </w:style>
  <w:style w:type="character" w:customStyle="1" w:styleId="104">
    <w:name w:val="标题 8 字符"/>
    <w:qFormat/>
    <w:uiPriority w:val="9"/>
    <w:rPr>
      <w:rFonts w:ascii="等线 Light" w:hAnsi="等线 Light" w:eastAsia="等线 Light" w:cs="Times New Roman"/>
      <w:sz w:val="24"/>
      <w:szCs w:val="24"/>
      <w:lang w:val="zh-CN" w:eastAsia="zh-CN"/>
    </w:rPr>
  </w:style>
  <w:style w:type="character" w:customStyle="1" w:styleId="105">
    <w:name w:val="apple-style-span"/>
    <w:qFormat/>
    <w:uiPriority w:val="0"/>
  </w:style>
  <w:style w:type="character" w:customStyle="1" w:styleId="106">
    <w:name w:val="标题 8 Char"/>
    <w:qFormat/>
    <w:uiPriority w:val="0"/>
    <w:rPr>
      <w:rFonts w:ascii="Arial" w:hAnsi="Arial" w:eastAsia="黑体"/>
      <w:kern w:val="2"/>
      <w:sz w:val="24"/>
      <w:szCs w:val="24"/>
    </w:rPr>
  </w:style>
  <w:style w:type="character" w:customStyle="1" w:styleId="107">
    <w:name w:val="标题 3 字符"/>
    <w:qFormat/>
    <w:uiPriority w:val="9"/>
    <w:rPr>
      <w:rFonts w:ascii="Times New Roman" w:hAnsi="Times New Roman" w:eastAsia="宋体" w:cs="Times New Roman"/>
      <w:b/>
      <w:bCs/>
      <w:sz w:val="32"/>
      <w:szCs w:val="32"/>
      <w:lang w:val="zh-CN" w:eastAsia="zh-CN"/>
    </w:rPr>
  </w:style>
  <w:style w:type="character" w:customStyle="1" w:styleId="108">
    <w:name w:val="副标题 Char1"/>
    <w:qFormat/>
    <w:uiPriority w:val="11"/>
    <w:rPr>
      <w:rFonts w:ascii="Cambria" w:hAnsi="Cambria" w:eastAsia="宋体" w:cs="Times New Roman"/>
      <w:b/>
      <w:bCs/>
      <w:kern w:val="28"/>
      <w:sz w:val="32"/>
      <w:szCs w:val="32"/>
    </w:rPr>
  </w:style>
  <w:style w:type="character" w:customStyle="1" w:styleId="109">
    <w:name w:val="纯文本 字符2"/>
    <w:qFormat/>
    <w:uiPriority w:val="0"/>
    <w:rPr>
      <w:rFonts w:ascii="宋体" w:hAnsi="Courier New" w:eastAsia="宋体" w:cs="Courier New"/>
      <w:szCs w:val="21"/>
    </w:rPr>
  </w:style>
  <w:style w:type="character" w:customStyle="1" w:styleId="110">
    <w:name w:val="_Style 108"/>
    <w:unhideWhenUsed/>
    <w:qFormat/>
    <w:uiPriority w:val="99"/>
    <w:rPr>
      <w:color w:val="605E5C"/>
      <w:shd w:val="clear" w:color="auto" w:fill="E1DFDD"/>
    </w:rPr>
  </w:style>
  <w:style w:type="character" w:customStyle="1" w:styleId="111">
    <w:name w:val="标题 2 Char"/>
    <w:qFormat/>
    <w:uiPriority w:val="9"/>
    <w:rPr>
      <w:rFonts w:ascii="Cambria" w:hAnsi="Cambria" w:eastAsia="宋体" w:cs="Times New Roman"/>
      <w:b/>
      <w:bCs/>
      <w:kern w:val="2"/>
      <w:sz w:val="32"/>
      <w:szCs w:val="32"/>
    </w:rPr>
  </w:style>
  <w:style w:type="character" w:customStyle="1" w:styleId="112">
    <w:name w:val="页脚 字符"/>
    <w:qFormat/>
    <w:uiPriority w:val="99"/>
    <w:rPr>
      <w:rFonts w:ascii="Times New Roman" w:hAnsi="Times New Roman" w:eastAsia="宋体" w:cs="Times New Roman"/>
      <w:kern w:val="0"/>
      <w:sz w:val="18"/>
      <w:szCs w:val="18"/>
      <w:lang w:val="zh-CN" w:eastAsia="zh-CN"/>
    </w:rPr>
  </w:style>
  <w:style w:type="character" w:customStyle="1" w:styleId="113">
    <w:name w:val="纯文本 字符1"/>
    <w:qFormat/>
    <w:uiPriority w:val="0"/>
    <w:rPr>
      <w:rFonts w:ascii="宋体" w:hAnsi="Courier New"/>
    </w:rPr>
  </w:style>
  <w:style w:type="character" w:customStyle="1" w:styleId="114">
    <w:name w:val="正文文本缩进 3 Char"/>
    <w:semiHidden/>
    <w:qFormat/>
    <w:uiPriority w:val="99"/>
    <w:rPr>
      <w:rFonts w:ascii="Times New Roman" w:hAnsi="Times New Roman" w:eastAsia="宋体" w:cs="Times New Roman"/>
      <w:sz w:val="16"/>
      <w:szCs w:val="16"/>
    </w:rPr>
  </w:style>
  <w:style w:type="character" w:customStyle="1" w:styleId="115">
    <w:name w:val="textcontents"/>
    <w:qFormat/>
    <w:uiPriority w:val="0"/>
  </w:style>
  <w:style w:type="character" w:customStyle="1" w:styleId="116">
    <w:name w:val="日期 字符"/>
    <w:qFormat/>
    <w:uiPriority w:val="99"/>
    <w:rPr>
      <w:rFonts w:ascii="Times New Roman" w:hAnsi="Times New Roman" w:eastAsia="宋体" w:cs="Times New Roman"/>
      <w:szCs w:val="24"/>
      <w:lang w:val="zh-CN" w:eastAsia="zh-CN"/>
    </w:rPr>
  </w:style>
  <w:style w:type="character" w:customStyle="1" w:styleId="117">
    <w:name w:val="批注文字 字符1"/>
    <w:qFormat/>
    <w:uiPriority w:val="0"/>
    <w:rPr>
      <w:rFonts w:ascii="Times New Roman" w:hAnsi="Times New Roman"/>
      <w:kern w:val="2"/>
      <w:sz w:val="21"/>
      <w:szCs w:val="24"/>
    </w:rPr>
  </w:style>
  <w:style w:type="character" w:customStyle="1" w:styleId="118">
    <w:name w:val="正文文本缩进 字符"/>
    <w:qFormat/>
    <w:uiPriority w:val="0"/>
    <w:rPr>
      <w:rFonts w:ascii="仿宋_GB2312" w:hAnsi="Times New Roman" w:eastAsia="仿宋_GB2312" w:cs="Times New Roman"/>
      <w:kern w:val="0"/>
      <w:sz w:val="32"/>
      <w:szCs w:val="20"/>
      <w:lang w:val="zh-CN" w:eastAsia="zh-CN"/>
    </w:rPr>
  </w:style>
  <w:style w:type="character" w:customStyle="1" w:styleId="119">
    <w:name w:val="批注文字 Char"/>
    <w:qFormat/>
    <w:uiPriority w:val="0"/>
    <w:rPr>
      <w:rFonts w:ascii="Times New Roman" w:hAnsi="Times New Roman"/>
      <w:kern w:val="2"/>
      <w:sz w:val="21"/>
      <w:szCs w:val="24"/>
    </w:rPr>
  </w:style>
  <w:style w:type="character" w:customStyle="1" w:styleId="120">
    <w:name w:val="正文文本 字符1"/>
    <w:qFormat/>
    <w:uiPriority w:val="0"/>
    <w:rPr>
      <w:rFonts w:ascii="Times New Roman" w:hAnsi="Times New Roman" w:eastAsia="宋体" w:cs="Times New Roman"/>
      <w:szCs w:val="24"/>
      <w:lang w:val="zh-CN" w:eastAsia="zh-CN"/>
    </w:rPr>
  </w:style>
  <w:style w:type="character" w:customStyle="1" w:styleId="121">
    <w:name w:val="纯文本 字符3"/>
    <w:qFormat/>
    <w:uiPriority w:val="0"/>
    <w:rPr>
      <w:rFonts w:ascii="宋体" w:hAnsi="Courier New" w:eastAsia="宋体" w:cs="Times New Roman"/>
      <w:kern w:val="0"/>
      <w:sz w:val="20"/>
      <w:szCs w:val="21"/>
      <w:lang w:val="zh-CN" w:eastAsia="zh-CN"/>
    </w:rPr>
  </w:style>
  <w:style w:type="character" w:customStyle="1" w:styleId="122">
    <w:name w:val="批注文字 字符2"/>
    <w:qFormat/>
    <w:uiPriority w:val="0"/>
    <w:rPr>
      <w:rFonts w:ascii="Times New Roman" w:hAnsi="Times New Roman" w:eastAsia="宋体" w:cs="Times New Roman"/>
      <w:szCs w:val="24"/>
      <w:lang w:val="zh-CN" w:eastAsia="zh-CN"/>
    </w:rPr>
  </w:style>
  <w:style w:type="character" w:customStyle="1" w:styleId="123">
    <w:name w:val="font41"/>
    <w:qFormat/>
    <w:uiPriority w:val="0"/>
    <w:rPr>
      <w:rFonts w:hint="eastAsia" w:ascii="宋体" w:hAnsi="宋体" w:eastAsia="宋体" w:cs="宋体"/>
      <w:color w:val="000000"/>
      <w:sz w:val="21"/>
      <w:szCs w:val="21"/>
      <w:u w:val="none"/>
    </w:rPr>
  </w:style>
  <w:style w:type="table" w:customStyle="1" w:styleId="124">
    <w:name w:val="网格型1"/>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5">
    <w:name w:val="font11"/>
    <w:basedOn w:val="38"/>
    <w:qFormat/>
    <w:uiPriority w:val="0"/>
    <w:rPr>
      <w:rFonts w:hint="eastAsia" w:ascii="宋体" w:hAnsi="宋体" w:eastAsia="宋体" w:cs="宋体"/>
      <w:b/>
      <w:bCs/>
      <w:color w:val="000000"/>
      <w:sz w:val="21"/>
      <w:szCs w:val="21"/>
      <w:u w:val="none"/>
    </w:rPr>
  </w:style>
  <w:style w:type="paragraph" w:customStyle="1" w:styleId="126">
    <w:name w:val="Other|1"/>
    <w:basedOn w:val="1"/>
    <w:qFormat/>
    <w:uiPriority w:val="0"/>
    <w:pPr>
      <w:spacing w:line="446" w:lineRule="auto"/>
      <w:ind w:firstLine="400"/>
    </w:pPr>
    <w:rPr>
      <w:rFonts w:ascii="宋体" w:hAnsi="宋体" w:cs="宋体"/>
      <w:sz w:val="20"/>
      <w:szCs w:val="20"/>
      <w:lang w:val="zh-TW" w:eastAsia="zh-TW" w:bidi="zh-TW"/>
    </w:rPr>
  </w:style>
  <w:style w:type="character" w:customStyle="1" w:styleId="127">
    <w:name w:val="font51"/>
    <w:basedOn w:val="38"/>
    <w:qFormat/>
    <w:uiPriority w:val="0"/>
    <w:rPr>
      <w:rFonts w:hint="eastAsia" w:ascii="宋体" w:hAnsi="宋体" w:eastAsia="宋体" w:cs="宋体"/>
      <w:color w:val="000000"/>
      <w:sz w:val="40"/>
      <w:szCs w:val="40"/>
      <w:u w:val="none"/>
    </w:rPr>
  </w:style>
  <w:style w:type="paragraph" w:customStyle="1" w:styleId="128">
    <w:name w:val="PlainText"/>
    <w:basedOn w:val="1"/>
    <w:next w:val="1"/>
    <w:qFormat/>
    <w:uiPriority w:val="0"/>
    <w:pPr>
      <w:textAlignment w:val="baseline"/>
    </w:pPr>
    <w:rPr>
      <w:rFonts w:ascii="宋体" w:hAnsi="Courier New"/>
      <w:kern w:val="0"/>
      <w:sz w:val="20"/>
      <w:szCs w:val="21"/>
    </w:rPr>
  </w:style>
  <w:style w:type="character" w:customStyle="1" w:styleId="129">
    <w:name w:val="class4"/>
    <w:basedOn w:val="38"/>
    <w:qFormat/>
    <w:uiPriority w:val="0"/>
  </w:style>
  <w:style w:type="paragraph" w:customStyle="1" w:styleId="130">
    <w:name w:val="Table Text"/>
    <w:basedOn w:val="1"/>
    <w:semiHidden/>
    <w:qFormat/>
    <w:uiPriority w:val="0"/>
    <w:rPr>
      <w:rFonts w:ascii="宋体" w:hAnsi="宋体" w:eastAsia="宋体" w:cs="宋体"/>
      <w:sz w:val="20"/>
      <w:szCs w:val="20"/>
      <w:lang w:val="en-US" w:eastAsia="en-US" w:bidi="ar-SA"/>
    </w:rPr>
  </w:style>
  <w:style w:type="table" w:customStyle="1" w:styleId="1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88</Pages>
  <Words>37165</Words>
  <Characters>39055</Characters>
  <Lines>2079</Lines>
  <Paragraphs>2029</Paragraphs>
  <TotalTime>0</TotalTime>
  <ScaleCrop>false</ScaleCrop>
  <LinksUpToDate>false</LinksUpToDate>
  <CharactersWithSpaces>41723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Autism.</cp:lastModifiedBy>
  <cp:lastPrinted>2024-06-14T08:00:00Z</cp:lastPrinted>
  <dcterms:modified xsi:type="dcterms:W3CDTF">2025-12-04T13:38:35Z</dcterms:modified>
  <dc:title>竞争性谈判文件规范</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7B09D6E8B6874BD78F5CBB09FDEBB139_13</vt:lpwstr>
  </property>
  <property fmtid="{D5CDD505-2E9C-101B-9397-08002B2CF9AE}" pid="4" name="KSOTemplateDocerSaveRecord">
    <vt:lpwstr>eyJoZGlkIjoiMjc2N2M5NmZlYzk2Y2NlMzY0NGNlNDNmOTk4MjUzZWQiLCJ1c2VySWQiOiIxMjEyNTgyMTAxIn0=</vt:lpwstr>
  </property>
</Properties>
</file>