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004C8">
      <w:pPr>
        <w:pStyle w:val="17"/>
        <w:jc w:val="center"/>
        <w:rPr>
          <w:rFonts w:hint="eastAsia" w:ascii="Times New Roman" w:hAnsi="Times New Roman" w:cs="Times New Roman"/>
          <w:b/>
          <w:bCs/>
          <w:color w:val="auto"/>
          <w:sz w:val="48"/>
          <w:szCs w:val="48"/>
          <w:highlight w:val="none"/>
          <w:lang w:eastAsia="zh-CN"/>
        </w:rPr>
      </w:pPr>
    </w:p>
    <w:p w14:paraId="5143932D">
      <w:pPr>
        <w:pStyle w:val="17"/>
        <w:jc w:val="center"/>
        <w:rPr>
          <w:rFonts w:hint="eastAsia" w:ascii="Times New Roman" w:hAnsi="Times New Roman" w:cs="Times New Roman"/>
          <w:b/>
          <w:bCs/>
          <w:color w:val="auto"/>
          <w:sz w:val="44"/>
          <w:szCs w:val="44"/>
          <w:highlight w:val="none"/>
          <w:lang w:eastAsia="zh-CN"/>
        </w:rPr>
      </w:pPr>
    </w:p>
    <w:p w14:paraId="02EAE97E">
      <w:pPr>
        <w:pStyle w:val="17"/>
        <w:jc w:val="center"/>
        <w:rPr>
          <w:rFonts w:hint="default" w:ascii="Times New Roman" w:hAnsi="Times New Roman" w:cs="Times New Roman"/>
          <w:b/>
          <w:bCs/>
          <w:color w:val="auto"/>
          <w:sz w:val="44"/>
          <w:szCs w:val="44"/>
          <w:highlight w:val="none"/>
          <w:lang w:eastAsia="zh-CN"/>
        </w:rPr>
      </w:pPr>
      <w:r>
        <w:rPr>
          <w:rFonts w:hint="eastAsia" w:ascii="Times New Roman" w:hAnsi="Times New Roman" w:cs="Times New Roman"/>
          <w:b/>
          <w:bCs/>
          <w:color w:val="auto"/>
          <w:sz w:val="44"/>
          <w:szCs w:val="44"/>
          <w:highlight w:val="none"/>
          <w:lang w:eastAsia="zh-CN"/>
        </w:rPr>
        <w:t>贺州市涉重金属风险排查项目（重）</w:t>
      </w:r>
    </w:p>
    <w:p w14:paraId="215B805E">
      <w:pPr>
        <w:pStyle w:val="17"/>
        <w:spacing w:line="480" w:lineRule="auto"/>
        <w:rPr>
          <w:rFonts w:hint="default" w:ascii="Times New Roman" w:hAnsi="Times New Roman" w:cs="Times New Roman"/>
          <w:b/>
          <w:color w:val="auto"/>
          <w:spacing w:val="-2"/>
          <w:sz w:val="52"/>
          <w:szCs w:val="52"/>
          <w:highlight w:val="none"/>
        </w:rPr>
      </w:pPr>
    </w:p>
    <w:p w14:paraId="62EC8BBE">
      <w:pPr>
        <w:pStyle w:val="17"/>
        <w:jc w:val="both"/>
        <w:rPr>
          <w:rFonts w:hint="default" w:ascii="Times New Roman" w:hAnsi="Times New Roman" w:cs="Times New Roman"/>
          <w:b/>
          <w:bCs/>
          <w:color w:val="auto"/>
          <w:sz w:val="84"/>
          <w:szCs w:val="84"/>
          <w:highlight w:val="none"/>
        </w:rPr>
      </w:pPr>
    </w:p>
    <w:p w14:paraId="741DB308">
      <w:pPr>
        <w:pStyle w:val="17"/>
        <w:jc w:val="center"/>
        <w:rPr>
          <w:rFonts w:hint="default" w:ascii="Times New Roman" w:hAnsi="Times New Roman" w:cs="Times New Roman"/>
          <w:b/>
          <w:bCs/>
          <w:color w:val="auto"/>
          <w:sz w:val="84"/>
          <w:szCs w:val="84"/>
          <w:highlight w:val="none"/>
        </w:rPr>
      </w:pPr>
      <w:r>
        <w:rPr>
          <w:rFonts w:hint="default" w:ascii="Times New Roman" w:hAnsi="Times New Roman" w:cs="Times New Roman"/>
          <w:b/>
          <w:bCs/>
          <w:color w:val="auto"/>
          <w:sz w:val="84"/>
          <w:szCs w:val="84"/>
          <w:highlight w:val="none"/>
        </w:rPr>
        <w:t>竞争性磋商文件</w:t>
      </w:r>
      <w:bookmarkStart w:id="53" w:name="_GoBack"/>
      <w:bookmarkEnd w:id="53"/>
    </w:p>
    <w:p w14:paraId="3AA6968A">
      <w:pPr>
        <w:rPr>
          <w:rFonts w:hint="default" w:ascii="Times New Roman" w:hAnsi="Times New Roman" w:cs="Times New Roman"/>
          <w:color w:val="auto"/>
          <w:sz w:val="24"/>
          <w:szCs w:val="20"/>
          <w:highlight w:val="none"/>
        </w:rPr>
      </w:pPr>
    </w:p>
    <w:p w14:paraId="1C3928A1">
      <w:pPr>
        <w:pStyle w:val="23"/>
        <w:rPr>
          <w:rFonts w:hint="default" w:ascii="Times New Roman" w:hAnsi="Times New Roman" w:cs="Times New Roman"/>
          <w:color w:val="auto"/>
          <w:sz w:val="24"/>
          <w:szCs w:val="20"/>
          <w:highlight w:val="none"/>
        </w:rPr>
      </w:pPr>
    </w:p>
    <w:p w14:paraId="694FAD12">
      <w:pPr>
        <w:rPr>
          <w:rFonts w:hint="default" w:ascii="Times New Roman" w:hAnsi="Times New Roman" w:cs="Times New Roman"/>
          <w:color w:val="auto"/>
          <w:sz w:val="24"/>
          <w:szCs w:val="20"/>
          <w:highlight w:val="none"/>
        </w:rPr>
      </w:pPr>
    </w:p>
    <w:p w14:paraId="76DC2E34">
      <w:pPr>
        <w:pStyle w:val="23"/>
        <w:rPr>
          <w:rFonts w:hint="default" w:ascii="Times New Roman" w:hAnsi="Times New Roman" w:cs="Times New Roman"/>
          <w:color w:val="auto"/>
          <w:highlight w:val="none"/>
        </w:rPr>
      </w:pPr>
    </w:p>
    <w:p w14:paraId="1F1A15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360" w:rightChars="0" w:firstLine="1606" w:firstLineChars="500"/>
        <w:jc w:val="left"/>
        <w:rPr>
          <w:rFonts w:hint="eastAsia"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rPr>
        <w:t>项目编号：</w:t>
      </w:r>
      <w:r>
        <w:rPr>
          <w:rFonts w:hint="eastAsia" w:cs="Times New Roman"/>
          <w:b/>
          <w:color w:val="auto"/>
          <w:sz w:val="32"/>
          <w:szCs w:val="32"/>
          <w:highlight w:val="none"/>
          <w:lang w:eastAsia="zh-CN"/>
        </w:rPr>
        <w:t>HZZC2025-C3-990319-LYGC</w:t>
      </w:r>
    </w:p>
    <w:p w14:paraId="13C4C3F6">
      <w:pPr>
        <w:rPr>
          <w:rFonts w:hint="default" w:ascii="Times New Roman" w:hAnsi="Times New Roman" w:cs="Times New Roman"/>
          <w:color w:val="auto"/>
          <w:sz w:val="24"/>
          <w:szCs w:val="20"/>
          <w:highlight w:val="none"/>
        </w:rPr>
      </w:pPr>
    </w:p>
    <w:p w14:paraId="54C22E84">
      <w:pPr>
        <w:rPr>
          <w:rFonts w:hint="default" w:ascii="Times New Roman" w:hAnsi="Times New Roman" w:cs="Times New Roman"/>
          <w:color w:val="auto"/>
          <w:sz w:val="24"/>
          <w:szCs w:val="20"/>
          <w:highlight w:val="none"/>
        </w:rPr>
      </w:pPr>
    </w:p>
    <w:p w14:paraId="3E8AA9A5">
      <w:pPr>
        <w:rPr>
          <w:rFonts w:hint="default" w:ascii="Times New Roman" w:hAnsi="Times New Roman" w:cs="Times New Roman"/>
          <w:color w:val="auto"/>
          <w:sz w:val="24"/>
          <w:szCs w:val="20"/>
          <w:highlight w:val="none"/>
          <w:lang w:eastAsia="zh-CN"/>
        </w:rPr>
      </w:pPr>
    </w:p>
    <w:p w14:paraId="11871ACC">
      <w:pPr>
        <w:rPr>
          <w:rFonts w:hint="default" w:ascii="Times New Roman" w:hAnsi="Times New Roman" w:cs="Times New Roman"/>
          <w:color w:val="auto"/>
          <w:sz w:val="24"/>
          <w:szCs w:val="20"/>
          <w:highlight w:val="none"/>
          <w:lang w:eastAsia="zh-CN"/>
        </w:rPr>
      </w:pPr>
    </w:p>
    <w:p w14:paraId="3A4BDD2B">
      <w:pPr>
        <w:rPr>
          <w:rFonts w:hint="default" w:ascii="Times New Roman" w:hAnsi="Times New Roman" w:cs="Times New Roman"/>
          <w:color w:val="auto"/>
          <w:sz w:val="24"/>
          <w:szCs w:val="20"/>
          <w:highlight w:val="none"/>
        </w:rPr>
      </w:pPr>
    </w:p>
    <w:p w14:paraId="011AEC26">
      <w:pPr>
        <w:rPr>
          <w:rFonts w:hint="default" w:ascii="Times New Roman" w:hAnsi="Times New Roman" w:cs="Times New Roman"/>
          <w:color w:val="auto"/>
          <w:sz w:val="24"/>
          <w:szCs w:val="20"/>
          <w:highlight w:val="none"/>
        </w:rPr>
      </w:pPr>
    </w:p>
    <w:p w14:paraId="24470211">
      <w:pPr>
        <w:rPr>
          <w:rFonts w:hint="default" w:ascii="Times New Roman" w:hAnsi="Times New Roman" w:cs="Times New Roman"/>
          <w:color w:val="auto"/>
          <w:sz w:val="24"/>
          <w:szCs w:val="20"/>
          <w:highlight w:val="none"/>
        </w:rPr>
      </w:pPr>
    </w:p>
    <w:p w14:paraId="182BD395">
      <w:pPr>
        <w:rPr>
          <w:rFonts w:hint="default" w:ascii="Times New Roman" w:hAnsi="Times New Roman" w:cs="Times New Roman"/>
          <w:color w:val="auto"/>
          <w:sz w:val="24"/>
          <w:szCs w:val="20"/>
          <w:highlight w:val="none"/>
        </w:rPr>
      </w:pPr>
    </w:p>
    <w:p w14:paraId="68E91201">
      <w:pPr>
        <w:rPr>
          <w:rFonts w:hint="default" w:ascii="Times New Roman" w:hAnsi="Times New Roman" w:cs="Times New Roman"/>
          <w:color w:val="auto"/>
          <w:sz w:val="24"/>
          <w:szCs w:val="20"/>
          <w:highlight w:val="none"/>
        </w:rPr>
      </w:pPr>
    </w:p>
    <w:p w14:paraId="13CECD17">
      <w:pPr>
        <w:rPr>
          <w:rFonts w:hint="default" w:ascii="Times New Roman" w:hAnsi="Times New Roman" w:cs="Times New Roman"/>
          <w:color w:val="auto"/>
          <w:sz w:val="24"/>
          <w:szCs w:val="20"/>
          <w:highlight w:val="none"/>
        </w:rPr>
      </w:pPr>
    </w:p>
    <w:p w14:paraId="6B074233">
      <w:pPr>
        <w:spacing w:line="480" w:lineRule="auto"/>
        <w:ind w:firstLine="1606" w:firstLineChars="500"/>
        <w:rPr>
          <w:rFonts w:hint="default" w:ascii="Times New Roman" w:hAnsi="Times New Roman" w:eastAsia="宋体" w:cs="Times New Roman"/>
          <w:b/>
          <w:color w:val="auto"/>
          <w:sz w:val="32"/>
          <w:szCs w:val="32"/>
          <w:highlight w:val="none"/>
          <w:lang w:eastAsia="zh-CN"/>
        </w:rPr>
      </w:pPr>
      <w:r>
        <w:rPr>
          <w:rFonts w:hint="default" w:ascii="Times New Roman" w:hAnsi="Times New Roman" w:cs="Times New Roman"/>
          <w:b/>
          <w:color w:val="auto"/>
          <w:sz w:val="32"/>
          <w:szCs w:val="32"/>
          <w:highlight w:val="none"/>
        </w:rPr>
        <w:t>采购人：</w:t>
      </w:r>
      <w:r>
        <w:rPr>
          <w:rFonts w:hint="eastAsia" w:cs="Times New Roman"/>
          <w:b/>
          <w:color w:val="auto"/>
          <w:sz w:val="32"/>
          <w:szCs w:val="32"/>
          <w:highlight w:val="none"/>
          <w:lang w:eastAsia="zh-CN"/>
        </w:rPr>
        <w:t xml:space="preserve"> 贺州市生态环境局 </w:t>
      </w:r>
    </w:p>
    <w:p w14:paraId="122BA085">
      <w:pPr>
        <w:pStyle w:val="17"/>
        <w:spacing w:line="480" w:lineRule="auto"/>
        <w:ind w:firstLine="1446" w:firstLineChars="450"/>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采购代理机构：</w:t>
      </w:r>
      <w:r>
        <w:rPr>
          <w:rFonts w:hint="eastAsia" w:ascii="Times New Roman" w:hAnsi="Times New Roman" w:cs="Times New Roman"/>
          <w:b/>
          <w:color w:val="auto"/>
          <w:sz w:val="32"/>
          <w:szCs w:val="32"/>
          <w:highlight w:val="none"/>
          <w:lang w:eastAsia="zh-CN"/>
        </w:rPr>
        <w:t>广西朗亿工程咨询有限公司</w:t>
      </w:r>
    </w:p>
    <w:p w14:paraId="5384FA5A">
      <w:pPr>
        <w:pStyle w:val="17"/>
        <w:spacing w:line="48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lang w:val="en-US" w:eastAsia="zh-CN"/>
        </w:rPr>
        <w:t>202</w:t>
      </w:r>
      <w:r>
        <w:rPr>
          <w:rFonts w:hint="eastAsia" w:ascii="Times New Roman" w:hAnsi="Times New Roman" w:cs="Times New Roman"/>
          <w:b/>
          <w:color w:val="auto"/>
          <w:sz w:val="32"/>
          <w:szCs w:val="32"/>
          <w:highlight w:val="none"/>
          <w:lang w:val="en-US" w:eastAsia="zh-CN"/>
        </w:rPr>
        <w:t>5</w:t>
      </w:r>
      <w:r>
        <w:rPr>
          <w:rFonts w:hint="default" w:ascii="Times New Roman" w:hAnsi="Times New Roman" w:cs="Times New Roman"/>
          <w:b/>
          <w:color w:val="auto"/>
          <w:sz w:val="32"/>
          <w:szCs w:val="32"/>
          <w:highlight w:val="none"/>
        </w:rPr>
        <w:t>年</w:t>
      </w:r>
      <w:r>
        <w:rPr>
          <w:rFonts w:hint="eastAsia" w:ascii="Times New Roman" w:hAnsi="Times New Roman" w:cs="Times New Roman"/>
          <w:b/>
          <w:color w:val="auto"/>
          <w:sz w:val="32"/>
          <w:szCs w:val="32"/>
          <w:highlight w:val="none"/>
          <w:lang w:val="en-US" w:eastAsia="zh-CN"/>
        </w:rPr>
        <w:t>12</w:t>
      </w:r>
      <w:r>
        <w:rPr>
          <w:rFonts w:hint="default" w:ascii="Times New Roman" w:hAnsi="Times New Roman" w:cs="Times New Roman"/>
          <w:b/>
          <w:color w:val="auto"/>
          <w:sz w:val="32"/>
          <w:szCs w:val="32"/>
          <w:highlight w:val="none"/>
        </w:rPr>
        <w:t>月</w:t>
      </w:r>
    </w:p>
    <w:p w14:paraId="4B7C4FC2">
      <w:pPr>
        <w:pStyle w:val="17"/>
        <w:spacing w:line="480" w:lineRule="auto"/>
        <w:rPr>
          <w:rFonts w:hint="default" w:ascii="Times New Roman" w:hAnsi="Times New Roman" w:cs="Times New Roman"/>
          <w:b/>
          <w:color w:val="auto"/>
          <w:sz w:val="32"/>
          <w:highlight w:val="none"/>
        </w:rPr>
      </w:pPr>
    </w:p>
    <w:p w14:paraId="4731DF3A">
      <w:pPr>
        <w:rPr>
          <w:rFonts w:hint="default" w:ascii="Times New Roman" w:hAnsi="Times New Roman" w:cs="Times New Roman"/>
          <w:b/>
          <w:color w:val="auto"/>
          <w:sz w:val="32"/>
          <w:highlight w:val="none"/>
        </w:rPr>
      </w:pPr>
    </w:p>
    <w:p w14:paraId="5A8543B0">
      <w:pPr>
        <w:pStyle w:val="23"/>
        <w:rPr>
          <w:rFonts w:hint="default" w:ascii="Times New Roman" w:hAnsi="Times New Roman" w:cs="Times New Roman"/>
          <w:color w:val="auto"/>
          <w:highlight w:val="none"/>
        </w:rPr>
      </w:pPr>
    </w:p>
    <w:p w14:paraId="53F2FF92">
      <w:pPr>
        <w:pStyle w:val="17"/>
        <w:ind w:left="409"/>
        <w:jc w:val="center"/>
        <w:rPr>
          <w:rFonts w:hint="default" w:ascii="Times New Roman" w:hAnsi="Times New Roman" w:eastAsia="隶书" w:cs="Times New Roman"/>
          <w:color w:val="auto"/>
          <w:sz w:val="44"/>
          <w:highlight w:val="none"/>
        </w:rPr>
      </w:pPr>
      <w:r>
        <w:rPr>
          <w:rFonts w:hint="default" w:ascii="Times New Roman" w:hAnsi="Times New Roman" w:eastAsia="隶书" w:cs="Times New Roman"/>
          <w:color w:val="auto"/>
          <w:sz w:val="44"/>
          <w:highlight w:val="none"/>
        </w:rPr>
        <w:t>目   录</w:t>
      </w:r>
    </w:p>
    <w:p w14:paraId="0A5B68A0">
      <w:pPr>
        <w:pStyle w:val="17"/>
        <w:spacing w:line="480" w:lineRule="auto"/>
        <w:rPr>
          <w:rFonts w:hint="default" w:ascii="Times New Roman" w:hAnsi="Times New Roman" w:eastAsia="隶书" w:cs="Times New Roman"/>
          <w:color w:val="auto"/>
          <w:sz w:val="28"/>
          <w:szCs w:val="28"/>
          <w:highlight w:val="none"/>
        </w:rPr>
      </w:pPr>
      <w:r>
        <w:rPr>
          <w:rFonts w:hint="default" w:ascii="Times New Roman" w:hAnsi="Times New Roman" w:eastAsia="隶书" w:cs="Times New Roman"/>
          <w:color w:val="auto"/>
          <w:sz w:val="28"/>
          <w:szCs w:val="28"/>
          <w:highlight w:val="none"/>
        </w:rPr>
        <w:fldChar w:fldCharType="begin"/>
      </w:r>
      <w:r>
        <w:rPr>
          <w:rFonts w:hint="default" w:ascii="Times New Roman" w:hAnsi="Times New Roman" w:eastAsia="隶书" w:cs="Times New Roman"/>
          <w:color w:val="auto"/>
          <w:sz w:val="28"/>
          <w:szCs w:val="28"/>
          <w:highlight w:val="none"/>
        </w:rPr>
        <w:instrText xml:space="preserve"> TOC \o "1-4" \h \z \u </w:instrText>
      </w:r>
      <w:r>
        <w:rPr>
          <w:rFonts w:hint="default" w:ascii="Times New Roman" w:hAnsi="Times New Roman" w:eastAsia="隶书" w:cs="Times New Roman"/>
          <w:color w:val="auto"/>
          <w:sz w:val="28"/>
          <w:szCs w:val="28"/>
          <w:highlight w:val="none"/>
        </w:rPr>
        <w:fldChar w:fldCharType="separate"/>
      </w:r>
      <w:r>
        <w:rPr>
          <w:rFonts w:hint="default" w:ascii="Times New Roman" w:hAnsi="Times New Roman" w:eastAsia="隶书" w:cs="Times New Roman"/>
          <w:color w:val="auto"/>
          <w:sz w:val="28"/>
          <w:szCs w:val="28"/>
          <w:highlight w:val="none"/>
        </w:rPr>
        <w:fldChar w:fldCharType="begin"/>
      </w:r>
      <w:r>
        <w:rPr>
          <w:rFonts w:hint="default" w:ascii="Times New Roman" w:hAnsi="Times New Roman" w:eastAsia="隶书" w:cs="Times New Roman"/>
          <w:color w:val="auto"/>
          <w:sz w:val="28"/>
          <w:szCs w:val="28"/>
          <w:highlight w:val="none"/>
        </w:rPr>
        <w:instrText xml:space="preserve"> HYPERLINK \l _Toc4406 </w:instrText>
      </w:r>
      <w:r>
        <w:rPr>
          <w:rFonts w:hint="default" w:ascii="Times New Roman" w:hAnsi="Times New Roman" w:eastAsia="隶书" w:cs="Times New Roman"/>
          <w:color w:val="auto"/>
          <w:sz w:val="28"/>
          <w:szCs w:val="28"/>
          <w:highlight w:val="none"/>
        </w:rPr>
        <w:fldChar w:fldCharType="separate"/>
      </w:r>
      <w:r>
        <w:rPr>
          <w:rFonts w:hint="default" w:ascii="Times New Roman" w:hAnsi="Times New Roman" w:eastAsia="隶书" w:cs="Times New Roman"/>
          <w:color w:val="auto"/>
          <w:sz w:val="28"/>
          <w:szCs w:val="28"/>
          <w:highlight w:val="none"/>
        </w:rPr>
        <w:fldChar w:fldCharType="end"/>
      </w:r>
    </w:p>
    <w:p w14:paraId="43A4DB60">
      <w:pPr>
        <w:pStyle w:val="26"/>
        <w:tabs>
          <w:tab w:val="right" w:leader="dot" w:pos="8820"/>
        </w:tabs>
        <w:spacing w:line="480" w:lineRule="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HYPERLINK \l _Toc9153 </w:instrText>
      </w:r>
      <w:r>
        <w:rPr>
          <w:rFonts w:hint="default" w:ascii="Times New Roman" w:hAnsi="Times New Roman" w:cs="Times New Roman"/>
          <w:color w:val="auto"/>
          <w:szCs w:val="28"/>
          <w:highlight w:val="none"/>
        </w:rPr>
        <w:fldChar w:fldCharType="separate"/>
      </w:r>
      <w:r>
        <w:rPr>
          <w:rFonts w:hint="default" w:ascii="Times New Roman" w:hAnsi="Times New Roman" w:eastAsia="隶书" w:cs="Times New Roman"/>
          <w:color w:val="auto"/>
          <w:szCs w:val="28"/>
          <w:highlight w:val="none"/>
        </w:rPr>
        <w:t>第一章 磋商人须知及前附表..........................................................................</w:t>
      </w:r>
      <w:r>
        <w:rPr>
          <w:rFonts w:hint="default" w:ascii="Times New Roman" w:hAnsi="Times New Roman" w:eastAsia="隶书" w:cs="Times New Roman"/>
          <w:color w:val="auto"/>
          <w:szCs w:val="28"/>
          <w:highlight w:val="none"/>
          <w:lang w:val="en-US" w:eastAsia="zh-CN"/>
        </w:rPr>
        <w:t>6</w:t>
      </w:r>
      <w:r>
        <w:rPr>
          <w:rFonts w:hint="default" w:ascii="Times New Roman" w:hAnsi="Times New Roman" w:cs="Times New Roman"/>
          <w:color w:val="auto"/>
          <w:szCs w:val="28"/>
          <w:highlight w:val="none"/>
        </w:rPr>
        <w:fldChar w:fldCharType="end"/>
      </w:r>
    </w:p>
    <w:p w14:paraId="431E7C35">
      <w:pPr>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HYPERLINK \l _Toc10858 </w:instrText>
      </w:r>
      <w:r>
        <w:rPr>
          <w:rFonts w:hint="default" w:ascii="Times New Roman" w:hAnsi="Times New Roman" w:cs="Times New Roman"/>
          <w:color w:val="auto"/>
          <w:szCs w:val="28"/>
          <w:highlight w:val="none"/>
        </w:rPr>
        <w:fldChar w:fldCharType="separate"/>
      </w:r>
      <w:r>
        <w:rPr>
          <w:rFonts w:hint="default" w:ascii="Times New Roman" w:hAnsi="Times New Roman" w:eastAsia="隶书" w:cs="Times New Roman"/>
          <w:color w:val="auto"/>
          <w:sz w:val="28"/>
          <w:szCs w:val="28"/>
          <w:highlight w:val="none"/>
        </w:rPr>
        <w:t>第二章 服务需求一览表............................................................................</w:t>
      </w:r>
      <w:r>
        <w:rPr>
          <w:rFonts w:hint="default" w:ascii="Times New Roman" w:hAnsi="Times New Roman" w:eastAsia="隶书" w:cs="Times New Roman"/>
          <w:color w:val="auto"/>
          <w:sz w:val="28"/>
          <w:szCs w:val="28"/>
          <w:highlight w:val="none"/>
          <w:lang w:val="en-US" w:eastAsia="zh-CN"/>
        </w:rPr>
        <w:t>.</w:t>
      </w:r>
      <w:r>
        <w:rPr>
          <w:rFonts w:hint="default" w:ascii="Times New Roman" w:hAnsi="Times New Roman" w:eastAsia="隶书" w:cs="Times New Roman"/>
          <w:color w:val="auto"/>
          <w:sz w:val="28"/>
          <w:szCs w:val="28"/>
          <w:highlight w:val="none"/>
        </w:rPr>
        <w:t>...</w:t>
      </w:r>
      <w:r>
        <w:rPr>
          <w:rFonts w:hint="default" w:ascii="Times New Roman" w:hAnsi="Times New Roman" w:eastAsia="隶书" w:cs="Times New Roman"/>
          <w:color w:val="auto"/>
          <w:sz w:val="28"/>
          <w:szCs w:val="28"/>
          <w:highlight w:val="none"/>
          <w:lang w:val="en-US" w:eastAsia="zh-CN"/>
        </w:rPr>
        <w:t>25</w:t>
      </w:r>
      <w:r>
        <w:rPr>
          <w:rFonts w:hint="default" w:ascii="Times New Roman" w:hAnsi="Times New Roman" w:cs="Times New Roman"/>
          <w:color w:val="auto"/>
          <w:szCs w:val="28"/>
          <w:highlight w:val="none"/>
        </w:rPr>
        <w:fldChar w:fldCharType="end"/>
      </w:r>
    </w:p>
    <w:p w14:paraId="21F1021E">
      <w:pPr>
        <w:pStyle w:val="26"/>
        <w:tabs>
          <w:tab w:val="right" w:leader="dot" w:pos="8820"/>
        </w:tabs>
        <w:spacing w:line="480" w:lineRule="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HYPERLINK \l _Toc29259 </w:instrText>
      </w:r>
      <w:r>
        <w:rPr>
          <w:rFonts w:hint="default" w:ascii="Times New Roman" w:hAnsi="Times New Roman" w:cs="Times New Roman"/>
          <w:color w:val="auto"/>
          <w:szCs w:val="28"/>
          <w:highlight w:val="none"/>
        </w:rPr>
        <w:fldChar w:fldCharType="separate"/>
      </w:r>
      <w:r>
        <w:rPr>
          <w:rFonts w:hint="default" w:ascii="Times New Roman" w:hAnsi="Times New Roman" w:eastAsia="隶书" w:cs="Times New Roman"/>
          <w:color w:val="auto"/>
          <w:szCs w:val="28"/>
          <w:highlight w:val="none"/>
        </w:rPr>
        <w:t>第三章 合同书格式</w:t>
      </w:r>
      <w:r>
        <w:rPr>
          <w:rFonts w:hint="default" w:ascii="Times New Roman" w:hAnsi="Times New Roman" w:cs="Times New Roman"/>
          <w:color w:val="auto"/>
          <w:szCs w:val="28"/>
          <w:highlight w:val="none"/>
        </w:rPr>
        <w:tab/>
      </w:r>
      <w:r>
        <w:rPr>
          <w:rFonts w:hint="default" w:ascii="Times New Roman" w:hAnsi="Times New Roman" w:cs="Times New Roman"/>
          <w:color w:val="auto"/>
          <w:szCs w:val="28"/>
          <w:highlight w:val="none"/>
        </w:rPr>
        <w:t>.</w:t>
      </w: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PAGEREF _Toc29259 </w:instrText>
      </w:r>
      <w:r>
        <w:rPr>
          <w:rFonts w:hint="default" w:ascii="Times New Roman" w:hAnsi="Times New Roman" w:cs="Times New Roman"/>
          <w:color w:val="auto"/>
          <w:szCs w:val="28"/>
          <w:highlight w:val="none"/>
        </w:rPr>
        <w:fldChar w:fldCharType="separate"/>
      </w:r>
      <w:r>
        <w:rPr>
          <w:rFonts w:hint="default" w:ascii="Times New Roman" w:hAnsi="Times New Roman" w:cs="Times New Roman"/>
          <w:color w:val="auto"/>
          <w:szCs w:val="28"/>
          <w:highlight w:val="none"/>
        </w:rPr>
        <w:t>27</w:t>
      </w:r>
      <w:r>
        <w:rPr>
          <w:rFonts w:hint="default" w:ascii="Times New Roman" w:hAnsi="Times New Roman" w:cs="Times New Roman"/>
          <w:color w:val="auto"/>
          <w:szCs w:val="28"/>
          <w:highlight w:val="none"/>
        </w:rPr>
        <w:fldChar w:fldCharType="end"/>
      </w:r>
      <w:r>
        <w:rPr>
          <w:rFonts w:hint="default" w:ascii="Times New Roman" w:hAnsi="Times New Roman" w:cs="Times New Roman"/>
          <w:color w:val="auto"/>
          <w:szCs w:val="28"/>
          <w:highlight w:val="none"/>
        </w:rPr>
        <w:fldChar w:fldCharType="end"/>
      </w:r>
    </w:p>
    <w:p w14:paraId="75C75E3F">
      <w:pPr>
        <w:pStyle w:val="26"/>
        <w:tabs>
          <w:tab w:val="right" w:leader="dot" w:pos="8820"/>
        </w:tabs>
        <w:spacing w:line="480" w:lineRule="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HYPERLINK \l _Toc21644 </w:instrText>
      </w:r>
      <w:r>
        <w:rPr>
          <w:rFonts w:hint="default" w:ascii="Times New Roman" w:hAnsi="Times New Roman" w:cs="Times New Roman"/>
          <w:color w:val="auto"/>
          <w:szCs w:val="28"/>
          <w:highlight w:val="none"/>
        </w:rPr>
        <w:fldChar w:fldCharType="separate"/>
      </w:r>
      <w:r>
        <w:rPr>
          <w:rFonts w:hint="default" w:ascii="Times New Roman" w:hAnsi="Times New Roman" w:eastAsia="隶书" w:cs="Times New Roman"/>
          <w:color w:val="auto"/>
          <w:szCs w:val="28"/>
          <w:highlight w:val="none"/>
        </w:rPr>
        <w:t>第四章 磋商响应文件格式</w:t>
      </w:r>
      <w:r>
        <w:rPr>
          <w:rFonts w:hint="default" w:ascii="Times New Roman" w:hAnsi="Times New Roman" w:cs="Times New Roman"/>
          <w:color w:val="auto"/>
          <w:szCs w:val="28"/>
          <w:highlight w:val="none"/>
        </w:rPr>
        <w:tab/>
      </w: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PAGEREF _Toc21644 </w:instrText>
      </w:r>
      <w:r>
        <w:rPr>
          <w:rFonts w:hint="default" w:ascii="Times New Roman" w:hAnsi="Times New Roman" w:cs="Times New Roman"/>
          <w:color w:val="auto"/>
          <w:szCs w:val="28"/>
          <w:highlight w:val="none"/>
        </w:rPr>
        <w:fldChar w:fldCharType="separate"/>
      </w:r>
      <w:r>
        <w:rPr>
          <w:rFonts w:hint="default" w:ascii="Times New Roman" w:hAnsi="Times New Roman" w:cs="Times New Roman"/>
          <w:color w:val="auto"/>
          <w:szCs w:val="28"/>
          <w:highlight w:val="none"/>
        </w:rPr>
        <w:t>30</w:t>
      </w:r>
      <w:r>
        <w:rPr>
          <w:rFonts w:hint="default" w:ascii="Times New Roman" w:hAnsi="Times New Roman" w:cs="Times New Roman"/>
          <w:color w:val="auto"/>
          <w:szCs w:val="28"/>
          <w:highlight w:val="none"/>
        </w:rPr>
        <w:fldChar w:fldCharType="end"/>
      </w:r>
      <w:r>
        <w:rPr>
          <w:rFonts w:hint="default" w:ascii="Times New Roman" w:hAnsi="Times New Roman" w:cs="Times New Roman"/>
          <w:color w:val="auto"/>
          <w:szCs w:val="28"/>
          <w:highlight w:val="none"/>
        </w:rPr>
        <w:fldChar w:fldCharType="end"/>
      </w:r>
    </w:p>
    <w:p w14:paraId="37615B13">
      <w:pPr>
        <w:pStyle w:val="26"/>
        <w:tabs>
          <w:tab w:val="right" w:leader="dot" w:pos="8820"/>
        </w:tabs>
        <w:spacing w:line="480" w:lineRule="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HYPERLINK \l _Toc15275 </w:instrText>
      </w:r>
      <w:r>
        <w:rPr>
          <w:rFonts w:hint="default" w:ascii="Times New Roman" w:hAnsi="Times New Roman" w:cs="Times New Roman"/>
          <w:color w:val="auto"/>
          <w:szCs w:val="28"/>
          <w:highlight w:val="none"/>
        </w:rPr>
        <w:fldChar w:fldCharType="separate"/>
      </w:r>
      <w:r>
        <w:rPr>
          <w:rFonts w:hint="default" w:ascii="Times New Roman" w:hAnsi="Times New Roman" w:eastAsia="隶书" w:cs="Times New Roman"/>
          <w:color w:val="auto"/>
          <w:szCs w:val="28"/>
          <w:highlight w:val="none"/>
        </w:rPr>
        <w:t>第五章  评标办法</w:t>
      </w:r>
      <w:r>
        <w:rPr>
          <w:rFonts w:hint="default" w:ascii="Times New Roman" w:hAnsi="Times New Roman" w:cs="Times New Roman"/>
          <w:color w:val="auto"/>
          <w:szCs w:val="28"/>
          <w:highlight w:val="none"/>
        </w:rPr>
        <w:tab/>
      </w: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PAGEREF _Toc15275 </w:instrText>
      </w:r>
      <w:r>
        <w:rPr>
          <w:rFonts w:hint="default" w:ascii="Times New Roman" w:hAnsi="Times New Roman" w:cs="Times New Roman"/>
          <w:color w:val="auto"/>
          <w:szCs w:val="28"/>
          <w:highlight w:val="none"/>
        </w:rPr>
        <w:fldChar w:fldCharType="separate"/>
      </w:r>
      <w:r>
        <w:rPr>
          <w:rFonts w:hint="default" w:ascii="Times New Roman" w:hAnsi="Times New Roman" w:cs="Times New Roman"/>
          <w:color w:val="auto"/>
          <w:szCs w:val="28"/>
          <w:highlight w:val="none"/>
        </w:rPr>
        <w:t>44</w:t>
      </w:r>
      <w:r>
        <w:rPr>
          <w:rFonts w:hint="default" w:ascii="Times New Roman" w:hAnsi="Times New Roman" w:cs="Times New Roman"/>
          <w:color w:val="auto"/>
          <w:szCs w:val="28"/>
          <w:highlight w:val="none"/>
        </w:rPr>
        <w:fldChar w:fldCharType="end"/>
      </w:r>
      <w:r>
        <w:rPr>
          <w:rFonts w:hint="default" w:ascii="Times New Roman" w:hAnsi="Times New Roman" w:cs="Times New Roman"/>
          <w:color w:val="auto"/>
          <w:szCs w:val="28"/>
          <w:highlight w:val="none"/>
        </w:rPr>
        <w:fldChar w:fldCharType="end"/>
      </w:r>
    </w:p>
    <w:p w14:paraId="143BBBBB">
      <w:pPr>
        <w:pStyle w:val="17"/>
        <w:spacing w:line="480" w:lineRule="auto"/>
        <w:ind w:left="409"/>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end"/>
      </w:r>
    </w:p>
    <w:p w14:paraId="4EB9DBE9">
      <w:pPr>
        <w:pStyle w:val="17"/>
        <w:ind w:left="412" w:leftChars="196"/>
        <w:rPr>
          <w:rFonts w:hint="default" w:ascii="Times New Roman" w:hAnsi="Times New Roman" w:cs="Times New Roman"/>
          <w:color w:val="auto"/>
          <w:sz w:val="28"/>
          <w:szCs w:val="28"/>
          <w:highlight w:val="none"/>
        </w:rPr>
        <w:sectPr>
          <w:footerReference r:id="rId3" w:type="even"/>
          <w:pgSz w:w="11849" w:h="16781"/>
          <w:pgMar w:top="1134" w:right="1589" w:bottom="1134" w:left="1440" w:header="720" w:footer="720" w:gutter="0"/>
          <w:pgNumType w:start="0"/>
          <w:cols w:space="720" w:num="1"/>
          <w:titlePg/>
          <w:docGrid w:type="lines" w:linePitch="312" w:charSpace="0"/>
        </w:sectPr>
      </w:pPr>
    </w:p>
    <w:p w14:paraId="7558827E">
      <w:pPr>
        <w:pStyle w:val="17"/>
        <w:keepNext w:val="0"/>
        <w:keepLines w:val="0"/>
        <w:pageBreakBefore w:val="0"/>
        <w:widowControl w:val="0"/>
        <w:kinsoku/>
        <w:wordWrap/>
        <w:overflowPunct/>
        <w:topLinePunct w:val="0"/>
        <w:autoSpaceDE/>
        <w:autoSpaceDN/>
        <w:bidi w:val="0"/>
        <w:adjustRightInd/>
        <w:snapToGrid/>
        <w:spacing w:after="156" w:afterLines="50" w:line="420" w:lineRule="exact"/>
        <w:jc w:val="center"/>
        <w:textAlignment w:val="auto"/>
        <w:outlineLvl w:val="0"/>
        <w:rPr>
          <w:rFonts w:hint="eastAsia" w:ascii="Times New Roman" w:hAnsi="Times New Roman" w:eastAsia="宋体" w:cs="Times New Roman"/>
          <w:color w:val="auto"/>
          <w:szCs w:val="21"/>
          <w:highlight w:val="none"/>
          <w:lang w:eastAsia="zh-CN"/>
        </w:rPr>
      </w:pPr>
      <w:bookmarkStart w:id="0" w:name="_Toc209603847"/>
      <w:bookmarkStart w:id="1" w:name="_Toc147250308"/>
      <w:bookmarkStart w:id="2" w:name="_Toc429468391"/>
      <w:bookmarkStart w:id="3" w:name="_Toc147250354"/>
      <w:bookmarkStart w:id="4" w:name="_Toc17456"/>
      <w:bookmarkStart w:id="5" w:name="_Toc9153"/>
      <w:r>
        <w:rPr>
          <w:rFonts w:hint="eastAsia" w:ascii="Times New Roman" w:hAnsi="Times New Roman" w:cs="Times New Roman"/>
          <w:b/>
          <w:bCs/>
          <w:color w:val="auto"/>
          <w:sz w:val="28"/>
          <w:szCs w:val="28"/>
          <w:highlight w:val="none"/>
          <w:lang w:eastAsia="zh-CN"/>
        </w:rPr>
        <w:t>广西朗亿工程咨询有限公司</w:t>
      </w:r>
      <w:r>
        <w:rPr>
          <w:rFonts w:hint="default" w:ascii="Times New Roman" w:hAnsi="Times New Roman" w:cs="Times New Roman"/>
          <w:b/>
          <w:bCs/>
          <w:color w:val="auto"/>
          <w:sz w:val="28"/>
          <w:szCs w:val="28"/>
          <w:highlight w:val="none"/>
        </w:rPr>
        <w:t>关于</w:t>
      </w:r>
      <w:r>
        <w:rPr>
          <w:rFonts w:hint="eastAsia" w:ascii="Times New Roman" w:hAnsi="Times New Roman" w:cs="Times New Roman"/>
          <w:b/>
          <w:bCs/>
          <w:color w:val="auto"/>
          <w:sz w:val="28"/>
          <w:szCs w:val="28"/>
          <w:highlight w:val="none"/>
          <w:lang w:eastAsia="zh-CN"/>
        </w:rPr>
        <w:t>贺州市涉重金属风险排查项目（重）</w:t>
      </w:r>
      <w:r>
        <w:rPr>
          <w:rFonts w:hint="default" w:ascii="Times New Roman" w:hAnsi="Times New Roman" w:cs="Times New Roman"/>
          <w:b/>
          <w:bCs/>
          <w:color w:val="auto"/>
          <w:sz w:val="28"/>
          <w:szCs w:val="28"/>
          <w:highlight w:val="none"/>
        </w:rPr>
        <w:t>竞争性磋商采购公告</w:t>
      </w:r>
      <w:r>
        <w:rPr>
          <w:rFonts w:hint="eastAsia" w:ascii="Times New Roman" w:hAnsi="Times New Roman" w:cs="Times New Roman"/>
          <w:b/>
          <w:bCs/>
          <w:color w:val="auto"/>
          <w:sz w:val="28"/>
          <w:szCs w:val="28"/>
          <w:highlight w:val="none"/>
          <w:lang w:eastAsia="zh-CN"/>
        </w:rPr>
        <w:t>（</w:t>
      </w:r>
      <w:r>
        <w:rPr>
          <w:rFonts w:hint="eastAsia" w:ascii="Times New Roman" w:hAnsi="Times New Roman" w:cs="Times New Roman"/>
          <w:b/>
          <w:bCs/>
          <w:color w:val="auto"/>
          <w:sz w:val="28"/>
          <w:szCs w:val="28"/>
          <w:highlight w:val="none"/>
          <w:lang w:val="en-US" w:eastAsia="zh-CN"/>
        </w:rPr>
        <w:t>远程异地评标</w:t>
      </w:r>
      <w:r>
        <w:rPr>
          <w:rFonts w:hint="eastAsia" w:ascii="Times New Roman" w:hAnsi="Times New Roman" w:cs="Times New Roman"/>
          <w:b/>
          <w:bCs/>
          <w:color w:val="auto"/>
          <w:sz w:val="28"/>
          <w:szCs w:val="28"/>
          <w:highlight w:val="none"/>
          <w:lang w:eastAsia="zh-CN"/>
        </w:rPr>
        <w:t>）</w:t>
      </w:r>
    </w:p>
    <w:p w14:paraId="0FF4E599">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项目概况</w:t>
      </w:r>
    </w:p>
    <w:p w14:paraId="145E9498">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color w:val="auto"/>
          <w:szCs w:val="21"/>
          <w:highlight w:val="none"/>
        </w:rPr>
      </w:pPr>
      <w:r>
        <w:rPr>
          <w:rFonts w:hint="eastAsia" w:cs="Times New Roman"/>
          <w:color w:val="auto"/>
          <w:kern w:val="0"/>
          <w:szCs w:val="21"/>
          <w:highlight w:val="none"/>
          <w:u w:val="single"/>
          <w:lang w:eastAsia="zh-CN"/>
        </w:rPr>
        <w:t>贺州市涉重金属风险排查项目（重）</w:t>
      </w:r>
      <w:r>
        <w:rPr>
          <w:rFonts w:hint="default" w:ascii="Times New Roman" w:hAnsi="Times New Roman" w:cs="Times New Roman"/>
          <w:color w:val="auto"/>
          <w:szCs w:val="21"/>
          <w:highlight w:val="none"/>
        </w:rPr>
        <w:t>的潜在供应商应在</w:t>
      </w:r>
      <w:r>
        <w:rPr>
          <w:rFonts w:hint="eastAsia" w:cs="Times New Roman"/>
          <w:color w:val="auto"/>
          <w:sz w:val="21"/>
          <w:szCs w:val="21"/>
          <w:highlight w:val="none"/>
          <w:u w:val="single"/>
          <w:lang w:eastAsia="zh-CN"/>
        </w:rPr>
        <w:t>广西政府采购云平台（https://www.gcy.zfcg.gxzf.gov.cn/）</w:t>
      </w:r>
      <w:r>
        <w:rPr>
          <w:rFonts w:hint="default" w:ascii="Times New Roman" w:hAnsi="Times New Roman" w:eastAsia="宋体" w:cs="Times New Roman"/>
          <w:color w:val="auto"/>
          <w:sz w:val="21"/>
          <w:szCs w:val="21"/>
          <w:highlight w:val="none"/>
          <w:u w:val="single"/>
          <w:lang w:eastAsia="zh-CN"/>
        </w:rPr>
        <w:t>获取（下载）</w:t>
      </w:r>
      <w:r>
        <w:rPr>
          <w:rFonts w:hint="default" w:ascii="Times New Roman" w:hAnsi="Times New Roman" w:cs="Times New Roman"/>
          <w:color w:val="auto"/>
          <w:szCs w:val="21"/>
          <w:highlight w:val="none"/>
        </w:rPr>
        <w:t>获取竞争性磋商文件，并于</w:t>
      </w:r>
      <w:r>
        <w:rPr>
          <w:rFonts w:hint="default" w:ascii="Times New Roman" w:hAnsi="Times New Roman" w:cs="Times New Roman"/>
          <w:bCs/>
          <w:color w:val="auto"/>
          <w:szCs w:val="21"/>
          <w:highlight w:val="none"/>
          <w:u w:val="single"/>
          <w:lang w:val="en-US" w:eastAsia="zh-CN"/>
        </w:rPr>
        <w:t>202</w:t>
      </w:r>
      <w:r>
        <w:rPr>
          <w:rFonts w:hint="eastAsia" w:cs="Times New Roman"/>
          <w:bCs/>
          <w:color w:val="auto"/>
          <w:szCs w:val="21"/>
          <w:highlight w:val="none"/>
          <w:u w:val="single"/>
          <w:lang w:val="en-US" w:eastAsia="zh-CN"/>
        </w:rPr>
        <w:t>6</w:t>
      </w:r>
      <w:r>
        <w:rPr>
          <w:rFonts w:hint="default" w:ascii="Times New Roman" w:hAnsi="Times New Roman" w:cs="Times New Roman"/>
          <w:bCs/>
          <w:color w:val="auto"/>
          <w:szCs w:val="21"/>
          <w:highlight w:val="none"/>
          <w:u w:val="single"/>
          <w:lang w:val="en-US" w:eastAsia="zh-CN"/>
        </w:rPr>
        <w:t>年</w:t>
      </w:r>
      <w:r>
        <w:rPr>
          <w:rFonts w:hint="eastAsia" w:cs="Times New Roman"/>
          <w:bCs/>
          <w:color w:val="auto"/>
          <w:szCs w:val="21"/>
          <w:highlight w:val="none"/>
          <w:u w:val="single"/>
          <w:lang w:val="en-US" w:eastAsia="zh-CN"/>
        </w:rPr>
        <w:t>01</w:t>
      </w:r>
      <w:r>
        <w:rPr>
          <w:rFonts w:hint="default" w:ascii="Times New Roman" w:hAnsi="Times New Roman" w:cs="Times New Roman"/>
          <w:bCs/>
          <w:color w:val="auto"/>
          <w:szCs w:val="21"/>
          <w:highlight w:val="none"/>
          <w:u w:val="single"/>
          <w:lang w:val="en-US" w:eastAsia="zh-CN"/>
        </w:rPr>
        <w:t>月</w:t>
      </w:r>
      <w:r>
        <w:rPr>
          <w:rFonts w:hint="eastAsia" w:cs="Times New Roman"/>
          <w:bCs/>
          <w:color w:val="auto"/>
          <w:szCs w:val="21"/>
          <w:highlight w:val="none"/>
          <w:u w:val="single"/>
          <w:lang w:val="en-US" w:eastAsia="zh-CN"/>
        </w:rPr>
        <w:t>04</w:t>
      </w:r>
      <w:r>
        <w:rPr>
          <w:rFonts w:hint="default" w:ascii="Times New Roman" w:hAnsi="Times New Roman" w:cs="Times New Roman"/>
          <w:bCs/>
          <w:color w:val="auto"/>
          <w:szCs w:val="21"/>
          <w:highlight w:val="none"/>
          <w:u w:val="single"/>
          <w:lang w:val="en-US" w:eastAsia="zh-CN"/>
        </w:rPr>
        <w:t>日</w:t>
      </w:r>
      <w:r>
        <w:rPr>
          <w:rFonts w:hint="eastAsia" w:cs="Times New Roman"/>
          <w:bCs/>
          <w:color w:val="auto"/>
          <w:szCs w:val="21"/>
          <w:highlight w:val="none"/>
          <w:u w:val="single"/>
          <w:lang w:val="en-US" w:eastAsia="zh-CN"/>
        </w:rPr>
        <w:t>9</w:t>
      </w:r>
      <w:r>
        <w:rPr>
          <w:rFonts w:hint="default" w:ascii="Times New Roman" w:hAnsi="Times New Roman" w:cs="Times New Roman"/>
          <w:bCs/>
          <w:color w:val="auto"/>
          <w:szCs w:val="21"/>
          <w:highlight w:val="none"/>
          <w:u w:val="single"/>
          <w:lang w:val="en-US" w:eastAsia="zh-CN"/>
        </w:rPr>
        <w:t>点</w:t>
      </w:r>
      <w:r>
        <w:rPr>
          <w:rFonts w:hint="eastAsia" w:cs="Times New Roman"/>
          <w:bCs/>
          <w:color w:val="auto"/>
          <w:szCs w:val="21"/>
          <w:highlight w:val="none"/>
          <w:u w:val="single"/>
          <w:lang w:val="en-US" w:eastAsia="zh-CN"/>
        </w:rPr>
        <w:t>00</w:t>
      </w:r>
      <w:r>
        <w:rPr>
          <w:rFonts w:hint="default" w:ascii="Times New Roman" w:hAnsi="Times New Roman" w:cs="Times New Roman"/>
          <w:bCs/>
          <w:color w:val="auto"/>
          <w:szCs w:val="21"/>
          <w:highlight w:val="none"/>
          <w:u w:val="single"/>
          <w:lang w:val="en-US" w:eastAsia="zh-CN"/>
        </w:rPr>
        <w:t>分</w:t>
      </w:r>
      <w:r>
        <w:rPr>
          <w:rFonts w:hint="default" w:ascii="Times New Roman" w:hAnsi="Times New Roman" w:cs="Times New Roman"/>
          <w:bCs/>
          <w:color w:val="auto"/>
          <w:szCs w:val="21"/>
          <w:highlight w:val="none"/>
        </w:rPr>
        <w:t>（北京时间）前提交响应文件</w:t>
      </w:r>
      <w:r>
        <w:rPr>
          <w:rFonts w:hint="default" w:ascii="Times New Roman" w:hAnsi="Times New Roman" w:cs="Times New Roman"/>
          <w:color w:val="auto"/>
          <w:szCs w:val="21"/>
          <w:highlight w:val="none"/>
        </w:rPr>
        <w:t>。</w:t>
      </w:r>
    </w:p>
    <w:p w14:paraId="380CAFE2">
      <w:pPr>
        <w:bidi w:val="0"/>
        <w:spacing w:line="360" w:lineRule="auto"/>
        <w:jc w:val="left"/>
        <w:rPr>
          <w:rFonts w:hint="default"/>
          <w:b/>
          <w:bCs/>
          <w:color w:val="auto"/>
          <w:highlight w:val="none"/>
          <w:lang w:eastAsia="zh-CN"/>
        </w:rPr>
      </w:pPr>
      <w:r>
        <w:rPr>
          <w:rFonts w:hint="default"/>
          <w:b/>
          <w:bCs/>
          <w:color w:val="auto"/>
          <w:highlight w:val="none"/>
          <w:lang w:val="en-US" w:eastAsia="zh-CN"/>
        </w:rPr>
        <w:t>一、</w:t>
      </w:r>
      <w:r>
        <w:rPr>
          <w:rFonts w:hint="default"/>
          <w:b/>
          <w:bCs/>
          <w:color w:val="auto"/>
          <w:highlight w:val="none"/>
          <w:lang w:eastAsia="zh-CN"/>
        </w:rPr>
        <w:t>项目基本情况：</w:t>
      </w:r>
    </w:p>
    <w:p w14:paraId="3C5D9D59">
      <w:pPr>
        <w:pStyle w:val="17"/>
        <w:spacing w:line="360" w:lineRule="auto"/>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项目编号：</w:t>
      </w:r>
      <w:r>
        <w:rPr>
          <w:rFonts w:hint="eastAsia" w:ascii="Times New Roman" w:hAnsi="Times New Roman" w:cs="Times New Roman"/>
          <w:color w:val="auto"/>
          <w:highlight w:val="none"/>
          <w:lang w:eastAsia="zh-CN"/>
        </w:rPr>
        <w:t>HZZC2025-C3-990319-LYGC</w:t>
      </w:r>
    </w:p>
    <w:p w14:paraId="699947ED">
      <w:pPr>
        <w:pStyle w:val="17"/>
        <w:spacing w:line="360" w:lineRule="auto"/>
        <w:ind w:firstLine="42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rPr>
        <w:t>项目名称：</w:t>
      </w:r>
      <w:r>
        <w:rPr>
          <w:rFonts w:hint="eastAsia" w:ascii="Times New Roman" w:hAnsi="Times New Roman" w:cs="Times New Roman"/>
          <w:color w:val="auto"/>
          <w:highlight w:val="none"/>
          <w:lang w:eastAsia="zh-CN"/>
        </w:rPr>
        <w:t>贺州市涉重金属风险排查项目（重）</w:t>
      </w:r>
    </w:p>
    <w:p w14:paraId="7A63B234">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采购方式：竞争性磋商</w:t>
      </w:r>
    </w:p>
    <w:p w14:paraId="52F912B1">
      <w:pPr>
        <w:pStyle w:val="17"/>
        <w:spacing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预算金额：人民币</w:t>
      </w:r>
      <w:r>
        <w:rPr>
          <w:rFonts w:hint="eastAsia" w:ascii="Times New Roman" w:hAnsi="Times New Roman" w:cs="Times New Roman"/>
          <w:color w:val="auto"/>
          <w:highlight w:val="none"/>
          <w:lang w:val="en-US" w:eastAsia="zh-CN"/>
        </w:rPr>
        <w:t>捌拾壹万贰仟</w:t>
      </w:r>
      <w:r>
        <w:rPr>
          <w:rFonts w:hint="default" w:ascii="Times New Roman" w:hAnsi="Times New Roman" w:cs="Times New Roman"/>
          <w:color w:val="auto"/>
          <w:highlight w:val="none"/>
        </w:rPr>
        <w:t>元整</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812000</w:t>
      </w:r>
      <w:r>
        <w:rPr>
          <w:rFonts w:hint="default" w:ascii="Times New Roman" w:hAnsi="Times New Roman" w:cs="Times New Roman"/>
          <w:color w:val="auto"/>
          <w:highlight w:val="none"/>
        </w:rPr>
        <w:t>.00)</w:t>
      </w:r>
    </w:p>
    <w:p w14:paraId="5959A712">
      <w:pPr>
        <w:pStyle w:val="17"/>
        <w:spacing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采购</w:t>
      </w:r>
      <w:r>
        <w:rPr>
          <w:rFonts w:hint="default" w:ascii="Times New Roman" w:hAnsi="Times New Roman" w:cs="Times New Roman"/>
          <w:color w:val="auto"/>
          <w:highlight w:val="none"/>
          <w:lang w:val="en-US" w:eastAsia="zh-CN"/>
        </w:rPr>
        <w:t>需求：</w:t>
      </w:r>
      <w:r>
        <w:rPr>
          <w:rFonts w:hint="eastAsia" w:ascii="Times New Roman" w:hAnsi="Times New Roman" w:cs="Times New Roman"/>
          <w:color w:val="auto"/>
          <w:highlight w:val="none"/>
          <w:lang w:val="en-US" w:eastAsia="zh-CN"/>
        </w:rPr>
        <w:t>贺州市涉重金属风险排查项目（重）</w:t>
      </w:r>
      <w:r>
        <w:rPr>
          <w:rFonts w:hint="default" w:ascii="Times New Roman" w:hAnsi="Times New Roman" w:cs="Times New Roman"/>
          <w:color w:val="auto"/>
          <w:highlight w:val="none"/>
          <w:lang w:val="en-US" w:eastAsia="zh-CN"/>
        </w:rPr>
        <w:t xml:space="preserve"> ，如需进一步了解详细内容，详见竞争性磋商文件。</w:t>
      </w:r>
    </w:p>
    <w:p w14:paraId="19036EC5">
      <w:pPr>
        <w:pStyle w:val="17"/>
        <w:spacing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合同履行期限</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合同签订之日</w:t>
      </w:r>
      <w:r>
        <w:rPr>
          <w:rFonts w:hint="eastAsia" w:ascii="Times New Roman" w:hAnsi="Times New Roman" w:cs="Times New Roman"/>
          <w:color w:val="auto"/>
          <w:highlight w:val="none"/>
          <w:lang w:eastAsia="zh-CN"/>
        </w:rPr>
        <w:t>起</w:t>
      </w:r>
      <w:r>
        <w:rPr>
          <w:rFonts w:hint="default" w:ascii="Times New Roman" w:hAnsi="Times New Roman" w:cs="Times New Roman"/>
          <w:color w:val="auto"/>
          <w:highlight w:val="none"/>
          <w:lang w:eastAsia="zh-CN"/>
        </w:rPr>
        <w:t>至</w:t>
      </w:r>
      <w:r>
        <w:rPr>
          <w:rFonts w:hint="default" w:ascii="Times New Roman" w:hAnsi="Times New Roman" w:cs="Times New Roman"/>
          <w:color w:val="auto"/>
          <w:highlight w:val="none"/>
          <w:lang w:eastAsia="zh-CN"/>
        </w:rPr>
        <w:t>202</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eastAsia="zh-CN"/>
        </w:rPr>
        <w:t>年</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月</w:t>
      </w:r>
      <w:r>
        <w:rPr>
          <w:rFonts w:hint="eastAsia" w:ascii="Times New Roman" w:hAnsi="Times New Roman" w:cs="Times New Roman"/>
          <w:color w:val="auto"/>
          <w:highlight w:val="none"/>
          <w:lang w:val="en-US" w:eastAsia="zh-CN"/>
        </w:rPr>
        <w:t>31日</w:t>
      </w:r>
      <w:r>
        <w:rPr>
          <w:rFonts w:hint="default" w:ascii="Times New Roman" w:hAnsi="Times New Roman" w:cs="Times New Roman"/>
          <w:color w:val="auto"/>
          <w:highlight w:val="none"/>
          <w:lang w:eastAsia="zh-CN"/>
        </w:rPr>
        <w:t>。</w:t>
      </w:r>
    </w:p>
    <w:p w14:paraId="391363BF">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本项目不接受联合体。</w:t>
      </w:r>
    </w:p>
    <w:p w14:paraId="6CAB1E4C">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二、申请人的资格要求</w:t>
      </w:r>
    </w:p>
    <w:p w14:paraId="70461DF8">
      <w:pPr>
        <w:pStyle w:val="17"/>
        <w:spacing w:line="360" w:lineRule="auto"/>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满足《中华人民共和国政府采购法》第二十二条规定；国内注册（指按国家有关规定要求注册的），经营本次采购服务且具备独立法人资格的供应商，具有提供本次招标采购服务能力；</w:t>
      </w:r>
    </w:p>
    <w:p w14:paraId="0B359D3E">
      <w:pPr>
        <w:pStyle w:val="17"/>
        <w:spacing w:line="360" w:lineRule="auto"/>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 xml:space="preserve">2.落实政府采购政策需满足的资格要求：专门面向中小企业采购的项目（供应商应为中小微企业、监狱企业、残疾人福利性单位) </w:t>
      </w:r>
      <w:r>
        <w:rPr>
          <w:rFonts w:hint="eastAsia" w:ascii="Times New Roman" w:hAnsi="Times New Roman" w:cs="Times New Roman"/>
          <w:color w:val="auto"/>
          <w:highlight w:val="none"/>
          <w:lang w:eastAsia="zh-CN"/>
        </w:rPr>
        <w:t>；</w:t>
      </w:r>
    </w:p>
    <w:p w14:paraId="03ED1F34">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本项目的特定资格要求</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供应商须具备有效的省级及以上检验检测机构资质认定证书（CMA）且能力范围涵盖环境监测类项目）</w:t>
      </w:r>
    </w:p>
    <w:p w14:paraId="39C4C601">
      <w:pPr>
        <w:pStyle w:val="17"/>
        <w:spacing w:line="360" w:lineRule="auto"/>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F8DDD1F">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default" w:ascii="Times New Roman" w:hAnsi="Times New Roman" w:cs="Times New Roman"/>
          <w:color w:val="auto"/>
          <w:highlight w:val="none"/>
          <w:lang w:val="en-US" w:eastAsia="zh-CN"/>
        </w:rPr>
        <w:t>。</w:t>
      </w:r>
    </w:p>
    <w:p w14:paraId="65B51917">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6.本项目不接受联合体。</w:t>
      </w:r>
    </w:p>
    <w:p w14:paraId="12DDAC19">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三、获取采购文件</w:t>
      </w:r>
    </w:p>
    <w:p w14:paraId="7148C2F9">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时间：202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年</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none"/>
          <w:lang w:val="en-US" w:eastAsia="zh-CN"/>
        </w:rPr>
        <w:t>月</w:t>
      </w:r>
      <w:r>
        <w:rPr>
          <w:rFonts w:hint="eastAsia" w:ascii="Times New Roman" w:hAnsi="Times New Roman" w:cs="Times New Roman"/>
          <w:color w:val="auto"/>
          <w:highlight w:val="none"/>
          <w:lang w:val="en-US" w:eastAsia="zh-CN"/>
        </w:rPr>
        <w:t>23</w:t>
      </w:r>
      <w:r>
        <w:rPr>
          <w:rFonts w:hint="default" w:ascii="Times New Roman" w:hAnsi="Times New Roman" w:cs="Times New Roman"/>
          <w:color w:val="auto"/>
          <w:highlight w:val="none"/>
          <w:lang w:val="en-US" w:eastAsia="zh-CN"/>
        </w:rPr>
        <w:t>日</w:t>
      </w:r>
      <w:r>
        <w:rPr>
          <w:rFonts w:hint="default" w:ascii="Times New Roman" w:hAnsi="Times New Roman" w:cs="Times New Roman"/>
          <w:color w:val="auto"/>
          <w:highlight w:val="none"/>
          <w:lang w:val="en-US" w:eastAsia="zh-CN"/>
        </w:rPr>
        <w:t>08点00分至202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年</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none"/>
          <w:lang w:val="en-US" w:eastAsia="zh-CN"/>
        </w:rPr>
        <w:t>月</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lang w:val="en-US" w:eastAsia="zh-CN"/>
        </w:rPr>
        <w:t>日</w:t>
      </w:r>
      <w:r>
        <w:rPr>
          <w:rFonts w:hint="default" w:ascii="Times New Roman" w:hAnsi="Times New Roman" w:cs="Times New Roman"/>
          <w:color w:val="auto"/>
          <w:highlight w:val="none"/>
          <w:lang w:val="en-US" w:eastAsia="zh-CN"/>
        </w:rPr>
        <w:t>18点00分。</w:t>
      </w:r>
    </w:p>
    <w:p w14:paraId="0C58A654">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地点（网址）：</w:t>
      </w:r>
      <w:r>
        <w:rPr>
          <w:rFonts w:hint="eastAsia" w:ascii="Times New Roman" w:hAnsi="Times New Roman" w:cs="Times New Roman"/>
          <w:color w:val="auto"/>
          <w:highlight w:val="none"/>
          <w:lang w:val="en-US" w:eastAsia="zh-CN"/>
        </w:rPr>
        <w:t>广西政府采购云平台（https://www.gcy.zfcg.gxzf.gov.cn/）</w:t>
      </w:r>
      <w:r>
        <w:rPr>
          <w:rFonts w:hint="default" w:ascii="Times New Roman" w:hAnsi="Times New Roman" w:cs="Times New Roman"/>
          <w:color w:val="auto"/>
          <w:highlight w:val="none"/>
          <w:lang w:val="en-US" w:eastAsia="zh-CN"/>
        </w:rPr>
        <w:t>。</w:t>
      </w:r>
    </w:p>
    <w:p w14:paraId="35CC99EC">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方式：供应商登录政采云平台（网址：</w:t>
      </w:r>
      <w:r>
        <w:rPr>
          <w:rFonts w:hint="eastAsia" w:ascii="Times New Roman" w:hAnsi="Times New Roman" w:cs="Times New Roman"/>
          <w:color w:val="auto"/>
          <w:highlight w:val="none"/>
          <w:lang w:val="en-US" w:eastAsia="zh-CN"/>
        </w:rPr>
        <w:t>https://www.gcy.zfcg.gxzf.gov.cn/</w:t>
      </w:r>
      <w:r>
        <w:rPr>
          <w:rFonts w:hint="default" w:ascii="Times New Roman" w:hAnsi="Times New Roman" w:cs="Times New Roman"/>
          <w:color w:val="auto"/>
          <w:highlight w:val="none"/>
          <w:lang w:val="en-US" w:eastAsia="zh-CN"/>
        </w:rPr>
        <w:t>）在线免费自行下载磋商文件；未注册的供应商可在政采云平台完成注册后再行下载。（操作路径：登录“政采云”平台-项目采购-获取采购文件-找到本项目-点击“申请获取采购文件”）,电子投标文件制作需要基于“政采云”平台获取的招标文件编制。 如在操作过程中遇到问题或需技术支持，请致电政采云客服热线：400-881-7190。</w:t>
      </w:r>
    </w:p>
    <w:p w14:paraId="2702D2D1">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提示：1.供应商在“政采云平台”“获取采购文件”时填写的联系人手机号应当为磋商代表的手机号。2.供应商只有在“政采云平台”完成获取磋商文件申请并下载了磋商文件后才视作依法获取磋商文件（法律法规所指的供应商获取磋商文件时间以供应商完成获取磋商文件申请后下载磋商文件的时间为准）。</w:t>
      </w:r>
    </w:p>
    <w:p w14:paraId="7BA2090F">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售价：0元</w:t>
      </w:r>
    </w:p>
    <w:p w14:paraId="4C5AAD0E">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四、响应文件提交</w:t>
      </w:r>
    </w:p>
    <w:p w14:paraId="1097D5C8">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截止时间：202</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eastAsia="zh-CN"/>
        </w:rPr>
        <w:t>年</w:t>
      </w:r>
      <w:r>
        <w:rPr>
          <w:rFonts w:hint="eastAsia" w:ascii="Times New Roman" w:hAnsi="Times New Roman" w:cs="Times New Roman"/>
          <w:color w:val="auto"/>
          <w:highlight w:val="none"/>
          <w:lang w:val="en-US" w:eastAsia="zh-CN"/>
        </w:rPr>
        <w:t>01</w:t>
      </w:r>
      <w:r>
        <w:rPr>
          <w:rFonts w:hint="default" w:ascii="Times New Roman" w:hAnsi="Times New Roman" w:cs="Times New Roman"/>
          <w:color w:val="auto"/>
          <w:highlight w:val="none"/>
          <w:lang w:val="en-US" w:eastAsia="zh-CN"/>
        </w:rPr>
        <w:t>月</w:t>
      </w:r>
      <w:r>
        <w:rPr>
          <w:rFonts w:hint="eastAsia" w:ascii="Times New Roman" w:hAnsi="Times New Roman" w:cs="Times New Roman"/>
          <w:color w:val="auto"/>
          <w:highlight w:val="none"/>
          <w:lang w:val="en-US" w:eastAsia="zh-CN"/>
        </w:rPr>
        <w:t xml:space="preserve">04 </w:t>
      </w:r>
      <w:r>
        <w:rPr>
          <w:rFonts w:hint="default" w:ascii="Times New Roman" w:hAnsi="Times New Roman" w:cs="Times New Roman"/>
          <w:color w:val="auto"/>
          <w:highlight w:val="none"/>
          <w:lang w:val="en-US" w:eastAsia="zh-CN"/>
        </w:rPr>
        <w:t>日</w:t>
      </w:r>
      <w:r>
        <w:rPr>
          <w:rFonts w:hint="eastAsia" w:ascii="Times New Roman" w:hAnsi="Times New Roman" w:cs="Times New Roman"/>
          <w:color w:val="auto"/>
          <w:highlight w:val="none"/>
          <w:lang w:val="en-US" w:eastAsia="zh-CN"/>
        </w:rPr>
        <w:t>09</w:t>
      </w:r>
      <w:r>
        <w:rPr>
          <w:rFonts w:hint="default" w:ascii="Times New Roman" w:hAnsi="Times New Roman" w:cs="Times New Roman"/>
          <w:color w:val="auto"/>
          <w:highlight w:val="none"/>
          <w:lang w:val="en-US" w:eastAsia="zh-CN"/>
        </w:rPr>
        <w:t>点</w:t>
      </w:r>
      <w:r>
        <w:rPr>
          <w:rFonts w:hint="eastAsia" w:ascii="Times New Roman" w:hAnsi="Times New Roman" w:cs="Times New Roman"/>
          <w:color w:val="auto"/>
          <w:highlight w:val="none"/>
          <w:lang w:val="en-US" w:eastAsia="zh-CN"/>
        </w:rPr>
        <w:t>00</w:t>
      </w:r>
      <w:r>
        <w:rPr>
          <w:rFonts w:hint="default" w:ascii="Times New Roman" w:hAnsi="Times New Roman" w:cs="Times New Roman"/>
          <w:color w:val="auto"/>
          <w:highlight w:val="none"/>
          <w:lang w:val="en-US" w:eastAsia="zh-CN"/>
        </w:rPr>
        <w:t>分（北京时间）</w:t>
      </w:r>
    </w:p>
    <w:p w14:paraId="7D36FD00">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地点（网址）：政府采购云平台开标大厅。（本项目为贺州市全流程电子化项目，通过</w:t>
      </w:r>
      <w:r>
        <w:rPr>
          <w:rFonts w:hint="eastAsia" w:ascii="Times New Roman" w:hAnsi="Times New Roman" w:cs="Times New Roman"/>
          <w:color w:val="auto"/>
          <w:highlight w:val="none"/>
          <w:lang w:val="en-US" w:eastAsia="zh-CN"/>
        </w:rPr>
        <w:t>广西政府采购云平台（https://www.gcy.zfcg.gxzf.gov.cn/）</w:t>
      </w:r>
      <w:r>
        <w:rPr>
          <w:rFonts w:hint="default" w:ascii="Times New Roman" w:hAnsi="Times New Roman" w:cs="Times New Roman"/>
          <w:color w:val="auto"/>
          <w:highlight w:val="none"/>
          <w:lang w:val="en-US" w:eastAsia="zh-CN"/>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p w14:paraId="40A29730">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五、开启（竞争性磋商方式）</w:t>
      </w:r>
    </w:p>
    <w:p w14:paraId="58A4B30F">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时间：202</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eastAsia="zh-CN"/>
        </w:rPr>
        <w:t>年</w:t>
      </w:r>
      <w:r>
        <w:rPr>
          <w:rFonts w:hint="eastAsia" w:ascii="Times New Roman" w:hAnsi="Times New Roman" w:cs="Times New Roman"/>
          <w:color w:val="auto"/>
          <w:highlight w:val="none"/>
          <w:lang w:val="en-US" w:eastAsia="zh-CN"/>
        </w:rPr>
        <w:t>01</w:t>
      </w:r>
      <w:r>
        <w:rPr>
          <w:rFonts w:hint="default" w:ascii="Times New Roman" w:hAnsi="Times New Roman" w:cs="Times New Roman"/>
          <w:color w:val="auto"/>
          <w:highlight w:val="none"/>
          <w:lang w:val="en-US" w:eastAsia="zh-CN"/>
        </w:rPr>
        <w:t>月</w:t>
      </w:r>
      <w:r>
        <w:rPr>
          <w:rFonts w:hint="eastAsia" w:ascii="Times New Roman" w:hAnsi="Times New Roman" w:cs="Times New Roman"/>
          <w:color w:val="auto"/>
          <w:highlight w:val="none"/>
          <w:lang w:val="en-US" w:eastAsia="zh-CN"/>
        </w:rPr>
        <w:t>04</w:t>
      </w:r>
      <w:r>
        <w:rPr>
          <w:rFonts w:hint="default" w:ascii="Times New Roman" w:hAnsi="Times New Roman" w:cs="Times New Roman"/>
          <w:color w:val="auto"/>
          <w:highlight w:val="none"/>
          <w:lang w:val="en-US" w:eastAsia="zh-CN"/>
        </w:rPr>
        <w:t>日</w:t>
      </w:r>
      <w:r>
        <w:rPr>
          <w:rFonts w:hint="eastAsia" w:ascii="Times New Roman" w:hAnsi="Times New Roman" w:cs="Times New Roman"/>
          <w:color w:val="auto"/>
          <w:highlight w:val="none"/>
          <w:lang w:val="en-US" w:eastAsia="zh-CN"/>
        </w:rPr>
        <w:t>09</w:t>
      </w:r>
      <w:r>
        <w:rPr>
          <w:rFonts w:hint="default" w:ascii="Times New Roman" w:hAnsi="Times New Roman" w:cs="Times New Roman"/>
          <w:color w:val="auto"/>
          <w:highlight w:val="none"/>
          <w:lang w:val="en-US" w:eastAsia="zh-CN"/>
        </w:rPr>
        <w:t>点</w:t>
      </w:r>
      <w:r>
        <w:rPr>
          <w:rFonts w:hint="eastAsia" w:ascii="Times New Roman" w:hAnsi="Times New Roman" w:cs="Times New Roman"/>
          <w:color w:val="auto"/>
          <w:highlight w:val="none"/>
          <w:lang w:val="en-US" w:eastAsia="zh-CN"/>
        </w:rPr>
        <w:t>00</w:t>
      </w:r>
      <w:r>
        <w:rPr>
          <w:rFonts w:hint="default" w:ascii="Times New Roman" w:hAnsi="Times New Roman" w:cs="Times New Roman"/>
          <w:color w:val="auto"/>
          <w:highlight w:val="none"/>
          <w:lang w:val="en-US" w:eastAsia="zh-CN"/>
        </w:rPr>
        <w:t>分（北京时间）</w:t>
      </w:r>
    </w:p>
    <w:p w14:paraId="0710BB08">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地点（网址）：政府采购云平台开标大厅。（本项目为贺州市全流程电子化项目，通过</w:t>
      </w:r>
      <w:r>
        <w:rPr>
          <w:rFonts w:hint="eastAsia" w:ascii="Times New Roman" w:hAnsi="Times New Roman" w:cs="Times New Roman"/>
          <w:color w:val="auto"/>
          <w:highlight w:val="none"/>
          <w:lang w:val="en-US" w:eastAsia="zh-CN"/>
        </w:rPr>
        <w:t>广西政府采购云平台（https://www.gcy.zfcg.gxzf.gov.cn/）</w:t>
      </w:r>
      <w:r>
        <w:rPr>
          <w:rFonts w:hint="default" w:ascii="Times New Roman" w:hAnsi="Times New Roman" w:cs="Times New Roman"/>
          <w:color w:val="auto"/>
          <w:highlight w:val="none"/>
          <w:lang w:val="en-US" w:eastAsia="zh-CN"/>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p w14:paraId="2337B710">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六、磋商保证金</w:t>
      </w:r>
    </w:p>
    <w:p w14:paraId="784BAD33">
      <w:pPr>
        <w:pStyle w:val="17"/>
        <w:spacing w:line="360" w:lineRule="auto"/>
        <w:ind w:firstLine="42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人民币</w:t>
      </w:r>
      <w:r>
        <w:rPr>
          <w:rFonts w:hint="eastAsia" w:ascii="Times New Roman" w:hAnsi="Times New Roman" w:cs="Times New Roman"/>
          <w:b/>
          <w:bCs/>
          <w:color w:val="auto"/>
          <w:highlight w:val="none"/>
          <w:lang w:val="en-US" w:eastAsia="zh-CN"/>
        </w:rPr>
        <w:t>伍仟</w:t>
      </w:r>
      <w:r>
        <w:rPr>
          <w:rFonts w:hint="default" w:ascii="Times New Roman" w:hAnsi="Times New Roman" w:cs="Times New Roman"/>
          <w:b/>
          <w:bCs/>
          <w:color w:val="auto"/>
          <w:highlight w:val="none"/>
          <w:lang w:val="en-US" w:eastAsia="zh-CN"/>
        </w:rPr>
        <w:t>元整（¥</w:t>
      </w:r>
      <w:r>
        <w:rPr>
          <w:rFonts w:hint="eastAsia" w:ascii="Times New Roman" w:hAnsi="Times New Roman" w:cs="Times New Roman"/>
          <w:b/>
          <w:bCs/>
          <w:color w:val="auto"/>
          <w:highlight w:val="none"/>
          <w:lang w:val="en-US" w:eastAsia="zh-CN"/>
        </w:rPr>
        <w:t>5</w:t>
      </w:r>
      <w:r>
        <w:rPr>
          <w:rFonts w:hint="default" w:ascii="Times New Roman" w:hAnsi="Times New Roman" w:cs="Times New Roman"/>
          <w:b/>
          <w:bCs/>
          <w:color w:val="auto"/>
          <w:highlight w:val="none"/>
          <w:lang w:val="en-US" w:eastAsia="zh-CN"/>
        </w:rPr>
        <w:t>000.0元）</w:t>
      </w:r>
    </w:p>
    <w:p w14:paraId="1E19FE94">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供应商应于磋商截止时间前将磋商保证金以电汇或转帐或支票或汇票或本票或保函、保险等非现金形式交至以下账户，并于投标截止时间前到账，到账时间以银行确认的到账时间为准(注：若以支票或汇票或本票或保函、保函方式提交的，交款人必须是磋商人；若以转账或电汇方式提交的，必须从供应商银行账户转出；若以现金方式交纳或者没有足额交纳的视为无效投标。</w:t>
      </w:r>
    </w:p>
    <w:p w14:paraId="2C64FED1">
      <w:pPr>
        <w:pStyle w:val="17"/>
        <w:spacing w:line="360" w:lineRule="auto"/>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账户名称：</w:t>
      </w:r>
      <w:r>
        <w:rPr>
          <w:rFonts w:hint="eastAsia" w:ascii="Times New Roman" w:hAnsi="Times New Roman" w:cs="Times New Roman"/>
          <w:color w:val="auto"/>
          <w:highlight w:val="none"/>
          <w:lang w:val="en-US" w:eastAsia="zh-CN"/>
        </w:rPr>
        <w:t>广西朗亿工程咨询有限公司</w:t>
      </w:r>
    </w:p>
    <w:p w14:paraId="024D3A5C">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开户银行：</w:t>
      </w:r>
      <w:r>
        <w:rPr>
          <w:rFonts w:hint="eastAsia" w:ascii="Times New Roman" w:hAnsi="Times New Roman" w:cs="Times New Roman"/>
          <w:color w:val="auto"/>
          <w:highlight w:val="none"/>
          <w:lang w:val="en-US" w:eastAsia="zh-CN"/>
        </w:rPr>
        <w:t>桂林银行股份有限公司贺州分行</w:t>
      </w:r>
    </w:p>
    <w:p w14:paraId="51A424D0">
      <w:pPr>
        <w:pStyle w:val="17"/>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银行帐号：</w:t>
      </w:r>
      <w:r>
        <w:rPr>
          <w:rFonts w:hint="eastAsia" w:ascii="Times New Roman" w:hAnsi="Times New Roman" w:cs="Times New Roman"/>
          <w:color w:val="auto"/>
          <w:highlight w:val="none"/>
          <w:lang w:val="en-US" w:eastAsia="zh-CN"/>
        </w:rPr>
        <w:t>6600 0002 2794 00001 3</w:t>
      </w:r>
    </w:p>
    <w:p w14:paraId="0AACB35F">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备注：对风险较低、规模较小的采购项目，受疫情影响的中小微企业（在提供真实可信证明材料的前提下），停止收取投标保证金和履约保证金。</w:t>
      </w:r>
    </w:p>
    <w:p w14:paraId="4CE20F4E">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七、公告期限</w:t>
      </w:r>
    </w:p>
    <w:p w14:paraId="10556BF2">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自本公告发布之日起5个工作日。</w:t>
      </w:r>
    </w:p>
    <w:p w14:paraId="1F279602">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八、其他补充事宜</w:t>
      </w:r>
    </w:p>
    <w:p w14:paraId="08EEFF6D">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本项目需要落实的政府采购政策：《中华人民共和国政府采购法》（中华人民共和国主席令第14号）、《中华人民共和国政府采购法实施条例》（中华人民共和国国务院令第658号）、《政府采购竞争性磋商采购方式管理暂行办法》（财库〔2014〕214号）、《财政部关于政府采购竞争性磋商采购方式管理暂行办法有关问题的补充通知》（财库〔2015〕124号）及《政府采购促进中小企业发展管理办法》（财库〔2020〕46号）、《关于政府采购支持监狱企业发展有关问题的通知》（财库[2014]68号）、三部门联合发布关于促进残疾人就业政府采购政策的通知（财库〔2017〕141号）、《贺州市财政局关于进一步加强市本级政府采购合同备案管理工作的通知(贺财采[2020]22号)》、《贺州市财政局关于印发2020年优化营商环境政府采购专项实施方案的通知(贺财采[2020]18号)》:评审时小型、微型企业产品的价格给予</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0%的扣除，监狱企业、残疾人福利性单位视同小型、微型企业，其产品在评审时给予相同的价格扣除。</w:t>
      </w:r>
    </w:p>
    <w:p w14:paraId="558E9C13">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2.在线响应（网上磋商）说明</w:t>
      </w:r>
    </w:p>
    <w:p w14:paraId="4B857C7F">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本项目实行电子投标，供应商应按照本项目磋商文件和政采云平台的要求编制、加密并提交响应文件。供应商在使用系统参与磋商过程中遇到涉及平台使用的任何问题，可致电政采云平台技术支持热线咨询，联系方式：400-881-7190。</w:t>
      </w:r>
    </w:p>
    <w:p w14:paraId="3A3B7424">
      <w:pPr>
        <w:pStyle w:val="17"/>
        <w:spacing w:line="360" w:lineRule="auto"/>
        <w:ind w:firstLine="42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（2）供应商应及时熟悉掌握电子标系统操作指南（见政采云电子卖场首页右上角-服务中心-帮助文档-项目采购）：</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"https://service.zcygov.cn/#/knowledges/tree?tag=AG1DtGwBFdiHxlNdhY0r"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https://service.zcygov.cn/#/knowledges/tree?tag=AG1DtGwBFdiHxlNdhY0r</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w:t>
      </w:r>
    </w:p>
    <w:p w14:paraId="0D126F76">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供应商应当在响应文件提交截止时间前完成在“政府采购云平台”的身份认证，确保在电子投标过程中能够对相关数据电文进行加密和使用电子签章。使用“政采云电子交易客户端”需要提前申领CA数字证书，申领流程见广西壮族自治区政府采购网—办事服务—下载专区-政采云CA证书办理操作指南。</w:t>
      </w:r>
    </w:p>
    <w:p w14:paraId="2A01A34D">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14:paraId="758F7581">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供应商应当在响应文件提交截止时间前，将生成的“电子加密投标文件”上传提交至政采云平台。响应文件提交截止时间前可以补充、修改或者撤回电子投标（响应）文件。补充或者修改电子投标（响应）文件的，应当先行撤回原文件，补充、修改后重新传输提交，响应文件提交截止时间前未完成传输的，视为撤回响应文件。因未注册入库、未办理CA数字证书、CA证书故障、操作不当等原因造成无法响应或响应失败等后果由供应商自行承担。</w:t>
      </w:r>
    </w:p>
    <w:p w14:paraId="4DD7543E">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通过“政府采购云平台”上传提交的“电子加密投标文件”无法按时解密，供应商提交了电子备份响应文件的，以电子备份响应文件为依据，否则视为响应文件撤销,如电子备份响应文件因供应商自身制作原因无法导入上传系统的，也视为响应文件撤销。通过政采云平台上传提交的电子加密响应文件已按时解密的，电子备份响应文件自动失效。供应商仅提交电子备份响应文件而未在“政府采购云平台”上传提交“电子加密投标文件”的，磋商无效。</w:t>
      </w:r>
    </w:p>
    <w:p w14:paraId="1D22296E">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响应文件网上提交截止后，政采云（电子标系统）自动提取所有响应文件，各供应商须在开标开始后30分钟内对上传政采云的响应文件进行解密，所有供应商在规定的解密时限内解密完成或解密时限结束后，本代理机构开启响应文件；供应商超过解密时限未完成解密的，系统默认其自动放弃。 </w:t>
      </w:r>
    </w:p>
    <w:p w14:paraId="57E721FD">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4.发布媒介</w:t>
      </w:r>
    </w:p>
    <w:p w14:paraId="2EED1F3D">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本次竞争性磋商公告同时在中国政府采购网</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"http://www.ccgp.gov.cn/"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www.ccgp.gov.cn/</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、广西壮族自治区政府采购网http://zfcg.gxzf.gov.cn/上发布。</w:t>
      </w:r>
    </w:p>
    <w:p w14:paraId="290EAE22">
      <w:pPr>
        <w:spacing w:line="360" w:lineRule="auto"/>
        <w:ind w:firstLine="422" w:firstLineChars="200"/>
        <w:outlineLvl w:val="9"/>
        <w:rPr>
          <w:rFonts w:hint="default"/>
          <w:color w:val="auto"/>
          <w:highlight w:val="none"/>
          <w:lang w:val="en-US" w:eastAsia="zh-CN"/>
        </w:rPr>
      </w:pP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.评标说明注意事项：本项目采用远程异地评标，评审主场地址：</w:t>
      </w:r>
      <w:r>
        <w:rPr>
          <w:rFonts w:hint="eastAsia" w:ascii="宋体" w:hAnsi="宋体" w:cs="宋体"/>
          <w:b/>
          <w:bCs/>
          <w:color w:val="auto"/>
          <w:kern w:val="0"/>
          <w:sz w:val="21"/>
          <w:szCs w:val="21"/>
          <w:highlight w:val="none"/>
          <w:lang w:eastAsia="zh-CN"/>
        </w:rPr>
        <w:t>广西朗亿工程咨询有限公司</w:t>
      </w:r>
      <w:r>
        <w:rPr>
          <w:rFonts w:hint="eastAsia" w:ascii="宋体" w:hAnsi="宋体" w:eastAsia="宋体" w:cs="宋体"/>
          <w:b/>
          <w:bCs/>
          <w:color w:val="auto"/>
          <w:kern w:val="0"/>
          <w:sz w:val="21"/>
          <w:szCs w:val="21"/>
          <w:highlight w:val="none"/>
        </w:rPr>
        <w:t>评标室</w:t>
      </w:r>
      <w:r>
        <w:rPr>
          <w:rFonts w:hint="eastAsia" w:ascii="宋体" w:hAnsi="宋体" w:cs="宋体"/>
          <w:b/>
          <w:bCs/>
          <w:color w:val="auto"/>
          <w:kern w:val="0"/>
          <w:sz w:val="21"/>
          <w:szCs w:val="21"/>
          <w:highlight w:val="none"/>
          <w:lang w:eastAsia="zh-CN"/>
        </w:rPr>
        <w:t>（广西壮族自治区贺州市八步区城东新区回建地C地块137、138号）</w:t>
      </w:r>
      <w:r>
        <w:rPr>
          <w:rFonts w:hint="eastAsia" w:ascii="宋体" w:hAnsi="宋体" w:eastAsia="宋体" w:cs="宋体"/>
          <w:b/>
          <w:bCs/>
          <w:color w:val="auto"/>
          <w:kern w:val="0"/>
          <w:sz w:val="21"/>
          <w:szCs w:val="21"/>
          <w:highlight w:val="none"/>
        </w:rPr>
        <w:t>；评审</w:t>
      </w:r>
      <w:r>
        <w:rPr>
          <w:rFonts w:hint="eastAsia" w:ascii="宋体" w:hAnsi="宋体" w:cs="宋体"/>
          <w:b/>
          <w:bCs/>
          <w:color w:val="auto"/>
          <w:kern w:val="0"/>
          <w:sz w:val="21"/>
          <w:szCs w:val="21"/>
          <w:highlight w:val="none"/>
          <w:lang w:val="en-US" w:eastAsia="zh-CN"/>
        </w:rPr>
        <w:t>副</w:t>
      </w:r>
      <w:r>
        <w:rPr>
          <w:rFonts w:hint="eastAsia" w:ascii="宋体" w:hAnsi="宋体" w:eastAsia="宋体" w:cs="宋体"/>
          <w:b/>
          <w:bCs/>
          <w:color w:val="auto"/>
          <w:kern w:val="0"/>
          <w:sz w:val="21"/>
          <w:szCs w:val="21"/>
          <w:highlight w:val="none"/>
        </w:rPr>
        <w:t>场地址：广西欣荣招标代理有限公司</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广西壮族自治区北海市海城区万和路9号新康小区1幢5号评标室</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w:t>
      </w:r>
    </w:p>
    <w:p w14:paraId="6C2B7D9C">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5.监督管理部门：贺州市财政局政府采购监督管理科</w:t>
      </w:r>
    </w:p>
    <w:p w14:paraId="34BC428C">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联系电话：</w:t>
      </w:r>
      <w:r>
        <w:rPr>
          <w:rFonts w:hint="eastAsia" w:ascii="Times New Roman" w:hAnsi="Times New Roman" w:cs="Times New Roman"/>
          <w:color w:val="auto"/>
          <w:highlight w:val="none"/>
          <w:lang w:val="en-US" w:eastAsia="zh-CN"/>
        </w:rPr>
        <w:t>0774-5135553</w:t>
      </w:r>
    </w:p>
    <w:p w14:paraId="4813F42C">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九、凡对本次采购提出询问，请按以下方式联系。</w:t>
      </w:r>
    </w:p>
    <w:p w14:paraId="46812D7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1.采购人信息</w:t>
      </w:r>
    </w:p>
    <w:p w14:paraId="33075F5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名    称：</w:t>
      </w:r>
      <w:r>
        <w:rPr>
          <w:rFonts w:hint="eastAsia" w:ascii="Times New Roman" w:hAnsi="Times New Roman" w:cs="Times New Roman"/>
          <w:color w:val="auto"/>
          <w:highlight w:val="none"/>
          <w:lang w:val="en-US" w:eastAsia="zh-CN"/>
        </w:rPr>
        <w:t xml:space="preserve"> 贺州市生态环境局 </w:t>
      </w:r>
    </w:p>
    <w:p w14:paraId="57709A1B">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    址：贺州市八步区潇贺大道2539号</w:t>
      </w:r>
    </w:p>
    <w:p w14:paraId="3DD41F2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联系方式：</w:t>
      </w:r>
      <w:r>
        <w:rPr>
          <w:rFonts w:hint="eastAsia" w:ascii="Times New Roman" w:hAnsi="Times New Roman" w:cs="Times New Roman"/>
          <w:color w:val="auto"/>
          <w:highlight w:val="none"/>
          <w:lang w:val="en-US" w:eastAsia="zh-CN"/>
        </w:rPr>
        <w:t>黄</w:t>
      </w:r>
      <w:r>
        <w:rPr>
          <w:rFonts w:hint="default" w:ascii="Times New Roman" w:hAnsi="Times New Roman" w:cs="Times New Roman"/>
          <w:color w:val="auto"/>
          <w:highlight w:val="none"/>
          <w:lang w:val="en-US" w:eastAsia="zh-CN"/>
        </w:rPr>
        <w:t>工</w:t>
      </w:r>
      <w:r>
        <w:rPr>
          <w:rFonts w:hint="eastAsia" w:ascii="Times New Roman" w:hAnsi="Times New Roman" w:cs="Times New Roman"/>
          <w:color w:val="auto"/>
          <w:highlight w:val="none"/>
          <w:lang w:val="en-US" w:eastAsia="zh-CN"/>
        </w:rPr>
        <w:t>0774-5696058</w:t>
      </w:r>
    </w:p>
    <w:p w14:paraId="33542DDC">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2.采购代理机构信息</w:t>
      </w:r>
    </w:p>
    <w:p w14:paraId="3756B62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名    称：</w:t>
      </w:r>
      <w:r>
        <w:rPr>
          <w:rFonts w:hint="eastAsia" w:ascii="Times New Roman" w:hAnsi="Times New Roman" w:cs="Times New Roman"/>
          <w:color w:val="auto"/>
          <w:highlight w:val="none"/>
          <w:lang w:val="en-US" w:eastAsia="zh-CN"/>
        </w:rPr>
        <w:t>广西朗亿工程咨询有限公司</w:t>
      </w:r>
    </w:p>
    <w:p w14:paraId="02180747">
      <w:pPr>
        <w:pStyle w:val="17"/>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    址：</w:t>
      </w:r>
      <w:r>
        <w:rPr>
          <w:rFonts w:hint="eastAsia" w:ascii="Times New Roman" w:hAnsi="Times New Roman" w:cs="Times New Roman"/>
          <w:color w:val="auto"/>
          <w:highlight w:val="none"/>
          <w:lang w:val="en-US" w:eastAsia="zh-CN"/>
        </w:rPr>
        <w:t>贺州市八步区城东新区回建地C地块137/138号</w:t>
      </w:r>
    </w:p>
    <w:p w14:paraId="1CD5E72A">
      <w:pPr>
        <w:pStyle w:val="17"/>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联系方式：</w:t>
      </w:r>
      <w:r>
        <w:rPr>
          <w:rFonts w:hint="eastAsia" w:ascii="Times New Roman" w:hAnsi="Times New Roman" w:cs="Times New Roman"/>
          <w:color w:val="auto"/>
          <w:highlight w:val="none"/>
          <w:lang w:val="en-US" w:eastAsia="zh-CN"/>
        </w:rPr>
        <w:t>15078114537</w:t>
      </w:r>
    </w:p>
    <w:p w14:paraId="273DE46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3.项目联系方式</w:t>
      </w:r>
    </w:p>
    <w:p w14:paraId="78A0C36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项目联系人：</w:t>
      </w:r>
      <w:r>
        <w:rPr>
          <w:rFonts w:hint="eastAsia" w:ascii="Times New Roman" w:hAnsi="Times New Roman" w:cs="Times New Roman"/>
          <w:color w:val="auto"/>
          <w:highlight w:val="none"/>
          <w:lang w:val="en-US" w:eastAsia="zh-CN"/>
        </w:rPr>
        <w:t>凌</w:t>
      </w:r>
      <w:r>
        <w:rPr>
          <w:rFonts w:hint="default" w:ascii="Times New Roman" w:hAnsi="Times New Roman" w:cs="Times New Roman"/>
          <w:color w:val="auto"/>
          <w:highlight w:val="none"/>
          <w:lang w:val="en-US" w:eastAsia="zh-CN"/>
        </w:rPr>
        <w:t>工</w:t>
      </w:r>
    </w:p>
    <w:p w14:paraId="1CFB99C7">
      <w:pPr>
        <w:pStyle w:val="14"/>
        <w:ind w:firstLine="50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highlight w:val="none"/>
          <w:lang w:val="en-US" w:eastAsia="zh-CN"/>
        </w:rPr>
        <w:t>电  话：</w:t>
      </w:r>
      <w:r>
        <w:rPr>
          <w:rFonts w:hint="eastAsia" w:ascii="Times New Roman" w:cs="Times New Roman"/>
          <w:color w:val="auto"/>
          <w:highlight w:val="none"/>
          <w:lang w:val="en-US" w:eastAsia="zh-CN"/>
        </w:rPr>
        <w:t>15078114537</w:t>
      </w:r>
    </w:p>
    <w:p w14:paraId="5F292833">
      <w:pPr>
        <w:rPr>
          <w:rFonts w:hint="default" w:ascii="Times New Roman" w:hAnsi="Times New Roman" w:cs="Times New Roman"/>
          <w:color w:val="auto"/>
          <w:sz w:val="24"/>
          <w:szCs w:val="24"/>
          <w:highlight w:val="none"/>
          <w:lang w:val="en-US" w:eastAsia="zh-CN"/>
        </w:rPr>
      </w:pPr>
    </w:p>
    <w:p w14:paraId="04E4D127">
      <w:pPr>
        <w:pStyle w:val="17"/>
        <w:pageBreakBefore w:val="0"/>
        <w:kinsoku/>
        <w:wordWrap/>
        <w:overflowPunct/>
        <w:topLinePunct w:val="0"/>
        <w:autoSpaceDE/>
        <w:autoSpaceDN/>
        <w:bidi w:val="0"/>
        <w:adjustRightInd/>
        <w:snapToGrid/>
        <w:spacing w:line="360" w:lineRule="auto"/>
        <w:ind w:left="0" w:leftChars="0" w:right="3"/>
        <w:jc w:val="righ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采购人：</w:t>
      </w:r>
      <w:r>
        <w:rPr>
          <w:rFonts w:hint="eastAsia" w:ascii="Times New Roman" w:hAnsi="Times New Roman" w:cs="Times New Roman"/>
          <w:color w:val="auto"/>
          <w:szCs w:val="21"/>
          <w:highlight w:val="none"/>
          <w:lang w:eastAsia="zh-CN"/>
        </w:rPr>
        <w:t xml:space="preserve"> 贺州市生态环境局 </w:t>
      </w:r>
      <w:r>
        <w:rPr>
          <w:rFonts w:hint="default" w:ascii="Times New Roman" w:hAnsi="Times New Roman" w:cs="Times New Roman"/>
          <w:color w:val="auto"/>
          <w:szCs w:val="21"/>
          <w:highlight w:val="none"/>
        </w:rPr>
        <w:t>（盖章）</w:t>
      </w:r>
    </w:p>
    <w:p w14:paraId="219CF4AA">
      <w:pPr>
        <w:pStyle w:val="17"/>
        <w:pageBreakBefore w:val="0"/>
        <w:kinsoku/>
        <w:wordWrap/>
        <w:overflowPunct/>
        <w:topLinePunct w:val="0"/>
        <w:autoSpaceDE/>
        <w:autoSpaceDN/>
        <w:bidi w:val="0"/>
        <w:adjustRightInd/>
        <w:snapToGrid/>
        <w:spacing w:line="360" w:lineRule="auto"/>
        <w:ind w:left="0" w:leftChars="0" w:right="3"/>
        <w:jc w:val="righ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采购代理机构：</w:t>
      </w:r>
      <w:r>
        <w:rPr>
          <w:rFonts w:hint="eastAsia" w:ascii="Times New Roman" w:hAnsi="Times New Roman" w:cs="Times New Roman"/>
          <w:color w:val="auto"/>
          <w:szCs w:val="21"/>
          <w:highlight w:val="none"/>
          <w:lang w:eastAsia="zh-CN"/>
        </w:rPr>
        <w:t>广西朗亿工程咨询有限公司</w:t>
      </w:r>
      <w:r>
        <w:rPr>
          <w:rFonts w:hint="default" w:ascii="Times New Roman" w:hAnsi="Times New Roman" w:cs="Times New Roman"/>
          <w:color w:val="auto"/>
          <w:szCs w:val="21"/>
          <w:highlight w:val="none"/>
        </w:rPr>
        <w:t>（盖章）</w:t>
      </w:r>
    </w:p>
    <w:p w14:paraId="262821C3">
      <w:pPr>
        <w:pStyle w:val="17"/>
        <w:pageBreakBefore w:val="0"/>
        <w:kinsoku/>
        <w:wordWrap/>
        <w:overflowPunct/>
        <w:topLinePunct w:val="0"/>
        <w:autoSpaceDE/>
        <w:autoSpaceDN/>
        <w:bidi w:val="0"/>
        <w:adjustRightInd/>
        <w:snapToGrid/>
        <w:spacing w:line="360" w:lineRule="auto"/>
        <w:ind w:left="0" w:leftChars="0" w:right="3"/>
        <w:jc w:val="righ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202</w:t>
      </w: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年</w:t>
      </w:r>
      <w:r>
        <w:rPr>
          <w:rFonts w:hint="eastAsia"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none"/>
        </w:rPr>
        <w:t>月</w:t>
      </w:r>
      <w:r>
        <w:rPr>
          <w:rFonts w:hint="eastAsia" w:ascii="Times New Roman" w:hAnsi="Times New Roman" w:cs="Times New Roman"/>
          <w:color w:val="auto"/>
          <w:szCs w:val="21"/>
          <w:highlight w:val="none"/>
          <w:lang w:val="en-US" w:eastAsia="zh-CN"/>
        </w:rPr>
        <w:t>23</w:t>
      </w:r>
      <w:r>
        <w:rPr>
          <w:rFonts w:hint="default" w:ascii="Times New Roman" w:hAnsi="Times New Roman" w:cs="Times New Roman"/>
          <w:color w:val="auto"/>
          <w:szCs w:val="21"/>
          <w:highlight w:val="none"/>
        </w:rPr>
        <w:t>日</w:t>
      </w:r>
    </w:p>
    <w:p w14:paraId="5E6B68D8">
      <w:pPr>
        <w:pStyle w:val="23"/>
        <w:rPr>
          <w:rFonts w:hint="default" w:ascii="Times New Roman" w:hAnsi="Times New Roman" w:eastAsia="宋体" w:cs="Times New Roman"/>
          <w:color w:val="auto"/>
          <w:sz w:val="28"/>
          <w:szCs w:val="28"/>
          <w:highlight w:val="none"/>
          <w:lang w:eastAsia="zh-CN"/>
        </w:rPr>
      </w:pPr>
    </w:p>
    <w:p w14:paraId="3D3D0F69">
      <w:pPr>
        <w:rPr>
          <w:rFonts w:hint="default" w:ascii="Times New Roman" w:hAnsi="Times New Roman" w:eastAsia="宋体" w:cs="Times New Roman"/>
          <w:color w:val="auto"/>
          <w:sz w:val="28"/>
          <w:szCs w:val="28"/>
          <w:highlight w:val="none"/>
          <w:lang w:eastAsia="zh-CN"/>
        </w:rPr>
      </w:pPr>
    </w:p>
    <w:p w14:paraId="11B40B85">
      <w:pPr>
        <w:pStyle w:val="23"/>
        <w:rPr>
          <w:rFonts w:hint="default" w:ascii="Times New Roman" w:hAnsi="Times New Roman" w:eastAsia="宋体" w:cs="Times New Roman"/>
          <w:color w:val="auto"/>
          <w:sz w:val="28"/>
          <w:szCs w:val="28"/>
          <w:highlight w:val="none"/>
          <w:lang w:eastAsia="zh-CN"/>
        </w:rPr>
      </w:pPr>
    </w:p>
    <w:p w14:paraId="7D43C5CA">
      <w:pPr>
        <w:rPr>
          <w:rFonts w:hint="default" w:ascii="Times New Roman" w:hAnsi="Times New Roman" w:eastAsia="宋体" w:cs="Times New Roman"/>
          <w:color w:val="auto"/>
          <w:sz w:val="28"/>
          <w:szCs w:val="28"/>
          <w:highlight w:val="none"/>
          <w:lang w:eastAsia="zh-CN"/>
        </w:rPr>
      </w:pPr>
    </w:p>
    <w:p w14:paraId="36BEA09A">
      <w:pPr>
        <w:pStyle w:val="14"/>
        <w:rPr>
          <w:rFonts w:hint="default" w:ascii="Times New Roman" w:hAnsi="Times New Roman" w:eastAsia="宋体" w:cs="Times New Roman"/>
          <w:color w:val="auto"/>
          <w:sz w:val="28"/>
          <w:szCs w:val="28"/>
          <w:highlight w:val="none"/>
          <w:lang w:eastAsia="zh-CN"/>
        </w:rPr>
      </w:pPr>
    </w:p>
    <w:p w14:paraId="140B2C25">
      <w:pPr>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br w:type="page"/>
      </w:r>
    </w:p>
    <w:bookmarkEnd w:id="0"/>
    <w:bookmarkEnd w:id="1"/>
    <w:bookmarkEnd w:id="2"/>
    <w:bookmarkEnd w:id="3"/>
    <w:bookmarkEnd w:id="4"/>
    <w:p w14:paraId="376BE3DF">
      <w:pPr>
        <w:pStyle w:val="18"/>
        <w:spacing w:line="360" w:lineRule="auto"/>
        <w:ind w:left="0" w:leftChars="0" w:firstLine="0" w:firstLineChars="0"/>
        <w:jc w:val="center"/>
        <w:rPr>
          <w:rFonts w:hint="default" w:ascii="Times New Roman" w:hAnsi="Times New Roman" w:eastAsia="微软雅黑" w:cs="Times New Roman"/>
          <w:b w:val="0"/>
          <w:bCs/>
          <w:color w:val="auto"/>
          <w:sz w:val="36"/>
          <w:szCs w:val="36"/>
          <w:highlight w:val="none"/>
        </w:rPr>
      </w:pPr>
      <w:r>
        <w:rPr>
          <w:rFonts w:hint="default" w:ascii="Times New Roman" w:hAnsi="Times New Roman" w:eastAsia="微软雅黑" w:cs="Times New Roman"/>
          <w:b w:val="0"/>
          <w:bCs/>
          <w:color w:val="auto"/>
          <w:sz w:val="36"/>
          <w:szCs w:val="36"/>
          <w:highlight w:val="none"/>
        </w:rPr>
        <w:t>第一章 磋商人须知及前附表</w:t>
      </w:r>
      <w:bookmarkEnd w:id="5"/>
    </w:p>
    <w:p w14:paraId="1E946BCB">
      <w:pPr>
        <w:jc w:val="center"/>
        <w:rPr>
          <w:rFonts w:hint="default" w:ascii="Times New Roman" w:hAnsi="Times New Roman" w:eastAsia="仿宋" w:cs="Times New Roman"/>
          <w:b/>
          <w:color w:val="auto"/>
          <w:sz w:val="32"/>
          <w:highlight w:val="none"/>
        </w:rPr>
      </w:pPr>
      <w:r>
        <w:rPr>
          <w:rFonts w:hint="default" w:ascii="Times New Roman" w:hAnsi="Times New Roman" w:eastAsia="仿宋" w:cs="Times New Roman"/>
          <w:b/>
          <w:color w:val="auto"/>
          <w:sz w:val="32"/>
          <w:highlight w:val="none"/>
        </w:rPr>
        <w:t>磋商人须知前附表</w:t>
      </w:r>
    </w:p>
    <w:tbl>
      <w:tblPr>
        <w:tblStyle w:val="33"/>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965"/>
      </w:tblGrid>
      <w:tr w14:paraId="26E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2556B2B2">
            <w:pPr>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项号</w:t>
            </w:r>
          </w:p>
        </w:tc>
        <w:tc>
          <w:tcPr>
            <w:tcW w:w="9965" w:type="dxa"/>
            <w:vAlign w:val="center"/>
          </w:tcPr>
          <w:p w14:paraId="3E05D046">
            <w:pPr>
              <w:spacing w:line="24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内容</w:t>
            </w:r>
          </w:p>
        </w:tc>
      </w:tr>
      <w:tr w14:paraId="1A47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restart"/>
            <w:vAlign w:val="center"/>
          </w:tcPr>
          <w:p w14:paraId="36C053D6">
            <w:pPr>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9965" w:type="dxa"/>
            <w:vAlign w:val="center"/>
          </w:tcPr>
          <w:p w14:paraId="65B66313">
            <w:pPr>
              <w:spacing w:line="24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项目名称：</w:t>
            </w:r>
            <w:r>
              <w:rPr>
                <w:rFonts w:hint="eastAsia" w:cs="Times New Roman"/>
                <w:color w:val="auto"/>
                <w:highlight w:val="none"/>
                <w:lang w:eastAsia="zh-CN"/>
              </w:rPr>
              <w:t>贺州市涉重金属风险排查项目（重）</w:t>
            </w:r>
          </w:p>
        </w:tc>
      </w:tr>
      <w:tr w14:paraId="54F4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continue"/>
            <w:vAlign w:val="center"/>
          </w:tcPr>
          <w:p w14:paraId="07BE3F26">
            <w:pPr>
              <w:spacing w:line="400" w:lineRule="exact"/>
              <w:jc w:val="center"/>
              <w:rPr>
                <w:rFonts w:hint="default" w:ascii="Times New Roman" w:hAnsi="Times New Roman" w:eastAsia="宋体" w:cs="Times New Roman"/>
                <w:color w:val="auto"/>
                <w:highlight w:val="none"/>
              </w:rPr>
            </w:pPr>
          </w:p>
        </w:tc>
        <w:tc>
          <w:tcPr>
            <w:tcW w:w="9965" w:type="dxa"/>
            <w:vAlign w:val="center"/>
          </w:tcPr>
          <w:p w14:paraId="3B409745">
            <w:pPr>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项目编号：</w:t>
            </w:r>
            <w:r>
              <w:rPr>
                <w:rFonts w:hint="eastAsia" w:cs="Times New Roman"/>
                <w:color w:val="auto"/>
                <w:highlight w:val="none"/>
                <w:lang w:val="en-US" w:eastAsia="zh-CN"/>
              </w:rPr>
              <w:t xml:space="preserve"> HZZC2025-C3-990319-LYGC</w:t>
            </w:r>
          </w:p>
        </w:tc>
      </w:tr>
      <w:tr w14:paraId="5D08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continue"/>
            <w:vAlign w:val="center"/>
          </w:tcPr>
          <w:p w14:paraId="13E82EF4">
            <w:pPr>
              <w:spacing w:line="400" w:lineRule="exact"/>
              <w:jc w:val="center"/>
              <w:rPr>
                <w:rFonts w:hint="default" w:ascii="Times New Roman" w:hAnsi="Times New Roman" w:eastAsia="宋体" w:cs="Times New Roman"/>
                <w:color w:val="auto"/>
                <w:highlight w:val="none"/>
              </w:rPr>
            </w:pPr>
          </w:p>
        </w:tc>
        <w:tc>
          <w:tcPr>
            <w:tcW w:w="9965" w:type="dxa"/>
            <w:vAlign w:val="center"/>
          </w:tcPr>
          <w:p w14:paraId="623DFBF5">
            <w:pPr>
              <w:spacing w:line="240" w:lineRule="auto"/>
              <w:jc w:val="both"/>
              <w:rPr>
                <w:rFonts w:hint="default" w:ascii="Times New Roman" w:hAnsi="Times New Roman" w:eastAsia="宋体" w:cs="Times New Roman"/>
                <w:color w:val="auto"/>
                <w:highlight w:val="none"/>
                <w:u w:val="single"/>
                <w:lang w:eastAsia="zh-CN"/>
              </w:rPr>
            </w:pPr>
            <w:r>
              <w:rPr>
                <w:rFonts w:hint="default" w:ascii="Times New Roman" w:hAnsi="Times New Roman" w:eastAsia="宋体" w:cs="Times New Roman"/>
                <w:color w:val="auto"/>
                <w:highlight w:val="none"/>
              </w:rPr>
              <w:t>采购人名称：</w:t>
            </w:r>
            <w:r>
              <w:rPr>
                <w:rFonts w:hint="eastAsia" w:cs="Times New Roman"/>
                <w:color w:val="auto"/>
                <w:highlight w:val="none"/>
                <w:lang w:eastAsia="zh-CN"/>
              </w:rPr>
              <w:t xml:space="preserve"> 贺州市生态环境局 </w:t>
            </w:r>
          </w:p>
        </w:tc>
      </w:tr>
      <w:tr w14:paraId="716D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continue"/>
            <w:vAlign w:val="center"/>
          </w:tcPr>
          <w:p w14:paraId="0161E115">
            <w:pPr>
              <w:spacing w:line="400" w:lineRule="exact"/>
              <w:jc w:val="center"/>
              <w:rPr>
                <w:rFonts w:hint="default" w:ascii="Times New Roman" w:hAnsi="Times New Roman" w:eastAsia="宋体" w:cs="Times New Roman"/>
                <w:color w:val="auto"/>
                <w:highlight w:val="none"/>
              </w:rPr>
            </w:pPr>
          </w:p>
        </w:tc>
        <w:tc>
          <w:tcPr>
            <w:tcW w:w="9965" w:type="dxa"/>
            <w:vAlign w:val="center"/>
          </w:tcPr>
          <w:p w14:paraId="0F50C6DC">
            <w:pPr>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采购需求：</w:t>
            </w:r>
            <w:r>
              <w:rPr>
                <w:rFonts w:hint="eastAsia" w:cs="Times New Roman"/>
                <w:color w:val="auto"/>
                <w:highlight w:val="none"/>
                <w:lang w:eastAsia="zh-CN"/>
              </w:rPr>
              <w:t>贺州市涉重金属风险排查项目（重）</w:t>
            </w:r>
            <w:r>
              <w:rPr>
                <w:rFonts w:hint="default" w:ascii="Times New Roman" w:hAnsi="Times New Roman" w:eastAsia="宋体" w:cs="Times New Roman"/>
                <w:color w:val="auto"/>
                <w:szCs w:val="21"/>
                <w:highlight w:val="none"/>
              </w:rPr>
              <w:t>，如需进一步了解详细内容，详见竞争性磋商文件。</w:t>
            </w:r>
          </w:p>
        </w:tc>
      </w:tr>
      <w:tr w14:paraId="5503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continue"/>
            <w:vAlign w:val="center"/>
          </w:tcPr>
          <w:p w14:paraId="38465748">
            <w:pPr>
              <w:spacing w:line="400" w:lineRule="exact"/>
              <w:jc w:val="center"/>
              <w:rPr>
                <w:rFonts w:hint="default" w:ascii="Times New Roman" w:hAnsi="Times New Roman" w:eastAsia="宋体" w:cs="Times New Roman"/>
                <w:color w:val="auto"/>
                <w:highlight w:val="none"/>
              </w:rPr>
            </w:pPr>
          </w:p>
        </w:tc>
        <w:tc>
          <w:tcPr>
            <w:tcW w:w="9965" w:type="dxa"/>
            <w:vAlign w:val="center"/>
          </w:tcPr>
          <w:p w14:paraId="1676D89D">
            <w:pPr>
              <w:spacing w:line="24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合同履行期限</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lang w:eastAsia="zh-CN"/>
              </w:rPr>
              <w:t>合同签订之日期至202</w:t>
            </w: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年</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月</w:t>
            </w:r>
            <w:r>
              <w:rPr>
                <w:rFonts w:hint="eastAsia" w:cs="Times New Roman"/>
                <w:color w:val="auto"/>
                <w:sz w:val="21"/>
                <w:szCs w:val="21"/>
                <w:highlight w:val="none"/>
                <w:lang w:val="en-US" w:eastAsia="zh-CN"/>
              </w:rPr>
              <w:t>31日</w:t>
            </w:r>
            <w:r>
              <w:rPr>
                <w:rFonts w:hint="default" w:ascii="Times New Roman" w:hAnsi="Times New Roman" w:eastAsia="宋体" w:cs="Times New Roman"/>
                <w:color w:val="auto"/>
                <w:sz w:val="21"/>
                <w:szCs w:val="21"/>
                <w:highlight w:val="none"/>
                <w:lang w:eastAsia="zh-CN"/>
              </w:rPr>
              <w:t>。</w:t>
            </w:r>
          </w:p>
        </w:tc>
      </w:tr>
      <w:tr w14:paraId="4451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1AC41700">
            <w:pPr>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9965" w:type="dxa"/>
            <w:vAlign w:val="center"/>
          </w:tcPr>
          <w:p w14:paraId="493EF9E8">
            <w:pPr>
              <w:bidi w:val="0"/>
              <w:rPr>
                <w:rFonts w:hint="default"/>
                <w:b/>
                <w:bCs/>
                <w:color w:val="auto"/>
                <w:highlight w:val="none"/>
                <w:lang w:val="en-US" w:eastAsia="zh-CN"/>
              </w:rPr>
            </w:pPr>
            <w:r>
              <w:rPr>
                <w:rFonts w:hint="default"/>
                <w:b/>
                <w:bCs/>
                <w:color w:val="auto"/>
                <w:highlight w:val="none"/>
                <w:lang w:val="en-US" w:eastAsia="zh-CN"/>
              </w:rPr>
              <w:t>申请人的资格要求</w:t>
            </w:r>
          </w:p>
          <w:p w14:paraId="5450E6A2">
            <w:pPr>
              <w:bidi w:val="0"/>
              <w:rPr>
                <w:rFonts w:hint="default"/>
                <w:color w:val="auto"/>
                <w:highlight w:val="none"/>
              </w:rPr>
            </w:pPr>
            <w:r>
              <w:rPr>
                <w:rFonts w:hint="default"/>
                <w:color w:val="auto"/>
                <w:highlight w:val="none"/>
                <w:lang w:val="en-US" w:eastAsia="zh-CN"/>
              </w:rPr>
              <w:t>1.</w:t>
            </w:r>
            <w:r>
              <w:rPr>
                <w:rFonts w:hint="default"/>
                <w:color w:val="auto"/>
                <w:highlight w:val="none"/>
                <w:lang w:val="en-US" w:eastAsia="zh-CN"/>
              </w:rPr>
              <w:t>政府采购供应商资格信用承诺函（格式后附）；（必须提供，否则响应文件按无效响应处理）</w:t>
            </w:r>
            <w:r>
              <w:rPr>
                <w:rFonts w:hint="default"/>
                <w:color w:val="auto"/>
                <w:highlight w:val="none"/>
              </w:rPr>
              <w:t>；</w:t>
            </w:r>
          </w:p>
          <w:p w14:paraId="72F00EE2">
            <w:pPr>
              <w:bidi w:val="0"/>
              <w:rPr>
                <w:rFonts w:hint="default"/>
                <w:color w:val="auto"/>
                <w:highlight w:val="none"/>
              </w:rPr>
            </w:pPr>
            <w:r>
              <w:rPr>
                <w:rFonts w:hint="default"/>
                <w:color w:val="auto"/>
                <w:highlight w:val="none"/>
              </w:rPr>
              <w:t xml:space="preserve">2.落实政府采购政策需满足的资格要求：专门面向中小企业采购的项目（供应商应为中小微企业、监狱企业、残疾人福利性单位) </w:t>
            </w:r>
          </w:p>
          <w:p w14:paraId="2DC6B84F">
            <w:pPr>
              <w:bidi w:val="0"/>
              <w:rPr>
                <w:rFonts w:hint="default"/>
                <w:color w:val="auto"/>
                <w:highlight w:val="none"/>
                <w:lang w:eastAsia="zh-CN"/>
              </w:rPr>
            </w:pPr>
            <w:r>
              <w:rPr>
                <w:rFonts w:hint="eastAsia"/>
                <w:color w:val="auto"/>
                <w:highlight w:val="none"/>
                <w:lang w:val="en-US" w:eastAsia="zh-CN"/>
              </w:rPr>
              <w:t>3</w:t>
            </w:r>
            <w:r>
              <w:rPr>
                <w:rFonts w:hint="default"/>
                <w:color w:val="auto"/>
                <w:highlight w:val="none"/>
                <w:lang w:val="en-US" w:eastAsia="zh-CN"/>
              </w:rPr>
              <w:t>.</w:t>
            </w:r>
            <w:r>
              <w:rPr>
                <w:rFonts w:hint="default"/>
                <w:color w:val="auto"/>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default"/>
                <w:color w:val="auto"/>
                <w:highlight w:val="none"/>
                <w:lang w:eastAsia="zh-CN"/>
              </w:rPr>
              <w:t>。</w:t>
            </w:r>
          </w:p>
          <w:p w14:paraId="61B6ADA9">
            <w:pPr>
              <w:bidi w:val="0"/>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w:t>
            </w:r>
            <w:r>
              <w:rPr>
                <w:rFonts w:hint="default"/>
                <w:color w:val="auto"/>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default"/>
                <w:color w:val="auto"/>
                <w:highlight w:val="none"/>
                <w:lang w:val="en-US" w:eastAsia="zh-CN"/>
              </w:rPr>
              <w:t>。</w:t>
            </w:r>
          </w:p>
          <w:p w14:paraId="3BB88F6B">
            <w:pPr>
              <w:bidi w:val="0"/>
              <w:rPr>
                <w:rFonts w:hint="default" w:ascii="Times New Roman" w:hAnsi="Times New Roman" w:cs="Times New Roman"/>
                <w:color w:val="auto"/>
                <w:szCs w:val="21"/>
                <w:highlight w:val="none"/>
              </w:rPr>
            </w:pPr>
            <w:r>
              <w:rPr>
                <w:rFonts w:hint="eastAsia"/>
                <w:color w:val="auto"/>
                <w:highlight w:val="none"/>
                <w:lang w:val="en-US" w:eastAsia="zh-CN"/>
              </w:rPr>
              <w:t>5</w:t>
            </w:r>
            <w:r>
              <w:rPr>
                <w:rFonts w:hint="default"/>
                <w:color w:val="auto"/>
                <w:highlight w:val="none"/>
                <w:lang w:val="en-US" w:eastAsia="zh-CN"/>
              </w:rPr>
              <w:t>.本项目不接受联合体。</w:t>
            </w:r>
          </w:p>
        </w:tc>
      </w:tr>
      <w:tr w14:paraId="44C3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7FE8A592">
            <w:pPr>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9965" w:type="dxa"/>
            <w:vAlign w:val="center"/>
          </w:tcPr>
          <w:p w14:paraId="7602EFA5">
            <w:pPr>
              <w:pStyle w:val="17"/>
              <w:spacing w:line="240" w:lineRule="auto"/>
              <w:jc w:val="both"/>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磋</w:t>
            </w:r>
            <w:r>
              <w:rPr>
                <w:rFonts w:hint="default" w:ascii="Times New Roman" w:hAnsi="Times New Roman" w:eastAsia="宋体" w:cs="Times New Roman"/>
                <w:color w:val="auto"/>
                <w:szCs w:val="21"/>
                <w:highlight w:val="none"/>
              </w:rPr>
              <w:t>商报价：磋商人须就《</w:t>
            </w:r>
            <w:r>
              <w:rPr>
                <w:rFonts w:hint="default" w:ascii="Times New Roman" w:hAnsi="Times New Roman" w:eastAsia="宋体" w:cs="Times New Roman"/>
                <w:color w:val="auto"/>
                <w:szCs w:val="21"/>
                <w:highlight w:val="none"/>
                <w:lang w:eastAsia="zh-CN"/>
              </w:rPr>
              <w:t>服务需求一览表</w:t>
            </w:r>
            <w:r>
              <w:rPr>
                <w:rFonts w:hint="default" w:ascii="Times New Roman" w:hAnsi="Times New Roman" w:eastAsia="宋体" w:cs="Times New Roman"/>
                <w:color w:val="auto"/>
                <w:szCs w:val="21"/>
                <w:highlight w:val="none"/>
              </w:rPr>
              <w:t>》中的所有服务内容作完整唯一报价。</w:t>
            </w:r>
          </w:p>
        </w:tc>
      </w:tr>
      <w:tr w14:paraId="17DE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1AFEE99D">
            <w:pPr>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w:t>
            </w:r>
          </w:p>
        </w:tc>
        <w:tc>
          <w:tcPr>
            <w:tcW w:w="9965" w:type="dxa"/>
            <w:vAlign w:val="center"/>
          </w:tcPr>
          <w:p w14:paraId="05A2405E">
            <w:pPr>
              <w:keepNext w:val="0"/>
              <w:keepLines w:val="0"/>
              <w:pageBreakBefore w:val="0"/>
              <w:kinsoku/>
              <w:wordWrap/>
              <w:overflowPunct/>
              <w:topLinePunct w:val="0"/>
              <w:autoSpaceDE/>
              <w:autoSpaceDN/>
              <w:bidi w:val="0"/>
              <w:spacing w:line="240" w:lineRule="auto"/>
              <w:jc w:val="both"/>
              <w:outlineLvl w:val="9"/>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sz w:val="21"/>
                <w:szCs w:val="21"/>
                <w:highlight w:val="none"/>
              </w:rPr>
              <w:t>预算金额：人民币</w:t>
            </w:r>
            <w:r>
              <w:rPr>
                <w:rFonts w:hint="eastAsia" w:cs="Times New Roman"/>
                <w:b/>
                <w:bCs/>
                <w:color w:val="auto"/>
                <w:sz w:val="21"/>
                <w:szCs w:val="21"/>
                <w:highlight w:val="none"/>
                <w:lang w:val="en-US" w:eastAsia="zh-CN"/>
              </w:rPr>
              <w:t>捌拾壹万贰仟</w:t>
            </w:r>
            <w:r>
              <w:rPr>
                <w:rFonts w:hint="default" w:ascii="Times New Roman" w:hAnsi="Times New Roman" w:eastAsia="宋体" w:cs="Times New Roman"/>
                <w:b/>
                <w:bCs/>
                <w:color w:val="auto"/>
                <w:sz w:val="21"/>
                <w:szCs w:val="21"/>
                <w:highlight w:val="none"/>
              </w:rPr>
              <w:t>元整(￥</w:t>
            </w:r>
            <w:r>
              <w:rPr>
                <w:rFonts w:hint="eastAsia" w:cs="Times New Roman"/>
                <w:b/>
                <w:bCs/>
                <w:color w:val="auto"/>
                <w:sz w:val="21"/>
                <w:szCs w:val="21"/>
                <w:highlight w:val="none"/>
                <w:lang w:val="en-US" w:eastAsia="zh-CN"/>
              </w:rPr>
              <w:t>812000</w:t>
            </w:r>
            <w:r>
              <w:rPr>
                <w:rFonts w:hint="default" w:ascii="Times New Roman" w:hAnsi="Times New Roman" w:eastAsia="宋体" w:cs="Times New Roman"/>
                <w:b/>
                <w:bCs/>
                <w:color w:val="auto"/>
                <w:sz w:val="21"/>
                <w:szCs w:val="21"/>
                <w:highlight w:val="none"/>
              </w:rPr>
              <w:t>.00)</w:t>
            </w:r>
          </w:p>
          <w:p w14:paraId="7FA3B195">
            <w:pPr>
              <w:pStyle w:val="14"/>
              <w:spacing w:line="240" w:lineRule="auto"/>
              <w:jc w:val="both"/>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rPr>
              <w:t>计价依据</w:t>
            </w:r>
            <w:r>
              <w:rPr>
                <w:rFonts w:hint="default" w:ascii="Times New Roman" w:hAnsi="Times New Roman" w:eastAsia="宋体" w:cs="Times New Roman"/>
                <w:b/>
                <w:bCs/>
                <w:color w:val="auto"/>
                <w:spacing w:val="0"/>
                <w:kern w:val="2"/>
                <w:sz w:val="21"/>
                <w:szCs w:val="24"/>
                <w:highlight w:val="none"/>
                <w:lang w:val="en-US" w:eastAsia="zh-CN" w:bidi="ar-SA"/>
              </w:rPr>
              <w:t>：计费标准</w:t>
            </w:r>
            <w:r>
              <w:rPr>
                <w:rFonts w:hint="default" w:ascii="Times New Roman" w:hAnsi="Times New Roman" w:cs="Times New Roman"/>
                <w:b/>
                <w:bCs/>
                <w:color w:val="auto"/>
                <w:spacing w:val="0"/>
                <w:kern w:val="2"/>
                <w:sz w:val="21"/>
                <w:szCs w:val="24"/>
                <w:highlight w:val="none"/>
                <w:lang w:val="en-US" w:eastAsia="zh-CN" w:bidi="ar-SA"/>
              </w:rPr>
              <w:t>按照</w:t>
            </w:r>
            <w:r>
              <w:rPr>
                <w:rFonts w:hint="default" w:ascii="Times New Roman" w:hAnsi="Times New Roman" w:eastAsia="宋体" w:cs="Times New Roman"/>
                <w:b/>
                <w:bCs/>
                <w:color w:val="auto"/>
                <w:spacing w:val="0"/>
                <w:kern w:val="2"/>
                <w:sz w:val="21"/>
                <w:szCs w:val="24"/>
                <w:highlight w:val="none"/>
                <w:lang w:val="en-US" w:eastAsia="zh-CN" w:bidi="ar-SA"/>
              </w:rPr>
              <w:t>关于广西壮族自治区物价局、广西壮族自治区财政厅文件桂价费字[2004]301号</w:t>
            </w:r>
            <w:r>
              <w:rPr>
                <w:rFonts w:hint="default" w:ascii="Times New Roman" w:hAnsi="Times New Roman" w:cs="Times New Roman"/>
                <w:b/>
                <w:bCs/>
                <w:color w:val="auto"/>
                <w:spacing w:val="0"/>
                <w:kern w:val="2"/>
                <w:sz w:val="21"/>
                <w:szCs w:val="24"/>
                <w:highlight w:val="none"/>
                <w:lang w:val="en-US" w:eastAsia="zh-CN" w:bidi="ar-SA"/>
              </w:rPr>
              <w:t>执行</w:t>
            </w:r>
            <w:r>
              <w:rPr>
                <w:rFonts w:hint="default" w:ascii="Times New Roman" w:hAnsi="Times New Roman" w:eastAsia="宋体" w:cs="Times New Roman"/>
                <w:b/>
                <w:bCs/>
                <w:color w:val="auto"/>
                <w:spacing w:val="0"/>
                <w:kern w:val="2"/>
                <w:sz w:val="21"/>
                <w:szCs w:val="24"/>
                <w:highlight w:val="none"/>
                <w:lang w:val="en-US" w:eastAsia="zh-CN" w:bidi="ar-SA"/>
              </w:rPr>
              <w:t>。</w:t>
            </w:r>
          </w:p>
        </w:tc>
      </w:tr>
      <w:tr w14:paraId="31C7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4DC0B3C5">
            <w:pPr>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w:t>
            </w:r>
          </w:p>
        </w:tc>
        <w:tc>
          <w:tcPr>
            <w:tcW w:w="9965" w:type="dxa"/>
            <w:vAlign w:val="center"/>
          </w:tcPr>
          <w:p w14:paraId="152E05D6">
            <w:pPr>
              <w:spacing w:line="24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磋商有效期：</w:t>
            </w:r>
            <w:r>
              <w:rPr>
                <w:rFonts w:hint="default" w:ascii="Times New Roman" w:hAnsi="Times New Roman" w:eastAsia="宋体" w:cs="Times New Roman"/>
                <w:color w:val="auto"/>
                <w:spacing w:val="-6"/>
                <w:sz w:val="21"/>
                <w:szCs w:val="21"/>
                <w:highlight w:val="none"/>
              </w:rPr>
              <w:t>本项目竞标有效期为竞标截止时间之日起90天。</w:t>
            </w:r>
          </w:p>
        </w:tc>
      </w:tr>
      <w:tr w14:paraId="5E25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25C56E15">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w:t>
            </w:r>
          </w:p>
        </w:tc>
        <w:tc>
          <w:tcPr>
            <w:tcW w:w="9965" w:type="dxa"/>
            <w:vAlign w:val="center"/>
          </w:tcPr>
          <w:p w14:paraId="6B2DE223">
            <w:pPr>
              <w:spacing w:line="240" w:lineRule="auto"/>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Cs w:val="21"/>
                <w:highlight w:val="none"/>
              </w:rPr>
              <w:t>响应文件形式</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响应</w:t>
            </w:r>
            <w:r>
              <w:rPr>
                <w:rFonts w:hint="default" w:ascii="Times New Roman" w:hAnsi="Times New Roman" w:eastAsia="宋体" w:cs="Times New Roman"/>
                <w:snapToGrid w:val="0"/>
                <w:color w:val="auto"/>
                <w:szCs w:val="21"/>
                <w:highlight w:val="none"/>
              </w:rPr>
              <w:t>文件中所涉及的加盖公章均采用CA电子签章。</w:t>
            </w:r>
          </w:p>
        </w:tc>
      </w:tr>
      <w:tr w14:paraId="7280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549FC131">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w:t>
            </w:r>
          </w:p>
        </w:tc>
        <w:tc>
          <w:tcPr>
            <w:tcW w:w="9965" w:type="dxa"/>
            <w:vAlign w:val="center"/>
          </w:tcPr>
          <w:p w14:paraId="58F6A4D1">
            <w:pPr>
              <w:widowControl/>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响应文件份数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供应商应准备电子加密响应文件、以介质存储的数据电文形式的电子备份响应文件份数：</w:t>
            </w:r>
          </w:p>
          <w:p w14:paraId="6EAD56F5">
            <w:pPr>
              <w:widowControl/>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电子加密响应文件按政采云平台要求及本磋商文件要求制作、加密，并在响应文件提交截止时间前成功上传提交至“政采云平台”。“电子加密投标文件”成功上传提交后，供应商可自行打印响应文件接收回执。</w:t>
            </w:r>
          </w:p>
          <w:p w14:paraId="4753E9F6">
            <w:pPr>
              <w:widowControl/>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2.以介质存储的数据电文形式的电子备份响应文件，按政采云平台《政府采购项目电子交易管理操作指南-供应商》中上传的电子响应文件格式，以U盘的形式提供。数量为1份。 </w:t>
            </w:r>
          </w:p>
          <w:p w14:paraId="76E564D8">
            <w:pPr>
              <w:widowControl/>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3.响应文件启用顺序和效力。响应文件的启用，按先后顺位分别为电子加密响应文件、以介质存储的数据电文形式的电子备份响应文件。顺位在先的响应文件已按时解密的，下一顺位响应文件自动失效。在下一顺位的响应文件启用时，前一顺位的响应文件自动失效。</w:t>
            </w:r>
          </w:p>
          <w:p w14:paraId="6689FD20">
            <w:pPr>
              <w:widowControl/>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未在响应文件提交截止时间前传输提交电子加密响应文件的，响应无效。</w:t>
            </w:r>
          </w:p>
          <w:p w14:paraId="2ACBCED4">
            <w:pPr>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未按规定提供相应的备份响应文件，造成项目开评标活动无法进行下去的，响应无效。</w:t>
            </w:r>
          </w:p>
          <w:p w14:paraId="5129CF4C">
            <w:pPr>
              <w:pStyle w:val="14"/>
              <w:spacing w:line="240" w:lineRule="auto"/>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snapToGrid w:val="0"/>
                <w:color w:val="auto"/>
                <w:spacing w:val="0"/>
                <w:kern w:val="2"/>
                <w:sz w:val="21"/>
                <w:szCs w:val="21"/>
                <w:highlight w:val="none"/>
                <w:lang w:val="en-US" w:eastAsia="zh-CN" w:bidi="ar-SA"/>
              </w:rPr>
              <w:t>4.成交供应商应于获取成交通知书时同时提供盖章后的纸质版投标文件：正本1份，副本2份（副本可用正本复印件）递交给采购代理机构。</w:t>
            </w:r>
          </w:p>
        </w:tc>
      </w:tr>
      <w:tr w14:paraId="77FD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0338EE66">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w:t>
            </w:r>
          </w:p>
        </w:tc>
        <w:tc>
          <w:tcPr>
            <w:tcW w:w="9965" w:type="dxa"/>
            <w:vAlign w:val="center"/>
          </w:tcPr>
          <w:p w14:paraId="26A6E57B">
            <w:pPr>
              <w:spacing w:line="240" w:lineRule="auto"/>
              <w:jc w:val="both"/>
              <w:rPr>
                <w:rFonts w:hint="default" w:ascii="Times New Roman" w:hAnsi="Times New Roman" w:eastAsia="宋体" w:cs="Times New Roman"/>
                <w:snapToGrid w:val="0"/>
                <w:color w:val="auto"/>
                <w:szCs w:val="21"/>
                <w:highlight w:val="none"/>
                <w:lang w:eastAsia="zh-CN"/>
              </w:rPr>
            </w:pPr>
            <w:r>
              <w:rPr>
                <w:rFonts w:hint="default" w:ascii="Times New Roman" w:hAnsi="Times New Roman" w:eastAsia="宋体" w:cs="Times New Roman"/>
                <w:snapToGrid w:val="0"/>
                <w:color w:val="auto"/>
                <w:szCs w:val="21"/>
                <w:highlight w:val="none"/>
              </w:rPr>
              <w:t>电子响应文件的解密</w:t>
            </w:r>
            <w:r>
              <w:rPr>
                <w:rFonts w:hint="default" w:ascii="Times New Roman" w:hAnsi="Times New Roman" w:eastAsia="宋体" w:cs="Times New Roman"/>
                <w:snapToGrid w:val="0"/>
                <w:color w:val="auto"/>
                <w:szCs w:val="21"/>
                <w:highlight w:val="none"/>
                <w:lang w:eastAsia="zh-CN"/>
              </w:rPr>
              <w:t>：</w:t>
            </w:r>
            <w:r>
              <w:rPr>
                <w:rFonts w:hint="default" w:ascii="Times New Roman" w:hAnsi="Times New Roman" w:eastAsia="宋体" w:cs="Times New Roman"/>
                <w:snapToGrid w:val="0"/>
                <w:color w:val="auto"/>
                <w:szCs w:val="21"/>
                <w:highlight w:val="none"/>
              </w:rPr>
              <w:t>响应文件提交截止时间后30分钟内，供应商必须在此时间段内登录政采云平台，用“项目采购-开标评标”功能完成电子响应文件的解密。若供应商在规定时间内未按时解密的，供应商已递交了电子备份响应文件的，以电子备份响应文件为依据，未能按时解密且未提交电子备份响应文件的视为响应文件撤回。</w:t>
            </w:r>
          </w:p>
        </w:tc>
      </w:tr>
      <w:tr w14:paraId="147E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7C9562BC">
            <w:pPr>
              <w:spacing w:line="400" w:lineRule="exact"/>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9</w:t>
            </w:r>
          </w:p>
        </w:tc>
        <w:tc>
          <w:tcPr>
            <w:tcW w:w="9965" w:type="dxa"/>
            <w:vAlign w:val="center"/>
          </w:tcPr>
          <w:p w14:paraId="65328002">
            <w:pPr>
              <w:pStyle w:val="17"/>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磋商保证金：人民币</w:t>
            </w:r>
            <w:r>
              <w:rPr>
                <w:rFonts w:hint="eastAsia" w:ascii="Times New Roman" w:hAnsi="Times New Roman" w:cs="Times New Roman"/>
                <w:color w:val="auto"/>
                <w:kern w:val="2"/>
                <w:sz w:val="21"/>
                <w:szCs w:val="24"/>
                <w:highlight w:val="none"/>
                <w:lang w:val="en-US" w:eastAsia="zh-CN" w:bidi="ar-SA"/>
              </w:rPr>
              <w:t>伍仟</w:t>
            </w:r>
            <w:r>
              <w:rPr>
                <w:rFonts w:hint="default" w:ascii="Times New Roman" w:hAnsi="Times New Roman" w:eastAsia="宋体" w:cs="Times New Roman"/>
                <w:color w:val="auto"/>
                <w:kern w:val="2"/>
                <w:sz w:val="21"/>
                <w:szCs w:val="24"/>
                <w:highlight w:val="none"/>
                <w:lang w:val="en-US" w:eastAsia="zh-CN" w:bidi="ar-SA"/>
              </w:rPr>
              <w:t>元整（¥</w:t>
            </w:r>
            <w:r>
              <w:rPr>
                <w:rFonts w:hint="eastAsia" w:ascii="Times New Roman" w:hAnsi="Times New Roman" w:cs="Times New Roman"/>
                <w:color w:val="auto"/>
                <w:kern w:val="2"/>
                <w:sz w:val="21"/>
                <w:szCs w:val="24"/>
                <w:highlight w:val="none"/>
                <w:lang w:val="en-US" w:eastAsia="zh-CN" w:bidi="ar-SA"/>
              </w:rPr>
              <w:t>5</w:t>
            </w:r>
            <w:r>
              <w:rPr>
                <w:rFonts w:hint="default" w:ascii="Times New Roman" w:hAnsi="Times New Roman" w:eastAsia="宋体" w:cs="Times New Roman"/>
                <w:color w:val="auto"/>
                <w:kern w:val="2"/>
                <w:sz w:val="21"/>
                <w:szCs w:val="24"/>
                <w:highlight w:val="none"/>
                <w:lang w:val="en-US" w:eastAsia="zh-CN" w:bidi="ar-SA"/>
              </w:rPr>
              <w:t>000.00元）（须足额交纳）。</w:t>
            </w:r>
          </w:p>
          <w:p w14:paraId="5071D4A4">
            <w:pPr>
              <w:pStyle w:val="17"/>
              <w:pageBreakBefore w:val="0"/>
              <w:kinsoku/>
              <w:wordWrap/>
              <w:overflowPunct/>
              <w:topLinePunct w:val="0"/>
              <w:autoSpaceDE/>
              <w:autoSpaceDN/>
              <w:bidi w:val="0"/>
              <w:adjustRightInd/>
              <w:snapToGrid/>
              <w:spacing w:line="240" w:lineRule="auto"/>
              <w:ind w:firstLine="455"/>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供应商应于磋商截止时间前将磋商保证金以电汇或转帐或支票或汇票或本票或保函、保险等非现金形式交至以下账户，并于投标截止时间前到账，到账时间以银行确认的到账时间为准(注：若以支票或汇票或本票或保函、保函方式提交的，交款人必须是磋商人；若以转账或电汇方式提交的，必须从供应商银行账户转出；若以现金方式交纳或者没有足额交纳的视为无效投标。办理磋商保证金手续时，需在交纳凭据上注明项目名称及标段号（或项目编号），否则投标无效。</w:t>
            </w:r>
          </w:p>
          <w:p w14:paraId="4B1F0A9A">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账户名称：广西朗亿工程咨询有限公司</w:t>
            </w:r>
          </w:p>
          <w:p w14:paraId="4F03FA54">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开户银行：桂林银行股份有限公司贺州分行</w:t>
            </w:r>
          </w:p>
          <w:p w14:paraId="7FE6B5B7">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银行帐号：6600 0002 2794 00001 3</w:t>
            </w:r>
          </w:p>
          <w:p w14:paraId="7754B3A1">
            <w:pPr>
              <w:spacing w:line="240" w:lineRule="auto"/>
              <w:ind w:firstLine="210" w:firstLineChars="100"/>
              <w:jc w:val="both"/>
              <w:rPr>
                <w:rFonts w:hint="default" w:ascii="Times New Roman" w:hAnsi="Times New Roman" w:eastAsia="宋体" w:cs="Times New Roman"/>
                <w:color w:val="auto"/>
                <w:highlight w:val="none"/>
              </w:rPr>
            </w:pPr>
          </w:p>
        </w:tc>
      </w:tr>
      <w:tr w14:paraId="5478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355B1803">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10</w:t>
            </w:r>
          </w:p>
        </w:tc>
        <w:tc>
          <w:tcPr>
            <w:tcW w:w="9965" w:type="dxa"/>
            <w:vAlign w:val="center"/>
          </w:tcPr>
          <w:p w14:paraId="351F11A4">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磋商响应文件递交截止时间：202</w:t>
            </w:r>
            <w:r>
              <w:rPr>
                <w:rFonts w:hint="eastAsia" w:ascii="Times New Roman" w:hAnsi="Times New Roman" w:cs="Times New Roman"/>
                <w:snapToGrid w:val="0"/>
                <w:color w:val="auto"/>
                <w:kern w:val="2"/>
                <w:sz w:val="21"/>
                <w:szCs w:val="21"/>
                <w:highlight w:val="none"/>
                <w:lang w:val="en-US" w:eastAsia="zh-CN" w:bidi="ar-SA"/>
              </w:rPr>
              <w:t>6</w:t>
            </w:r>
            <w:r>
              <w:rPr>
                <w:rFonts w:hint="default" w:ascii="Times New Roman" w:hAnsi="Times New Roman" w:eastAsia="宋体" w:cs="Times New Roman"/>
                <w:snapToGrid w:val="0"/>
                <w:color w:val="auto"/>
                <w:kern w:val="2"/>
                <w:sz w:val="21"/>
                <w:szCs w:val="21"/>
                <w:highlight w:val="none"/>
                <w:lang w:val="en-US" w:eastAsia="zh-CN" w:bidi="ar-SA"/>
              </w:rPr>
              <w:t>年</w:t>
            </w:r>
            <w:r>
              <w:rPr>
                <w:rFonts w:hint="eastAsia" w:ascii="Times New Roman" w:hAnsi="Times New Roman" w:cs="Times New Roman"/>
                <w:snapToGrid w:val="0"/>
                <w:color w:val="auto"/>
                <w:kern w:val="2"/>
                <w:sz w:val="21"/>
                <w:szCs w:val="21"/>
                <w:highlight w:val="none"/>
                <w:lang w:val="en-US" w:eastAsia="zh-CN" w:bidi="ar-SA"/>
              </w:rPr>
              <w:t>01</w:t>
            </w:r>
            <w:r>
              <w:rPr>
                <w:rFonts w:hint="default" w:ascii="Times New Roman" w:hAnsi="Times New Roman" w:eastAsia="宋体" w:cs="Times New Roman"/>
                <w:snapToGrid w:val="0"/>
                <w:color w:val="auto"/>
                <w:kern w:val="2"/>
                <w:sz w:val="21"/>
                <w:szCs w:val="21"/>
                <w:highlight w:val="none"/>
                <w:lang w:val="en-US" w:eastAsia="zh-CN" w:bidi="ar-SA"/>
              </w:rPr>
              <w:t>月</w:t>
            </w:r>
            <w:r>
              <w:rPr>
                <w:rFonts w:hint="eastAsia" w:ascii="Times New Roman" w:hAnsi="Times New Roman" w:cs="Times New Roman"/>
                <w:snapToGrid w:val="0"/>
                <w:color w:val="auto"/>
                <w:kern w:val="2"/>
                <w:sz w:val="21"/>
                <w:szCs w:val="21"/>
                <w:highlight w:val="none"/>
                <w:lang w:val="en-US" w:eastAsia="zh-CN" w:bidi="ar-SA"/>
              </w:rPr>
              <w:t xml:space="preserve">04 </w:t>
            </w:r>
            <w:r>
              <w:rPr>
                <w:rFonts w:hint="default" w:ascii="Times New Roman" w:hAnsi="Times New Roman" w:eastAsia="宋体" w:cs="Times New Roman"/>
                <w:snapToGrid w:val="0"/>
                <w:color w:val="auto"/>
                <w:kern w:val="2"/>
                <w:sz w:val="21"/>
                <w:szCs w:val="21"/>
                <w:highlight w:val="none"/>
                <w:lang w:val="en-US" w:eastAsia="zh-CN" w:bidi="ar-SA"/>
              </w:rPr>
              <w:t>日</w:t>
            </w:r>
            <w:r>
              <w:rPr>
                <w:rFonts w:hint="eastAsia" w:ascii="Times New Roman" w:hAnsi="Times New Roman" w:cs="Times New Roman"/>
                <w:snapToGrid w:val="0"/>
                <w:color w:val="auto"/>
                <w:kern w:val="2"/>
                <w:sz w:val="21"/>
                <w:szCs w:val="21"/>
                <w:highlight w:val="none"/>
                <w:lang w:val="en-US" w:eastAsia="zh-CN" w:bidi="ar-SA"/>
              </w:rPr>
              <w:t>09</w:t>
            </w:r>
            <w:r>
              <w:rPr>
                <w:rFonts w:hint="default" w:ascii="Times New Roman" w:hAnsi="Times New Roman" w:eastAsia="宋体" w:cs="Times New Roman"/>
                <w:snapToGrid w:val="0"/>
                <w:color w:val="auto"/>
                <w:kern w:val="2"/>
                <w:sz w:val="21"/>
                <w:szCs w:val="21"/>
                <w:highlight w:val="none"/>
                <w:lang w:val="en-US" w:eastAsia="zh-CN" w:bidi="ar-SA"/>
              </w:rPr>
              <w:t>点</w:t>
            </w:r>
            <w:r>
              <w:rPr>
                <w:rFonts w:hint="eastAsia" w:ascii="Times New Roman" w:hAnsi="Times New Roman" w:cs="Times New Roman"/>
                <w:snapToGrid w:val="0"/>
                <w:color w:val="auto"/>
                <w:kern w:val="2"/>
                <w:sz w:val="21"/>
                <w:szCs w:val="21"/>
                <w:highlight w:val="none"/>
                <w:lang w:val="en-US" w:eastAsia="zh-CN" w:bidi="ar-SA"/>
              </w:rPr>
              <w:t>00</w:t>
            </w:r>
            <w:r>
              <w:rPr>
                <w:rFonts w:hint="default" w:ascii="Times New Roman" w:hAnsi="Times New Roman" w:eastAsia="宋体" w:cs="Times New Roman"/>
                <w:snapToGrid w:val="0"/>
                <w:color w:val="auto"/>
                <w:kern w:val="2"/>
                <w:sz w:val="21"/>
                <w:szCs w:val="21"/>
                <w:highlight w:val="none"/>
                <w:lang w:val="en-US" w:eastAsia="zh-CN" w:bidi="ar-SA"/>
              </w:rPr>
              <w:t>分（此为磋商截止时间）</w:t>
            </w:r>
          </w:p>
          <w:p w14:paraId="3FC1DEAC">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i w:val="0"/>
                <w:iCs w:val="0"/>
                <w:caps w:val="0"/>
                <w:color w:val="auto"/>
                <w:spacing w:val="0"/>
                <w:sz w:val="21"/>
                <w:szCs w:val="21"/>
                <w:highlight w:val="none"/>
                <w:shd w:val="clear" w:color="auto" w:fill="FFFFFF"/>
              </w:rPr>
            </w:pPr>
            <w:r>
              <w:rPr>
                <w:rFonts w:hint="default" w:ascii="Times New Roman" w:hAnsi="Times New Roman" w:eastAsia="宋体" w:cs="Times New Roman"/>
                <w:snapToGrid w:val="0"/>
                <w:color w:val="auto"/>
                <w:kern w:val="2"/>
                <w:sz w:val="21"/>
                <w:szCs w:val="21"/>
                <w:highlight w:val="none"/>
                <w:lang w:val="en-US" w:eastAsia="zh-CN" w:bidi="ar-SA"/>
              </w:rPr>
              <w:t>地点：政府采购云平台开标大厅。（本项目为贺州市全流程电子化项目，通过</w:t>
            </w:r>
            <w:r>
              <w:rPr>
                <w:rFonts w:hint="eastAsia" w:ascii="Times New Roman" w:hAnsi="Times New Roman" w:cs="Times New Roman"/>
                <w:snapToGrid w:val="0"/>
                <w:color w:val="auto"/>
                <w:kern w:val="2"/>
                <w:sz w:val="21"/>
                <w:szCs w:val="21"/>
                <w:highlight w:val="none"/>
                <w:lang w:val="en-US" w:eastAsia="zh-CN" w:bidi="ar-SA"/>
              </w:rPr>
              <w:t>广西政府采购云平台（https://www.gcy.zfcg.gxzf.gov.cn/）</w:t>
            </w:r>
            <w:r>
              <w:rPr>
                <w:rFonts w:hint="default" w:ascii="Times New Roman" w:hAnsi="Times New Roman" w:eastAsia="宋体" w:cs="Times New Roman"/>
                <w:snapToGrid w:val="0"/>
                <w:color w:val="auto"/>
                <w:kern w:val="2"/>
                <w:sz w:val="21"/>
                <w:szCs w:val="21"/>
                <w:highlight w:val="none"/>
                <w:lang w:val="en-US" w:eastAsia="zh-CN" w:bidi="ar-SA"/>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tc>
      </w:tr>
      <w:tr w14:paraId="7E67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077B098C">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11</w:t>
            </w:r>
          </w:p>
        </w:tc>
        <w:tc>
          <w:tcPr>
            <w:tcW w:w="9965" w:type="dxa"/>
            <w:vAlign w:val="center"/>
          </w:tcPr>
          <w:p w14:paraId="4F441D78">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磋商时间：202</w:t>
            </w:r>
            <w:r>
              <w:rPr>
                <w:rFonts w:hint="eastAsia" w:ascii="Times New Roman" w:hAnsi="Times New Roman" w:cs="Times New Roman"/>
                <w:snapToGrid w:val="0"/>
                <w:color w:val="auto"/>
                <w:kern w:val="2"/>
                <w:sz w:val="21"/>
                <w:szCs w:val="21"/>
                <w:highlight w:val="none"/>
                <w:lang w:val="en-US" w:eastAsia="zh-CN" w:bidi="ar-SA"/>
              </w:rPr>
              <w:t>6</w:t>
            </w:r>
            <w:r>
              <w:rPr>
                <w:rFonts w:hint="default" w:ascii="Times New Roman" w:hAnsi="Times New Roman" w:eastAsia="宋体" w:cs="Times New Roman"/>
                <w:snapToGrid w:val="0"/>
                <w:color w:val="auto"/>
                <w:kern w:val="2"/>
                <w:sz w:val="21"/>
                <w:szCs w:val="21"/>
                <w:highlight w:val="none"/>
                <w:lang w:val="en-US" w:eastAsia="zh-CN" w:bidi="ar-SA"/>
              </w:rPr>
              <w:t>年</w:t>
            </w:r>
            <w:r>
              <w:rPr>
                <w:rFonts w:hint="eastAsia" w:ascii="Times New Roman" w:hAnsi="Times New Roman" w:cs="Times New Roman"/>
                <w:snapToGrid w:val="0"/>
                <w:color w:val="auto"/>
                <w:kern w:val="2"/>
                <w:sz w:val="21"/>
                <w:szCs w:val="21"/>
                <w:highlight w:val="none"/>
                <w:lang w:val="en-US" w:eastAsia="zh-CN" w:bidi="ar-SA"/>
              </w:rPr>
              <w:t>01</w:t>
            </w:r>
            <w:r>
              <w:rPr>
                <w:rFonts w:hint="default" w:ascii="Times New Roman" w:hAnsi="Times New Roman" w:eastAsia="宋体" w:cs="Times New Roman"/>
                <w:snapToGrid w:val="0"/>
                <w:color w:val="auto"/>
                <w:kern w:val="2"/>
                <w:sz w:val="21"/>
                <w:szCs w:val="21"/>
                <w:highlight w:val="none"/>
                <w:lang w:val="en-US" w:eastAsia="zh-CN" w:bidi="ar-SA"/>
              </w:rPr>
              <w:t>月</w:t>
            </w:r>
            <w:r>
              <w:rPr>
                <w:rFonts w:hint="eastAsia" w:ascii="Times New Roman" w:hAnsi="Times New Roman" w:cs="Times New Roman"/>
                <w:snapToGrid w:val="0"/>
                <w:color w:val="auto"/>
                <w:kern w:val="2"/>
                <w:sz w:val="21"/>
                <w:szCs w:val="21"/>
                <w:highlight w:val="none"/>
                <w:lang w:val="en-US" w:eastAsia="zh-CN" w:bidi="ar-SA"/>
              </w:rPr>
              <w:t>04</w:t>
            </w:r>
            <w:r>
              <w:rPr>
                <w:rFonts w:hint="default" w:ascii="Times New Roman" w:hAnsi="Times New Roman" w:eastAsia="宋体" w:cs="Times New Roman"/>
                <w:snapToGrid w:val="0"/>
                <w:color w:val="auto"/>
                <w:kern w:val="2"/>
                <w:sz w:val="21"/>
                <w:szCs w:val="21"/>
                <w:highlight w:val="none"/>
                <w:lang w:val="en-US" w:eastAsia="zh-CN" w:bidi="ar-SA"/>
              </w:rPr>
              <w:t>日</w:t>
            </w:r>
            <w:r>
              <w:rPr>
                <w:rFonts w:hint="eastAsia" w:ascii="Times New Roman" w:hAnsi="Times New Roman" w:cs="Times New Roman"/>
                <w:snapToGrid w:val="0"/>
                <w:color w:val="auto"/>
                <w:kern w:val="2"/>
                <w:sz w:val="21"/>
                <w:szCs w:val="21"/>
                <w:highlight w:val="none"/>
                <w:lang w:val="en-US" w:eastAsia="zh-CN" w:bidi="ar-SA"/>
              </w:rPr>
              <w:t>09</w:t>
            </w:r>
            <w:r>
              <w:rPr>
                <w:rFonts w:hint="default" w:ascii="Times New Roman" w:hAnsi="Times New Roman" w:eastAsia="宋体" w:cs="Times New Roman"/>
                <w:snapToGrid w:val="0"/>
                <w:color w:val="auto"/>
                <w:kern w:val="2"/>
                <w:sz w:val="21"/>
                <w:szCs w:val="21"/>
                <w:highlight w:val="none"/>
                <w:lang w:val="en-US" w:eastAsia="zh-CN" w:bidi="ar-SA"/>
              </w:rPr>
              <w:t>点</w:t>
            </w:r>
            <w:r>
              <w:rPr>
                <w:rFonts w:hint="eastAsia" w:ascii="Times New Roman" w:hAnsi="Times New Roman" w:cs="Times New Roman"/>
                <w:snapToGrid w:val="0"/>
                <w:color w:val="auto"/>
                <w:kern w:val="2"/>
                <w:sz w:val="21"/>
                <w:szCs w:val="21"/>
                <w:highlight w:val="none"/>
                <w:lang w:val="en-US" w:eastAsia="zh-CN" w:bidi="ar-SA"/>
              </w:rPr>
              <w:t>00</w:t>
            </w:r>
            <w:r>
              <w:rPr>
                <w:rFonts w:hint="default" w:ascii="Times New Roman" w:hAnsi="Times New Roman" w:eastAsia="宋体" w:cs="Times New Roman"/>
                <w:snapToGrid w:val="0"/>
                <w:color w:val="auto"/>
                <w:kern w:val="2"/>
                <w:sz w:val="21"/>
                <w:szCs w:val="21"/>
                <w:highlight w:val="none"/>
                <w:lang w:val="en-US" w:eastAsia="zh-CN" w:bidi="ar-SA"/>
              </w:rPr>
              <w:t>分。</w:t>
            </w:r>
          </w:p>
          <w:p w14:paraId="1C689A2E">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i w:val="0"/>
                <w:iCs w:val="0"/>
                <w:caps w:val="0"/>
                <w:color w:val="auto"/>
                <w:spacing w:val="0"/>
                <w:sz w:val="21"/>
                <w:szCs w:val="21"/>
                <w:highlight w:val="none"/>
                <w:shd w:val="clear" w:color="auto" w:fill="FFFFFF"/>
              </w:rPr>
            </w:pPr>
            <w:r>
              <w:rPr>
                <w:rFonts w:hint="default" w:ascii="Times New Roman" w:hAnsi="Times New Roman" w:eastAsia="宋体" w:cs="Times New Roman"/>
                <w:snapToGrid w:val="0"/>
                <w:color w:val="auto"/>
                <w:kern w:val="2"/>
                <w:sz w:val="21"/>
                <w:szCs w:val="21"/>
                <w:highlight w:val="none"/>
                <w:lang w:val="en-US" w:eastAsia="zh-CN" w:bidi="ar-SA"/>
              </w:rPr>
              <w:t>地点：政府采购云平台开标大厅。（本项目为贺州市全流程电子化项目，通过</w:t>
            </w:r>
            <w:r>
              <w:rPr>
                <w:rFonts w:hint="eastAsia" w:ascii="Times New Roman" w:hAnsi="Times New Roman" w:cs="Times New Roman"/>
                <w:snapToGrid w:val="0"/>
                <w:color w:val="auto"/>
                <w:kern w:val="2"/>
                <w:sz w:val="21"/>
                <w:szCs w:val="21"/>
                <w:highlight w:val="none"/>
                <w:lang w:val="en-US" w:eastAsia="zh-CN" w:bidi="ar-SA"/>
              </w:rPr>
              <w:t>广西政府采购云平台（https://www.gcy.zfcg.gxzf.gov.cn/）</w:t>
            </w:r>
            <w:r>
              <w:rPr>
                <w:rFonts w:hint="default" w:ascii="Times New Roman" w:hAnsi="Times New Roman" w:eastAsia="宋体" w:cs="Times New Roman"/>
                <w:snapToGrid w:val="0"/>
                <w:color w:val="auto"/>
                <w:kern w:val="2"/>
                <w:sz w:val="21"/>
                <w:szCs w:val="21"/>
                <w:highlight w:val="none"/>
                <w:lang w:val="en-US" w:eastAsia="zh-CN" w:bidi="ar-SA"/>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tc>
      </w:tr>
      <w:tr w14:paraId="6F95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3A1E37EB">
            <w:pPr>
              <w:spacing w:line="400" w:lineRule="exact"/>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val="en-US" w:eastAsia="zh-CN"/>
              </w:rPr>
              <w:t>2</w:t>
            </w:r>
          </w:p>
        </w:tc>
        <w:tc>
          <w:tcPr>
            <w:tcW w:w="9965" w:type="dxa"/>
            <w:vAlign w:val="center"/>
          </w:tcPr>
          <w:p w14:paraId="3DEC5B98">
            <w:pPr>
              <w:spacing w:line="24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评标办法</w:t>
            </w:r>
            <w:r>
              <w:rPr>
                <w:rFonts w:hint="default" w:ascii="Times New Roman" w:hAnsi="Times New Roman" w:eastAsia="宋体" w:cs="Times New Roman"/>
                <w:color w:val="auto"/>
                <w:szCs w:val="21"/>
                <w:highlight w:val="none"/>
              </w:rPr>
              <w:t>：综合评分法</w:t>
            </w:r>
          </w:p>
        </w:tc>
      </w:tr>
      <w:tr w14:paraId="4F0E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50C5C809">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13</w:t>
            </w:r>
          </w:p>
        </w:tc>
        <w:tc>
          <w:tcPr>
            <w:tcW w:w="9965" w:type="dxa"/>
            <w:vAlign w:val="center"/>
          </w:tcPr>
          <w:p w14:paraId="643EDD9D">
            <w:pPr>
              <w:spacing w:line="240" w:lineRule="auto"/>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color w:val="auto"/>
                <w:spacing w:val="2"/>
                <w:szCs w:val="21"/>
                <w:highlight w:val="none"/>
              </w:rPr>
              <w:t>中小企业划分标准所属行业：</w:t>
            </w:r>
            <w:r>
              <w:rPr>
                <w:rFonts w:hint="default" w:ascii="Times New Roman" w:hAnsi="Times New Roman" w:eastAsia="宋体" w:cs="Times New Roman"/>
                <w:b/>
                <w:color w:val="auto"/>
                <w:spacing w:val="2"/>
                <w:szCs w:val="21"/>
                <w:highlight w:val="none"/>
                <w:lang w:eastAsia="zh-CN"/>
              </w:rPr>
              <w:t>其他未列明行业</w:t>
            </w:r>
          </w:p>
        </w:tc>
      </w:tr>
      <w:tr w14:paraId="6A55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148A8171">
            <w:pPr>
              <w:spacing w:line="400" w:lineRule="exact"/>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val="en-US" w:eastAsia="zh-CN"/>
              </w:rPr>
              <w:t>4</w:t>
            </w:r>
          </w:p>
        </w:tc>
        <w:tc>
          <w:tcPr>
            <w:tcW w:w="9965" w:type="dxa"/>
            <w:vAlign w:val="center"/>
          </w:tcPr>
          <w:p w14:paraId="6EBD0F97">
            <w:pPr>
              <w:spacing w:line="240" w:lineRule="auto"/>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1、招标代理费：根据国家发改办【2003】857号文，招标代理费由中标单位交纳，含在磋商报价内，招标代理费金额按国家计委计价格【2002】1980号文规定的“招标代理服务收费标准”执行。由中标人在领取中标通知书时，一次性向招标代理机构支付。</w:t>
            </w:r>
          </w:p>
        </w:tc>
      </w:tr>
      <w:tr w14:paraId="0FE4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7656F967">
            <w:pPr>
              <w:spacing w:line="400" w:lineRule="exact"/>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val="en-US" w:eastAsia="zh-CN"/>
              </w:rPr>
              <w:t>5</w:t>
            </w:r>
          </w:p>
        </w:tc>
        <w:tc>
          <w:tcPr>
            <w:tcW w:w="9965" w:type="dxa"/>
            <w:vAlign w:val="center"/>
          </w:tcPr>
          <w:p w14:paraId="3438C6EA">
            <w:pPr>
              <w:spacing w:line="240" w:lineRule="auto"/>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是否授权磋商小组确定成交人：否，推荐成交候选人三名。</w:t>
            </w:r>
          </w:p>
        </w:tc>
      </w:tr>
      <w:tr w14:paraId="7963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1D0BC441">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16</w:t>
            </w:r>
          </w:p>
        </w:tc>
        <w:tc>
          <w:tcPr>
            <w:tcW w:w="9965" w:type="dxa"/>
            <w:vAlign w:val="center"/>
          </w:tcPr>
          <w:p w14:paraId="7ABCEFF7">
            <w:pPr>
              <w:spacing w:line="240" w:lineRule="auto"/>
              <w:ind w:firstLine="420" w:firstLineChars="200"/>
              <w:jc w:val="both"/>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sz w:val="21"/>
                <w:szCs w:val="21"/>
                <w:highlight w:val="none"/>
                <w:lang w:eastAsia="zh-CN"/>
              </w:rPr>
              <w:t>其他</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本项目部分需求允许分包</w:t>
            </w:r>
          </w:p>
        </w:tc>
      </w:tr>
      <w:tr w14:paraId="78AA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1494E574">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17</w:t>
            </w:r>
          </w:p>
        </w:tc>
        <w:tc>
          <w:tcPr>
            <w:tcW w:w="9965" w:type="dxa"/>
            <w:vAlign w:val="center"/>
          </w:tcPr>
          <w:p w14:paraId="00238664">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其它事项说明：1.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w:t>
            </w:r>
          </w:p>
          <w:p w14:paraId="237DEF7E">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2.供应商为其他组织或者自然人时，本磋商文件规定的法定代表人指负责人或者自然人。本磋商文件所称负责人是指参加磋商的其他组织营业执照上的负责人，本磋商文件所称自然人指参与磋商的自然人本人。</w:t>
            </w:r>
          </w:p>
          <w:p w14:paraId="7EF59278">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 xml:space="preserve">3.本磋商文件中描述供应商的“签字”是指供应商的法定代表人或者委托代理人亲自在文件规定签字处亲笔写上个人的名字的行为，私章、签字章、印鉴、影印等其他形式均不能代替亲笔签字。 </w:t>
            </w:r>
          </w:p>
          <w:p w14:paraId="51F113F3">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4.电子响应文件中须加盖供应商公章部分均采用 CA 签章，并根据政采云平台《政府采购项目电子交易管理操作指南-供应商》及本磋商文件规定的格式和顺序编制电子响应文件并进行关联定位，以便评标委员会在评审时，点击评分项可直接定位到该评分项内容。如对磋商文件的某项要求，供应商的电子响应文件未能关联定位提供相应的内容与其对应，则评标委员会在评审时如做出对供应商不利的评审由供应商自行承担。电子响应文件如内容不完整、编排混乱导致响应文件被误读、 漏读，或者在按磋商文件规定的部位查找不到相关内容的，由供应商自行承担。</w:t>
            </w:r>
          </w:p>
          <w:p w14:paraId="101CD0DB">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5.CA 签章上目前没有法人（负责人）或授权代表签字信息，供应商在响应文件中涉及到签字的位置线下签字后扫描上传即可。响应文件中涉及到签字的位置未按要求签字的，提供的材料视为无效。</w:t>
            </w:r>
          </w:p>
          <w:p w14:paraId="71F469C2">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6.自然人参加磋商的，磋商文件规定盖公章处由自然人摁手指指印。</w:t>
            </w:r>
          </w:p>
          <w:p w14:paraId="0E25CB2A">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snapToGrid w:val="0"/>
                <w:color w:val="auto"/>
                <w:kern w:val="2"/>
                <w:sz w:val="21"/>
                <w:szCs w:val="21"/>
                <w:highlight w:val="none"/>
                <w:lang w:val="en-US" w:eastAsia="zh-CN" w:bidi="ar-SA"/>
              </w:rPr>
              <w:t>7.本磋商文件所称的“以上”“以下”“以内”“届满”，包括本数；所称的“不满”“超过”“以外”，不包括本数。</w:t>
            </w:r>
          </w:p>
        </w:tc>
      </w:tr>
    </w:tbl>
    <w:p w14:paraId="3740394A">
      <w:pPr>
        <w:pStyle w:val="17"/>
        <w:jc w:val="center"/>
        <w:rPr>
          <w:rFonts w:hint="default" w:ascii="Times New Roman" w:hAnsi="Times New Roman" w:cs="Times New Roman"/>
          <w:b/>
          <w:color w:val="auto"/>
          <w:sz w:val="32"/>
          <w:highlight w:val="none"/>
        </w:rPr>
        <w:sectPr>
          <w:footerReference r:id="rId5" w:type="first"/>
          <w:footerReference r:id="rId4" w:type="default"/>
          <w:pgSz w:w="11849" w:h="16781"/>
          <w:pgMar w:top="1247" w:right="1587" w:bottom="1247" w:left="1587" w:header="720" w:footer="720" w:gutter="0"/>
          <w:pgNumType w:fmt="decimal" w:start="1"/>
          <w:cols w:space="720" w:num="1"/>
          <w:titlePg/>
          <w:docGrid w:type="lines" w:linePitch="312" w:charSpace="0"/>
        </w:sectPr>
      </w:pPr>
    </w:p>
    <w:p w14:paraId="3EB1E1B6">
      <w:pPr>
        <w:pStyle w:val="17"/>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竞 标 人 须 知</w:t>
      </w:r>
    </w:p>
    <w:p w14:paraId="30BC1516">
      <w:pPr>
        <w:pStyle w:val="17"/>
        <w:spacing w:line="420" w:lineRule="exact"/>
        <w:jc w:val="center"/>
        <w:outlineLvl w:val="2"/>
        <w:rPr>
          <w:rFonts w:hint="default" w:ascii="Times New Roman" w:hAnsi="Times New Roman" w:cs="Times New Roman"/>
          <w:b/>
          <w:color w:val="auto"/>
          <w:highlight w:val="none"/>
        </w:rPr>
      </w:pPr>
      <w:bookmarkStart w:id="6" w:name="_Toc18988"/>
      <w:r>
        <w:rPr>
          <w:rFonts w:hint="default" w:ascii="Times New Roman" w:hAnsi="Times New Roman" w:cs="Times New Roman"/>
          <w:b/>
          <w:color w:val="auto"/>
          <w:highlight w:val="none"/>
        </w:rPr>
        <w:t>一  总  则</w:t>
      </w:r>
      <w:bookmarkEnd w:id="6"/>
    </w:p>
    <w:p w14:paraId="5BEC94B5">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1.项目概述</w:t>
      </w:r>
    </w:p>
    <w:p w14:paraId="4A1AC6DF">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1.1项目名称：</w:t>
      </w:r>
      <w:r>
        <w:rPr>
          <w:rFonts w:hint="eastAsia" w:ascii="Times New Roman" w:hAnsi="Times New Roman" w:cs="Times New Roman"/>
          <w:color w:val="auto"/>
          <w:highlight w:val="none"/>
          <w:lang w:eastAsia="zh-CN"/>
        </w:rPr>
        <w:t>贺州市涉重金属风险排查项目（重）</w:t>
      </w:r>
    </w:p>
    <w:p w14:paraId="635AFEE1">
      <w:pPr>
        <w:pStyle w:val="17"/>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1.2项目编号：</w:t>
      </w:r>
      <w:r>
        <w:rPr>
          <w:rFonts w:hint="eastAsia" w:ascii="Times New Roman" w:hAnsi="Times New Roman" w:cs="Times New Roman"/>
          <w:color w:val="auto"/>
          <w:highlight w:val="none"/>
          <w:lang w:val="en-US" w:eastAsia="zh-CN"/>
        </w:rPr>
        <w:t xml:space="preserve"> HZZC2025-C3-990319-LYGC</w:t>
      </w:r>
    </w:p>
    <w:p w14:paraId="666C9A3C">
      <w:pPr>
        <w:pStyle w:val="17"/>
        <w:spacing w:line="440" w:lineRule="exact"/>
        <w:ind w:firstLine="42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1.3采购人名称：</w:t>
      </w:r>
      <w:r>
        <w:rPr>
          <w:rFonts w:hint="eastAsia" w:ascii="Times New Roman" w:hAnsi="Times New Roman" w:cs="Times New Roman"/>
          <w:color w:val="auto"/>
          <w:highlight w:val="none"/>
          <w:lang w:eastAsia="zh-CN"/>
        </w:rPr>
        <w:t xml:space="preserve"> 贺州市生态环境局 </w:t>
      </w:r>
    </w:p>
    <w:p w14:paraId="2620EBBD">
      <w:pPr>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1.4采购需求：</w:t>
      </w:r>
      <w:r>
        <w:rPr>
          <w:rFonts w:hint="eastAsia" w:cs="Times New Roman"/>
          <w:color w:val="auto"/>
          <w:highlight w:val="none"/>
          <w:lang w:eastAsia="zh-CN"/>
        </w:rPr>
        <w:t>贺州市涉重金属风险排查项目（重）</w:t>
      </w:r>
      <w:r>
        <w:rPr>
          <w:rFonts w:hint="default" w:ascii="Times New Roman" w:hAnsi="Times New Roman" w:cs="Times New Roman"/>
          <w:color w:val="auto"/>
          <w:szCs w:val="21"/>
          <w:highlight w:val="none"/>
        </w:rPr>
        <w:t>，如需进一步了解详细内容，详见竞争性磋商文件。</w:t>
      </w:r>
    </w:p>
    <w:p w14:paraId="42A42502">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2.申请人的资格要求</w:t>
      </w:r>
    </w:p>
    <w:p w14:paraId="1065D340">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2.1</w:t>
      </w:r>
      <w:r>
        <w:rPr>
          <w:rFonts w:hint="default" w:ascii="Times New Roman" w:hAnsi="Times New Roman" w:cs="Times New Roman"/>
          <w:color w:val="auto"/>
          <w:highlight w:val="none"/>
        </w:rPr>
        <w:t>满足《中华人民共和国政府采购法》第二十二条规定；国内注册（指按国家有关规定要求注册的），经营本次采购服务且具备独立法人资格的供应商，具有提供本次招标采购服务能力；</w:t>
      </w:r>
    </w:p>
    <w:p w14:paraId="43C3A973">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2.2</w:t>
      </w:r>
      <w:r>
        <w:rPr>
          <w:rFonts w:hint="default" w:ascii="Times New Roman" w:hAnsi="Times New Roman" w:cs="Times New Roman"/>
          <w:color w:val="auto"/>
          <w:highlight w:val="none"/>
        </w:rPr>
        <w:t>落实政府采购政策需满足的资格要求：专门面向中小企业采购的项目（供应商应为中小微企业、监狱企业、残疾人福利性单位) ；</w:t>
      </w:r>
    </w:p>
    <w:p w14:paraId="0F01E111">
      <w:pPr>
        <w:pStyle w:val="17"/>
        <w:spacing w:line="360" w:lineRule="auto"/>
        <w:ind w:firstLine="420"/>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2.3</w:t>
      </w:r>
      <w:r>
        <w:rPr>
          <w:rFonts w:hint="default" w:ascii="Times New Roman" w:hAnsi="Times New Roman" w:cs="Times New Roman"/>
          <w:color w:val="auto"/>
          <w:highlight w:val="none"/>
        </w:rPr>
        <w:t>本项目的特定资格要求：</w:t>
      </w:r>
      <w:r>
        <w:rPr>
          <w:rFonts w:hint="eastAsia" w:ascii="Times New Roman" w:hAnsi="Times New Roman" w:cs="Times New Roman"/>
          <w:color w:val="auto"/>
          <w:highlight w:val="none"/>
          <w:lang w:val="en-US" w:eastAsia="zh-CN"/>
        </w:rPr>
        <w:t>供应商须具备有效的省级及以上检验检测机构资质认定证书（CMA）且能力范围涵盖环境监测类项目）</w:t>
      </w:r>
      <w:r>
        <w:rPr>
          <w:rFonts w:hint="eastAsia" w:ascii="Times New Roman" w:hAnsi="Times New Roman" w:cs="Times New Roman"/>
          <w:color w:val="auto"/>
          <w:highlight w:val="none"/>
          <w:lang w:eastAsia="zh-CN"/>
        </w:rPr>
        <w:t>。</w:t>
      </w:r>
    </w:p>
    <w:p w14:paraId="585A611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2.4</w:t>
      </w:r>
      <w:r>
        <w:rPr>
          <w:rFonts w:hint="default" w:ascii="Times New Roman" w:hAnsi="Times New Roman" w:cs="Times New Roman"/>
          <w:color w:val="auto"/>
          <w:highlight w:val="none"/>
        </w:rPr>
        <w:t>单位负责人为同一人或者存在直接控股、管理关系的不同供应商，不得参加同一合同项下的政府采购活动。除单一来源采购项目外，为采购项目提供整体设计、规范编制或者项目管理、监理、检测等服</w:t>
      </w:r>
      <w:r>
        <w:rPr>
          <w:rFonts w:hint="default" w:ascii="Times New Roman" w:hAnsi="Times New Roman" w:cs="Times New Roman"/>
          <w:color w:val="auto"/>
          <w:highlight w:val="none"/>
          <w:lang w:val="en-US" w:eastAsia="zh-CN"/>
        </w:rPr>
        <w:t xml:space="preserve"> </w:t>
      </w:r>
    </w:p>
    <w:p w14:paraId="5F83589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default" w:ascii="Times New Roman" w:hAnsi="Times New Roman" w:cs="Times New Roman"/>
          <w:color w:val="auto"/>
          <w:highlight w:val="none"/>
          <w:lang w:val="en-US" w:eastAsia="zh-CN"/>
        </w:rPr>
        <w:t>。</w:t>
      </w:r>
    </w:p>
    <w:p w14:paraId="58ACF33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2.6本项目不接受联合体。</w:t>
      </w:r>
    </w:p>
    <w:p w14:paraId="18000D3D">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3.竞标费用</w:t>
      </w:r>
    </w:p>
    <w:p w14:paraId="474157F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3.1磋商人应自行承担所有与本次竞标有关的全部费用。</w:t>
      </w:r>
    </w:p>
    <w:p w14:paraId="0A4503FC">
      <w:pPr>
        <w:pStyle w:val="17"/>
        <w:spacing w:line="440" w:lineRule="exact"/>
        <w:jc w:val="both"/>
        <w:outlineLvl w:val="2"/>
        <w:rPr>
          <w:rFonts w:hint="default" w:ascii="Times New Roman" w:hAnsi="Times New Roman" w:cs="Times New Roman"/>
          <w:b/>
          <w:color w:val="auto"/>
          <w:highlight w:val="none"/>
        </w:rPr>
      </w:pPr>
      <w:bookmarkStart w:id="7" w:name="_Toc29875"/>
    </w:p>
    <w:p w14:paraId="53FF78D8">
      <w:pPr>
        <w:pStyle w:val="17"/>
        <w:spacing w:line="440" w:lineRule="exact"/>
        <w:jc w:val="center"/>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二  竞争性磋商采购文件（简称磋商采购文件）</w:t>
      </w:r>
      <w:bookmarkEnd w:id="7"/>
    </w:p>
    <w:p w14:paraId="0773D98A">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4.磋商采购文件的构成</w:t>
      </w:r>
    </w:p>
    <w:p w14:paraId="4A3FED0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4.1采购文件包括：</w:t>
      </w:r>
    </w:p>
    <w:p w14:paraId="3814D439">
      <w:pPr>
        <w:pStyle w:val="17"/>
        <w:spacing w:line="440" w:lineRule="exact"/>
        <w:ind w:firstLine="426"/>
        <w:rPr>
          <w:rFonts w:hint="default" w:ascii="Times New Roman" w:hAnsi="Times New Roman" w:cs="Times New Roman"/>
          <w:color w:val="auto"/>
          <w:highlight w:val="none"/>
        </w:rPr>
      </w:pPr>
      <w:r>
        <w:rPr>
          <w:rFonts w:hint="default" w:ascii="Times New Roman" w:hAnsi="Times New Roman" w:cs="Times New Roman"/>
          <w:color w:val="auto"/>
          <w:highlight w:val="none"/>
        </w:rPr>
        <w:t>⑴竞争性磋商采购公告；</w:t>
      </w:r>
    </w:p>
    <w:p w14:paraId="62520D43">
      <w:pPr>
        <w:pStyle w:val="17"/>
        <w:spacing w:line="440" w:lineRule="exact"/>
        <w:ind w:firstLine="4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⑵竞标须知及前附表；</w:t>
      </w:r>
    </w:p>
    <w:p w14:paraId="6D837AE4">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⑶服务需求；</w:t>
      </w:r>
    </w:p>
    <w:p w14:paraId="42571360">
      <w:pPr>
        <w:pStyle w:val="17"/>
        <w:spacing w:line="440" w:lineRule="exact"/>
        <w:ind w:right="34" w:rightChars="16"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⑷磋商响应文件格式；</w:t>
      </w:r>
    </w:p>
    <w:p w14:paraId="589563CF">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⑸评标方法。</w:t>
      </w:r>
    </w:p>
    <w:p w14:paraId="36643DEA">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5.磋商采购文件的澄清和修改</w:t>
      </w:r>
    </w:p>
    <w:p w14:paraId="330EBB8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5.1供应商在收到采购文件后，若有问题需要澄清，须以书面形式（包括书面文字、传真、电报等，下同）向采购代理机构提出，采购代理机构将以书面形式予以解答，答复将以书面形式通知所有获得采购文件的供应商。</w:t>
      </w:r>
    </w:p>
    <w:p w14:paraId="608E84D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5.2提交首次响应文件截止之日前，采购人、采购代理机构或者磋商小组可以对已发出的磋商文件进行必要的澄清，澄清的内容作为磋商文件的组成部分。澄清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B5169A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5.3磋商采购文件的澄清或修改将在中国政府采购网</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"http://www.ccgp.gov.cn/"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www.ccgp.gov.cn/</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、广西壮族自治区政府采购网http://zfcg.gxzf.gov.cn/上发布更改公告。</w:t>
      </w:r>
    </w:p>
    <w:p w14:paraId="43CCB62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5.4在磋商截止日期前，采购代理机构可以补充通知的方式对磋商文件进行修改，这种修改可能是采购人作出的也可能是为了解答供应商要求澄清的问题。</w:t>
      </w:r>
    </w:p>
    <w:p w14:paraId="4B6247E3">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5.5为使供应商有充足的时间对磋商文件全部作出响应，并编出有质量的响应文件，采购人必须在响应文件递交截止日期5日前，将补充通知以书面形式通知在财政部门指定的政府采购信息发布媒体网站上发布，并以书面形式通知所有获得磋商文件的供应商，不足5日的，采购人、采购代理机构应当顺延提交首次响应文件截止时间。补充通知作为采购文件的组成部分，对供应商起约束作用。</w:t>
      </w:r>
    </w:p>
    <w:p w14:paraId="5EC3BB4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5.6采购代理机构可视具体情况，延长磋商截止时间，并将此澄清或修改在竞标截止日期的5日前在在中国政府采购网</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"http://www.ccgp.gov.cn/"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www.ccgp.gov.cn/</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、广西壮族自治区政府采购网http://zfcg.gxzf.gov.cn/、上发布更改公告。</w:t>
      </w:r>
    </w:p>
    <w:p w14:paraId="19421914">
      <w:pPr>
        <w:pStyle w:val="17"/>
        <w:spacing w:line="440" w:lineRule="exact"/>
        <w:jc w:val="both"/>
        <w:outlineLvl w:val="2"/>
        <w:rPr>
          <w:rFonts w:hint="default" w:ascii="Times New Roman" w:hAnsi="Times New Roman" w:cs="Times New Roman"/>
          <w:b/>
          <w:color w:val="auto"/>
          <w:highlight w:val="none"/>
        </w:rPr>
      </w:pPr>
      <w:bookmarkStart w:id="8" w:name="_Toc13303"/>
    </w:p>
    <w:p w14:paraId="1A6D1748">
      <w:pPr>
        <w:pStyle w:val="17"/>
        <w:spacing w:line="440" w:lineRule="exact"/>
        <w:jc w:val="center"/>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三  磋商响应文件的编制格式</w:t>
      </w:r>
      <w:bookmarkEnd w:id="8"/>
    </w:p>
    <w:p w14:paraId="185700C7">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6.磋商响应文件编写的注意事项</w:t>
      </w:r>
    </w:p>
    <w:p w14:paraId="0287AB19">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6.1磋商人应认真阅读竞争性磋商采购文件，按照竞争性磋商采购文件的要求编制磋商响应文件。如果没有按照竞争性磋商采购文件要求提交磋商响应文件，没有对竞争性磋商采购文件提出的实质性要求和条件作出响应，该竞标将被拒绝。</w:t>
      </w:r>
    </w:p>
    <w:p w14:paraId="550F5D93">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6.2对竞争性磋商采购文件提出的实质性要求和条件作出响应是指磋商人必须对竞争性磋商采购文件中竞标项目的价格、数量、服务及其它要求等内容作出响应。</w:t>
      </w:r>
    </w:p>
    <w:p w14:paraId="641920D0">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7.磋商响应文件的构成</w:t>
      </w:r>
    </w:p>
    <w:p w14:paraId="782F1C6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7.1磋商人编写的磋商响应文件应包括下列内容：</w:t>
      </w:r>
    </w:p>
    <w:p w14:paraId="7D2ADA2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一、商务部分</w:t>
      </w:r>
    </w:p>
    <w:p w14:paraId="39DF410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（1）磋商函；</w:t>
      </w:r>
    </w:p>
    <w:p w14:paraId="08BDE5D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（2）磋商报价表；</w:t>
      </w:r>
    </w:p>
    <w:p w14:paraId="02F34DC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（3）技术规格偏离表（格式）</w:t>
      </w:r>
    </w:p>
    <w:p w14:paraId="0AB7B4F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（4）磋商保证金缴纳证明；</w:t>
      </w:r>
    </w:p>
    <w:p w14:paraId="6085E67F">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（5）磋商人资格证明文件。</w:t>
      </w:r>
    </w:p>
    <w:p w14:paraId="7A2F327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（6）磋商人认为必要提供的声明及文件资料。</w:t>
      </w:r>
    </w:p>
    <w:p w14:paraId="4461581E">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二、技术方案</w:t>
      </w:r>
    </w:p>
    <w:p w14:paraId="5A70105B">
      <w:pPr>
        <w:tabs>
          <w:tab w:val="left" w:pos="1305"/>
        </w:tabs>
        <w:spacing w:line="360" w:lineRule="auto"/>
        <w:ind w:firstLine="420" w:firstLineChars="200"/>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项目实施方案</w:t>
      </w:r>
      <w:r>
        <w:rPr>
          <w:rFonts w:hint="default" w:ascii="Times New Roman" w:hAnsi="Times New Roman" w:cs="Times New Roman"/>
          <w:b/>
          <w:color w:val="auto"/>
          <w:sz w:val="21"/>
          <w:szCs w:val="21"/>
          <w:highlight w:val="none"/>
        </w:rPr>
        <w:t>【</w:t>
      </w:r>
      <w:r>
        <w:rPr>
          <w:rFonts w:hint="default" w:ascii="Times New Roman" w:hAnsi="Times New Roman" w:eastAsia="宋体" w:cs="Times New Roman"/>
          <w:b/>
          <w:color w:val="auto"/>
          <w:sz w:val="21"/>
          <w:szCs w:val="21"/>
          <w:highlight w:val="none"/>
        </w:rPr>
        <w:t>由</w:t>
      </w:r>
      <w:r>
        <w:rPr>
          <w:rFonts w:hint="default" w:ascii="Times New Roman" w:hAnsi="Times New Roman" w:eastAsia="宋体" w:cs="Times New Roman"/>
          <w:b/>
          <w:color w:val="auto"/>
          <w:sz w:val="21"/>
          <w:szCs w:val="21"/>
          <w:highlight w:val="none"/>
          <w:lang w:eastAsia="zh-CN"/>
        </w:rPr>
        <w:t>磋商人</w:t>
      </w:r>
      <w:r>
        <w:rPr>
          <w:rFonts w:hint="default" w:ascii="Times New Roman" w:hAnsi="Times New Roman" w:eastAsia="宋体" w:cs="Times New Roman"/>
          <w:b/>
          <w:color w:val="auto"/>
          <w:sz w:val="21"/>
          <w:szCs w:val="21"/>
          <w:highlight w:val="none"/>
        </w:rPr>
        <w:t>根</w:t>
      </w:r>
      <w:r>
        <w:rPr>
          <w:rFonts w:hint="default" w:ascii="Times New Roman" w:hAnsi="Times New Roman" w:cs="Times New Roman"/>
          <w:b/>
          <w:color w:val="auto"/>
          <w:sz w:val="21"/>
          <w:szCs w:val="21"/>
          <w:highlight w:val="none"/>
        </w:rPr>
        <w:t>据项目实际情况和项目采购需求自行编制】（</w:t>
      </w:r>
      <w:r>
        <w:rPr>
          <w:rFonts w:hint="default" w:ascii="Times New Roman" w:hAnsi="Times New Roman" w:cs="Times New Roman"/>
          <w:bCs/>
          <w:color w:val="auto"/>
          <w:sz w:val="21"/>
          <w:szCs w:val="21"/>
          <w:highlight w:val="none"/>
        </w:rPr>
        <w:t>格式见附件，</w:t>
      </w:r>
      <w:r>
        <w:rPr>
          <w:rFonts w:hint="default" w:ascii="Times New Roman" w:hAnsi="Times New Roman" w:cs="Times New Roman"/>
          <w:b/>
          <w:color w:val="auto"/>
          <w:sz w:val="21"/>
          <w:szCs w:val="21"/>
          <w:highlight w:val="none"/>
        </w:rPr>
        <w:t>必须提供）；</w:t>
      </w:r>
    </w:p>
    <w:p w14:paraId="0F244AF2">
      <w:pPr>
        <w:tabs>
          <w:tab w:val="left" w:pos="1305"/>
        </w:tabs>
        <w:spacing w:line="360" w:lineRule="auto"/>
        <w:ind w:firstLine="420" w:firstLineChars="200"/>
        <w:rPr>
          <w:rFonts w:hint="default" w:ascii="Times New Roman" w:hAnsi="Times New Roman" w:cs="Times New Roman"/>
          <w:b/>
          <w:color w:val="auto"/>
          <w:sz w:val="21"/>
          <w:szCs w:val="21"/>
          <w:highlight w:val="none"/>
        </w:rPr>
      </w:pP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lang w:val="en-US" w:eastAsia="zh-CN"/>
        </w:rPr>
        <w:t>2</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竞标人的服务承诺书</w:t>
      </w:r>
      <w:r>
        <w:rPr>
          <w:rFonts w:hint="default" w:ascii="Times New Roman" w:hAnsi="Times New Roman" w:cs="Times New Roman"/>
          <w:b/>
          <w:color w:val="auto"/>
          <w:sz w:val="21"/>
          <w:szCs w:val="21"/>
          <w:highlight w:val="none"/>
        </w:rPr>
        <w:t>（由竞标人根据项目实际情况和项目采购需求自行编制）（</w:t>
      </w:r>
      <w:r>
        <w:rPr>
          <w:rFonts w:hint="default" w:ascii="Times New Roman" w:hAnsi="Times New Roman" w:cs="Times New Roman"/>
          <w:bCs/>
          <w:color w:val="auto"/>
          <w:sz w:val="21"/>
          <w:szCs w:val="21"/>
          <w:highlight w:val="none"/>
        </w:rPr>
        <w:t>格式见附件，</w:t>
      </w:r>
      <w:r>
        <w:rPr>
          <w:rFonts w:hint="default" w:ascii="Times New Roman" w:hAnsi="Times New Roman" w:cs="Times New Roman"/>
          <w:b/>
          <w:color w:val="auto"/>
          <w:sz w:val="21"/>
          <w:szCs w:val="21"/>
          <w:highlight w:val="none"/>
        </w:rPr>
        <w:t>必须提供）</w:t>
      </w:r>
    </w:p>
    <w:p w14:paraId="59D0977F">
      <w:pPr>
        <w:tabs>
          <w:tab w:val="left" w:pos="1305"/>
        </w:tabs>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项目实施主要人员一览表（</w:t>
      </w:r>
      <w:r>
        <w:rPr>
          <w:rFonts w:hint="default" w:ascii="Times New Roman" w:hAnsi="Times New Roman" w:cs="Times New Roman"/>
          <w:b/>
          <w:color w:val="auto"/>
          <w:sz w:val="21"/>
          <w:szCs w:val="21"/>
          <w:highlight w:val="none"/>
        </w:rPr>
        <w:t>必须提供</w:t>
      </w:r>
      <w:r>
        <w:rPr>
          <w:rFonts w:hint="default" w:ascii="Times New Roman" w:hAnsi="Times New Roman" w:cs="Times New Roman"/>
          <w:color w:val="auto"/>
          <w:sz w:val="21"/>
          <w:szCs w:val="21"/>
          <w:highlight w:val="none"/>
        </w:rPr>
        <w:t>）；</w:t>
      </w:r>
    </w:p>
    <w:p w14:paraId="3ADA0A6D">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竞标人可结合本项目的评标办法视自身情况自行提交相关证明材料</w:t>
      </w:r>
      <w:r>
        <w:rPr>
          <w:rFonts w:hint="default" w:ascii="Times New Roman" w:hAnsi="Times New Roman" w:cs="Times New Roman"/>
          <w:b/>
          <w:color w:val="auto"/>
          <w:sz w:val="21"/>
          <w:szCs w:val="21"/>
          <w:highlight w:val="none"/>
        </w:rPr>
        <w:t>（如有，请提供）</w:t>
      </w:r>
    </w:p>
    <w:p w14:paraId="57FF0A22">
      <w:pPr>
        <w:pStyle w:val="17"/>
        <w:spacing w:line="440" w:lineRule="exact"/>
        <w:ind w:firstLine="420"/>
        <w:rPr>
          <w:rFonts w:hint="default" w:ascii="Times New Roman" w:hAnsi="Times New Roman" w:cs="Times New Roman"/>
          <w:b/>
          <w:bCs/>
          <w:color w:val="auto"/>
          <w:szCs w:val="21"/>
          <w:highlight w:val="none"/>
        </w:rPr>
      </w:pPr>
      <w:r>
        <w:rPr>
          <w:rFonts w:hint="default" w:ascii="Times New Roman" w:hAnsi="Times New Roman" w:cs="Times New Roman"/>
          <w:color w:val="auto"/>
          <w:szCs w:val="21"/>
          <w:highlight w:val="none"/>
        </w:rPr>
        <w:t>(本项无格式，由磋商人结合项目实际及评标办法自行编写)</w:t>
      </w:r>
    </w:p>
    <w:p w14:paraId="527D4A39">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8.磋商响应文件的语言及计量单位</w:t>
      </w:r>
    </w:p>
    <w:p w14:paraId="1F859AA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8.1磋商人的磋商响应文件以及磋商人与采购代理机构的所有来往的函电统一使用中文（另有规定的除外）。</w:t>
      </w:r>
    </w:p>
    <w:p w14:paraId="4E81979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8.2磋商响应文件中使用的计量单位除磋商采购文件中有特殊规定外，一律使用法定计量单位。</w:t>
      </w:r>
    </w:p>
    <w:p w14:paraId="6263F5BD">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9.磋商函格式</w:t>
      </w:r>
    </w:p>
    <w:p w14:paraId="2FA3E663">
      <w:pPr>
        <w:pStyle w:val="17"/>
        <w:spacing w:line="44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9.1</w:t>
      </w:r>
      <w:r>
        <w:rPr>
          <w:rFonts w:hint="default" w:ascii="Times New Roman" w:hAnsi="Times New Roman" w:cs="Times New Roman"/>
          <w:bCs/>
          <w:color w:val="auto"/>
          <w:highlight w:val="none"/>
        </w:rPr>
        <w:t>磋商人</w:t>
      </w:r>
      <w:r>
        <w:rPr>
          <w:rFonts w:hint="default" w:ascii="Times New Roman" w:hAnsi="Times New Roman" w:cs="Times New Roman"/>
          <w:color w:val="auto"/>
          <w:highlight w:val="none"/>
        </w:rPr>
        <w:t>应完整地填写磋商采购文件中的磋商函格式。</w:t>
      </w:r>
    </w:p>
    <w:p w14:paraId="465A95FF">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10.磋商报价</w:t>
      </w:r>
    </w:p>
    <w:p w14:paraId="710062B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10.1磋商人须就《服务需求一览表》中的所有服务内容作完整唯一报价。该报价是履行合同的最终价格，应包括货物及服务、标准附件、备品备件、专用工具、辅料、耗材、运输、保管、安装、验收、等各种费用和售后服务的一切费用。</w:t>
      </w:r>
    </w:p>
    <w:p w14:paraId="769BDD1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10.2磋商人磋商报价小写与大写不符的，以大写为准。如果因磋商人原因引起的报价失误，同时又被磋商时所接受，其后果由磋商人自负。</w:t>
      </w:r>
    </w:p>
    <w:p w14:paraId="2607B6B7">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11.竞标货币</w:t>
      </w:r>
    </w:p>
    <w:p w14:paraId="1DC4D5C0">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11.1竞标应以</w:t>
      </w:r>
      <w:r>
        <w:rPr>
          <w:rFonts w:hint="eastAsia" w:ascii="Times New Roman" w:hAnsi="Times New Roman" w:cs="Times New Roman"/>
          <w:color w:val="auto"/>
          <w:highlight w:val="none"/>
          <w:lang w:val="en-US" w:eastAsia="zh-CN"/>
        </w:rPr>
        <w:t>费率</w:t>
      </w:r>
      <w:r>
        <w:rPr>
          <w:rFonts w:hint="default" w:ascii="Times New Roman" w:hAnsi="Times New Roman" w:cs="Times New Roman"/>
          <w:color w:val="auto"/>
          <w:highlight w:val="none"/>
        </w:rPr>
        <w:t>报价。</w:t>
      </w:r>
    </w:p>
    <w:p w14:paraId="276B77C0">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12.证明磋商人合格和资格的文件</w:t>
      </w:r>
    </w:p>
    <w:p w14:paraId="21477D3C">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（1）磋商人有效的“省级及以上检验检测机构资质认定证书（CMA）复印件”同时要加盖单位公章（必须提供）。</w:t>
      </w:r>
    </w:p>
    <w:p w14:paraId="549B898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）磋商人法定代表人(或负责人)第二代身份证复印件和法定代表人(或负责人)身份证明书原件（必须提供，同时加盖磋商人公章）；</w:t>
      </w:r>
    </w:p>
    <w:p w14:paraId="02A501FC">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法定代表人(或负责人)授权委托书原件和委托代理人第二代身份证复印件（委托代理时必须提供）、如由法定代表人(或负责人)签署投标文件，则需提供法定代表人(或负责人)证明书原件及法定代表人(或负责人)二代身份证复印件）；</w:t>
      </w:r>
    </w:p>
    <w:p w14:paraId="7858558C">
      <w:pPr>
        <w:rPr>
          <w:rFonts w:hint="default"/>
          <w:color w:val="auto"/>
          <w:highlight w:val="none"/>
          <w:lang w:val="en-US" w:eastAsia="zh-CN"/>
        </w:rPr>
      </w:pPr>
      <w:r>
        <w:rPr>
          <w:rFonts w:hint="eastAsia" w:cs="Times New Roman"/>
          <w:color w:val="auto"/>
          <w:highlight w:val="none"/>
          <w:lang w:val="en-US" w:eastAsia="zh-CN"/>
        </w:rPr>
        <w:t xml:space="preserve">     （</w:t>
      </w:r>
      <w:r>
        <w:rPr>
          <w:rFonts w:hint="eastAsia" w:cs="Times New Roman"/>
          <w:color w:val="auto"/>
          <w:highlight w:val="none"/>
          <w:lang w:val="en-US" w:eastAsia="zh-CN"/>
        </w:rPr>
        <w:t>4</w:t>
      </w:r>
      <w:r>
        <w:rPr>
          <w:rFonts w:hint="eastAsia" w:cs="Times New Roman"/>
          <w:color w:val="auto"/>
          <w:highlight w:val="none"/>
          <w:lang w:val="en-US" w:eastAsia="zh-CN"/>
        </w:rPr>
        <w:t>）贺州市政府采购供应商信用承诺函（格式后附，供应商应对其承诺内容的真实性、合法性、有效性负责）；（必须提供）</w:t>
      </w:r>
    </w:p>
    <w:p w14:paraId="31166433">
      <w:pPr>
        <w:pStyle w:val="17"/>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US" w:eastAsia="zh-CN"/>
        </w:rPr>
        <w:t>）中小企业声明函（格式后附）</w:t>
      </w:r>
      <w:r>
        <w:rPr>
          <w:rFonts w:hint="default" w:ascii="Times New Roman" w:hAnsi="Times New Roman" w:cs="Times New Roman"/>
          <w:color w:val="auto"/>
          <w:highlight w:val="none"/>
          <w:lang w:val="en-US" w:eastAsia="zh-CN"/>
        </w:rPr>
        <w:t>。（必须提供）</w:t>
      </w:r>
    </w:p>
    <w:p w14:paraId="1AC71C1C">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eastAsia="zh-CN"/>
        </w:rPr>
        <w:t>）第二章《项目需求和说明》中明确要求的其他资格证明文件（如有请提供，同时加盖磋商人公章）；</w:t>
      </w:r>
    </w:p>
    <w:p w14:paraId="667DAD89">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eastAsia="zh-CN"/>
        </w:rPr>
        <w:t>）磋商人认为必要提供的声明及文件资料。</w:t>
      </w:r>
    </w:p>
    <w:p w14:paraId="30BAACF9">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13.竞标的有效期</w:t>
      </w:r>
    </w:p>
    <w:p w14:paraId="721D92A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13.1本项目竞标有效期为竞标截止时间之日起90天。</w:t>
      </w:r>
    </w:p>
    <w:p w14:paraId="73FD19A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13.2在特殊情况下，采购代理机构可酌情延长磋商有效期。磋商人可同意或不同意延长磋商响应文件的有效期，不同意延长磋商响应文件的有效期的磋商人，其磋商保证金将在原磋商响应文件的有效期满后4个日历天内予以退还，不计利息；同意延长磋商有效期的磋商人不能要求对原磋商响应文件（经磋商小组确认有效且没有超出竞标范围或改变竞标的实质内容的磋商或说明作为磋商响应文件的组成部分）作任何改变，并同意在延长的磋商有效期内遵循本磋商响应文件，在延长的磋商有效期满之前继续具有约束。</w:t>
      </w:r>
    </w:p>
    <w:p w14:paraId="6B0C4581">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14.磋商响应文件书写及签名、盖章要求</w:t>
      </w:r>
    </w:p>
    <w:p w14:paraId="3F0C8FF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14.1供应商按本须知“前附表第17项”的规定，编制电子加密响应文件及电子备份响应文件。</w:t>
      </w:r>
    </w:p>
    <w:p w14:paraId="206FD7B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14.2供应商应按本磋商文件规定的格式和顺序编制响应文件并标注页码，响应文件内容不完整、编排混乱导致磋商文件被误读、漏读或者查找不到相关内容的，是供应商的责任。供应商的响应文件应按磋商文件提供格式的规定位置加盖供应商单位公章，法定代表人或授权委托代理人签署。</w:t>
      </w:r>
    </w:p>
    <w:p w14:paraId="40D8AD15">
      <w:pPr>
        <w:adjustRightInd w:val="0"/>
        <w:snapToGrid w:val="0"/>
        <w:spacing w:line="460" w:lineRule="exact"/>
        <w:ind w:firstLine="420"/>
        <w:jc w:val="left"/>
        <w:rPr>
          <w:rFonts w:hint="default" w:ascii="Times New Roman" w:hAnsi="Times New Roman" w:cs="Times New Roman"/>
          <w:b/>
          <w:color w:val="auto"/>
          <w:kern w:val="0"/>
          <w:szCs w:val="21"/>
          <w:highlight w:val="none"/>
          <w:lang w:val="zh-CN"/>
        </w:rPr>
      </w:pPr>
      <w:r>
        <w:rPr>
          <w:rFonts w:hint="default" w:ascii="Times New Roman" w:hAnsi="Times New Roman" w:cs="Times New Roman"/>
          <w:b/>
          <w:snapToGrid w:val="0"/>
          <w:color w:val="auto"/>
          <w:szCs w:val="21"/>
          <w:highlight w:val="none"/>
        </w:rPr>
        <w:t>响应文件（包含电子备份响应文件），其中电子响应文件中所须加盖单位公章部分均采用 CA 签章。若磋商文件中有专门标注的某关联点，并要求供应商在电子投标系统中作出磋商响应的，如供应商未对关联点进行响应或者在响应文件其它内容进行描述，造成电子评审不能查询的责任</w:t>
      </w:r>
      <w:r>
        <w:rPr>
          <w:rFonts w:hint="default" w:ascii="Times New Roman" w:hAnsi="Times New Roman" w:cs="Times New Roman"/>
          <w:b/>
          <w:color w:val="auto"/>
          <w:kern w:val="0"/>
          <w:szCs w:val="21"/>
          <w:highlight w:val="none"/>
          <w:lang w:val="zh-CN"/>
        </w:rPr>
        <w:t>由</w:t>
      </w:r>
      <w:r>
        <w:rPr>
          <w:rFonts w:hint="default" w:ascii="Times New Roman" w:hAnsi="Times New Roman" w:cs="Times New Roman"/>
          <w:b/>
          <w:snapToGrid w:val="0"/>
          <w:color w:val="auto"/>
          <w:szCs w:val="21"/>
          <w:highlight w:val="none"/>
        </w:rPr>
        <w:t>供应商</w:t>
      </w:r>
      <w:r>
        <w:rPr>
          <w:rFonts w:hint="default" w:ascii="Times New Roman" w:hAnsi="Times New Roman" w:cs="Times New Roman"/>
          <w:b/>
          <w:color w:val="auto"/>
          <w:kern w:val="0"/>
          <w:szCs w:val="21"/>
          <w:highlight w:val="none"/>
          <w:lang w:val="zh-CN"/>
        </w:rPr>
        <w:t>自行承担。</w:t>
      </w:r>
    </w:p>
    <w:p w14:paraId="62253EE0">
      <w:pPr>
        <w:pStyle w:val="17"/>
        <w:spacing w:line="440" w:lineRule="exact"/>
        <w:ind w:firstLine="420"/>
        <w:rPr>
          <w:rFonts w:hint="default" w:ascii="Times New Roman" w:hAnsi="Times New Roman" w:cs="Times New Roman"/>
          <w:color w:val="auto"/>
          <w:highlight w:val="none"/>
          <w:lang w:val="zh-CN" w:eastAsia="zh-CN"/>
        </w:rPr>
      </w:pPr>
      <w:r>
        <w:rPr>
          <w:rFonts w:hint="default" w:ascii="Times New Roman" w:hAnsi="Times New Roman" w:cs="Times New Roman"/>
          <w:color w:val="auto"/>
          <w:highlight w:val="none"/>
          <w:lang w:val="en-US" w:eastAsia="zh-CN"/>
        </w:rPr>
        <w:t>14.3</w:t>
      </w:r>
      <w:r>
        <w:rPr>
          <w:rFonts w:hint="default" w:ascii="Times New Roman" w:hAnsi="Times New Roman" w:cs="Times New Roman"/>
          <w:color w:val="auto"/>
          <w:highlight w:val="none"/>
          <w:lang w:val="zh-CN" w:eastAsia="zh-CN"/>
        </w:rPr>
        <w:t>响应文件不得涂改，若有修改错漏处，须加盖单位公章或者法定代表人或授权委托人签</w:t>
      </w:r>
      <w:r>
        <w:rPr>
          <w:rFonts w:hint="default" w:ascii="Times New Roman" w:hAnsi="Times New Roman" w:cs="Times New Roman"/>
          <w:color w:val="auto"/>
          <w:highlight w:val="none"/>
          <w:lang w:val="en-US" w:eastAsia="zh-CN"/>
        </w:rPr>
        <w:t>署</w:t>
      </w:r>
      <w:r>
        <w:rPr>
          <w:rFonts w:hint="default" w:ascii="Times New Roman" w:hAnsi="Times New Roman" w:cs="Times New Roman"/>
          <w:color w:val="auto"/>
          <w:highlight w:val="none"/>
          <w:lang w:val="zh-CN" w:eastAsia="zh-CN"/>
        </w:rPr>
        <w:t>。响应文件因扫描不清晰或乱码或表达不清所引起的后果由</w:t>
      </w:r>
      <w:r>
        <w:rPr>
          <w:rFonts w:hint="default"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zh-CN" w:eastAsia="zh-CN"/>
        </w:rPr>
        <w:t>负责。</w:t>
      </w:r>
    </w:p>
    <w:p w14:paraId="5DD0D776">
      <w:pPr>
        <w:pStyle w:val="3"/>
        <w:spacing w:before="0" w:after="0" w:line="4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15.</w:t>
      </w:r>
      <w:r>
        <w:rPr>
          <w:rFonts w:hint="default" w:ascii="Times New Roman" w:hAnsi="Times New Roman" w:eastAsia="宋体" w:cs="Times New Roman"/>
          <w:b/>
          <w:bCs/>
          <w:color w:val="auto"/>
          <w:sz w:val="21"/>
          <w:szCs w:val="21"/>
          <w:highlight w:val="none"/>
        </w:rPr>
        <w:t>响</w:t>
      </w:r>
      <w:r>
        <w:rPr>
          <w:rFonts w:hint="default" w:ascii="Times New Roman" w:hAnsi="Times New Roman" w:eastAsia="宋体" w:cs="Times New Roman"/>
          <w:color w:val="auto"/>
          <w:sz w:val="21"/>
          <w:szCs w:val="21"/>
          <w:highlight w:val="none"/>
        </w:rPr>
        <w:t>应文件的份数和签署</w:t>
      </w:r>
    </w:p>
    <w:p w14:paraId="2495E0D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15.1供应商按本须知“前附表第17项”的规定，编制电子加密响应文件及电子备份响应文件。</w:t>
      </w:r>
    </w:p>
    <w:p w14:paraId="1329BC3B">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15.2供应商应按本磋商文件规定的格式和顺序编制响应文件并标注页码，响应文件内容不完整、编排混乱导致磋商文件被误读、漏读或者查找不到相关内容的，是供应商的责任。供应商的响应文件应按磋商文件提供格式的规定位置加盖供应商单位公章，法定代表人或授权委托代理人签署。</w:t>
      </w:r>
    </w:p>
    <w:p w14:paraId="33D90820">
      <w:pPr>
        <w:adjustRightInd w:val="0"/>
        <w:snapToGrid w:val="0"/>
        <w:spacing w:line="460" w:lineRule="exact"/>
        <w:ind w:firstLine="420"/>
        <w:jc w:val="left"/>
        <w:rPr>
          <w:rFonts w:hint="default" w:ascii="Times New Roman" w:hAnsi="Times New Roman" w:cs="Times New Roman"/>
          <w:b/>
          <w:color w:val="auto"/>
          <w:kern w:val="0"/>
          <w:szCs w:val="21"/>
          <w:highlight w:val="none"/>
          <w:lang w:val="zh-CN"/>
        </w:rPr>
      </w:pPr>
      <w:r>
        <w:rPr>
          <w:rFonts w:hint="default" w:ascii="Times New Roman" w:hAnsi="Times New Roman" w:cs="Times New Roman"/>
          <w:b/>
          <w:snapToGrid w:val="0"/>
          <w:color w:val="auto"/>
          <w:szCs w:val="21"/>
          <w:highlight w:val="none"/>
        </w:rPr>
        <w:t>响应文件（包含电子备份响应文件），其中电子响应文件中所须加盖单位公章部分均采用CA签章。若磋商文件中有专门标注的某关联点，并要求供应商在电子投标系统中作出磋商响应的，如供应商未对关联点进行响应或者在响应文件其它内容进行描述，造成电子评审不能查询的责任</w:t>
      </w:r>
      <w:r>
        <w:rPr>
          <w:rFonts w:hint="default" w:ascii="Times New Roman" w:hAnsi="Times New Roman" w:cs="Times New Roman"/>
          <w:b/>
          <w:color w:val="auto"/>
          <w:kern w:val="0"/>
          <w:szCs w:val="21"/>
          <w:highlight w:val="none"/>
          <w:lang w:val="zh-CN"/>
        </w:rPr>
        <w:t>由</w:t>
      </w:r>
      <w:r>
        <w:rPr>
          <w:rFonts w:hint="default" w:ascii="Times New Roman" w:hAnsi="Times New Roman" w:cs="Times New Roman"/>
          <w:b/>
          <w:snapToGrid w:val="0"/>
          <w:color w:val="auto"/>
          <w:szCs w:val="21"/>
          <w:highlight w:val="none"/>
        </w:rPr>
        <w:t>供应商</w:t>
      </w:r>
      <w:r>
        <w:rPr>
          <w:rFonts w:hint="default" w:ascii="Times New Roman" w:hAnsi="Times New Roman" w:cs="Times New Roman"/>
          <w:b/>
          <w:color w:val="auto"/>
          <w:kern w:val="0"/>
          <w:szCs w:val="21"/>
          <w:highlight w:val="none"/>
          <w:lang w:val="zh-CN"/>
        </w:rPr>
        <w:t>自行承担。</w:t>
      </w:r>
    </w:p>
    <w:p w14:paraId="01824E66">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lang w:val="en-US" w:eastAsia="zh-CN"/>
        </w:rPr>
        <w:t>16</w:t>
      </w:r>
      <w:r>
        <w:rPr>
          <w:rFonts w:hint="default" w:ascii="Times New Roman" w:hAnsi="Times New Roman" w:cs="Times New Roman"/>
          <w:b/>
          <w:color w:val="auto"/>
          <w:highlight w:val="none"/>
        </w:rPr>
        <w:t>.磋商保证金</w:t>
      </w:r>
    </w:p>
    <w:p w14:paraId="777AB1E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16.1磋商保证金：人民币</w:t>
      </w:r>
      <w:r>
        <w:rPr>
          <w:rFonts w:hint="eastAsia" w:ascii="Times New Roman" w:hAnsi="Times New Roman" w:cs="Times New Roman"/>
          <w:color w:val="auto"/>
          <w:highlight w:val="none"/>
          <w:lang w:val="en-US" w:eastAsia="zh-CN"/>
        </w:rPr>
        <w:t>伍仟</w:t>
      </w:r>
      <w:r>
        <w:rPr>
          <w:rFonts w:hint="default" w:ascii="Times New Roman" w:hAnsi="Times New Roman" w:cs="Times New Roman"/>
          <w:color w:val="auto"/>
          <w:highlight w:val="none"/>
          <w:lang w:val="en-US" w:eastAsia="zh-CN"/>
        </w:rPr>
        <w:t>元整（¥</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000.00元）</w:t>
      </w:r>
    </w:p>
    <w:p w14:paraId="46A739B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供应商应于磋商截止时间前将磋商保证金以电汇或转帐或支票或汇票或本票或保函、保险等非现金形式交至以下账户，并于投标截止时间前到账，到账时间以银行确认的到账时间为准(注：若以支票或汇票或本票或保函、保函方式提交的，交款人必须是磋商人；若以转账或电汇方式提交的，必须从供应商银行账户转出；若以现金方式交纳或者没有足额交纳的视为无效投标。</w:t>
      </w:r>
    </w:p>
    <w:p w14:paraId="77883AE8">
      <w:pPr>
        <w:pStyle w:val="17"/>
        <w:spacing w:line="360" w:lineRule="auto"/>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账户名称：</w:t>
      </w:r>
      <w:r>
        <w:rPr>
          <w:rFonts w:hint="eastAsia" w:ascii="Times New Roman" w:hAnsi="Times New Roman" w:cs="Times New Roman"/>
          <w:color w:val="auto"/>
          <w:highlight w:val="none"/>
          <w:lang w:val="en-US" w:eastAsia="zh-CN"/>
        </w:rPr>
        <w:t>广西朗亿工程咨询有限公司</w:t>
      </w:r>
    </w:p>
    <w:p w14:paraId="63B2E9CB">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开户银行：</w:t>
      </w:r>
      <w:r>
        <w:rPr>
          <w:rFonts w:hint="eastAsia" w:ascii="Times New Roman" w:hAnsi="Times New Roman" w:cs="Times New Roman"/>
          <w:color w:val="auto"/>
          <w:highlight w:val="none"/>
          <w:lang w:val="en-US" w:eastAsia="zh-CN"/>
        </w:rPr>
        <w:t>桂林银行股份有限公司贺州分行</w:t>
      </w:r>
    </w:p>
    <w:p w14:paraId="69CA90B3">
      <w:pPr>
        <w:pStyle w:val="17"/>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银行帐号：</w:t>
      </w:r>
      <w:r>
        <w:rPr>
          <w:rFonts w:hint="eastAsia" w:ascii="Times New Roman" w:hAnsi="Times New Roman" w:cs="Times New Roman"/>
          <w:color w:val="auto"/>
          <w:highlight w:val="none"/>
          <w:lang w:val="en-US" w:eastAsia="zh-CN"/>
        </w:rPr>
        <w:t>6600 0002 2794 00001 3</w:t>
      </w:r>
    </w:p>
    <w:p w14:paraId="38D63F97">
      <w:pPr>
        <w:pStyle w:val="17"/>
        <w:spacing w:line="440" w:lineRule="exact"/>
        <w:ind w:firstLine="42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备注：</w:t>
      </w:r>
      <w:r>
        <w:rPr>
          <w:rFonts w:hint="default" w:ascii="Times New Roman" w:hAnsi="Times New Roman" w:eastAsia="宋体" w:cs="Times New Roman"/>
          <w:color w:val="auto"/>
          <w:kern w:val="2"/>
          <w:sz w:val="21"/>
          <w:szCs w:val="24"/>
          <w:highlight w:val="none"/>
          <w:lang w:val="en-US" w:eastAsia="zh-CN" w:bidi="ar-SA"/>
        </w:rPr>
        <w:t>对风险较低、规模较小的采购项目，受疫情影响的中小微企业（在提供真实可信证明材料的前提下），停止收取投标保证金和履约保证金。</w:t>
      </w:r>
    </w:p>
    <w:p w14:paraId="489CD009">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16.2保证金，将在成交通知书发出后</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个日历天内予以退还，不计利息。</w:t>
      </w:r>
    </w:p>
    <w:p w14:paraId="547848B9">
      <w:pPr>
        <w:pStyle w:val="17"/>
        <w:spacing w:line="440" w:lineRule="exact"/>
        <w:jc w:val="center"/>
        <w:outlineLvl w:val="2"/>
        <w:rPr>
          <w:rFonts w:hint="default" w:ascii="Times New Roman" w:hAnsi="Times New Roman" w:cs="Times New Roman"/>
          <w:b/>
          <w:color w:val="auto"/>
          <w:highlight w:val="none"/>
        </w:rPr>
      </w:pPr>
      <w:bookmarkStart w:id="9" w:name="_Toc12564"/>
    </w:p>
    <w:p w14:paraId="5FDEC0E2">
      <w:pPr>
        <w:pStyle w:val="17"/>
        <w:spacing w:line="440" w:lineRule="exact"/>
        <w:jc w:val="center"/>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四  磋商响应文件的递交</w:t>
      </w:r>
      <w:bookmarkEnd w:id="9"/>
    </w:p>
    <w:p w14:paraId="07161BB4">
      <w:pPr>
        <w:pStyle w:val="3"/>
        <w:spacing w:before="0" w:after="0" w:line="46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auto"/>
          <w:sz w:val="21"/>
          <w:szCs w:val="21"/>
          <w:highlight w:val="none"/>
          <w:lang w:val="en-US" w:eastAsia="zh-CN"/>
        </w:rPr>
        <w:t>17.</w:t>
      </w:r>
      <w:r>
        <w:rPr>
          <w:rFonts w:hint="default" w:ascii="Times New Roman" w:hAnsi="Times New Roman" w:eastAsia="宋体" w:cs="Times New Roman"/>
          <w:b/>
          <w:bCs/>
          <w:color w:val="auto"/>
          <w:sz w:val="21"/>
          <w:szCs w:val="21"/>
          <w:highlight w:val="none"/>
        </w:rPr>
        <w:t>响</w:t>
      </w:r>
      <w:r>
        <w:rPr>
          <w:rFonts w:hint="default" w:ascii="Times New Roman" w:hAnsi="Times New Roman" w:eastAsia="宋体" w:cs="Times New Roman"/>
          <w:color w:val="auto"/>
          <w:sz w:val="21"/>
          <w:szCs w:val="21"/>
          <w:highlight w:val="none"/>
        </w:rPr>
        <w:t>应文件的提交</w:t>
      </w:r>
    </w:p>
    <w:p w14:paraId="732C9BC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17.1供应商应当在响应文件提交截止时间前将生成的“电子加密投标文件”上传提交至政采云平台。因未注册入库、未办理CA数字证书、CA证书故障、操作不当等原因造成无法响应或响应失败等后果由供应商自行承担。</w:t>
      </w:r>
    </w:p>
    <w:p w14:paraId="4D099AB1">
      <w:pPr>
        <w:pStyle w:val="3"/>
        <w:spacing w:before="0" w:after="0" w:line="4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18.</w:t>
      </w:r>
      <w:r>
        <w:rPr>
          <w:rFonts w:hint="default" w:ascii="Times New Roman" w:hAnsi="Times New Roman" w:eastAsia="宋体" w:cs="Times New Roman"/>
          <w:color w:val="auto"/>
          <w:sz w:val="21"/>
          <w:szCs w:val="21"/>
          <w:highlight w:val="none"/>
        </w:rPr>
        <w:t>响应文件的修改与撤回</w:t>
      </w:r>
    </w:p>
    <w:p w14:paraId="36049AC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响应文件提交截止时间前可以补充、修改或者撤回电子响应文件。补充或者修改电子响应文件的，应当先行撤回原文件，补充、修改后重新传输提交，响应文件提交截止时间前未完成传输的，视为撤回响应文件。</w:t>
      </w:r>
    </w:p>
    <w:p w14:paraId="19ACFE6C">
      <w:pPr>
        <w:pStyle w:val="3"/>
        <w:spacing w:before="0" w:after="0" w:line="460" w:lineRule="exac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19.响应文件的解密</w:t>
      </w:r>
    </w:p>
    <w:p w14:paraId="5719CB0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19.1采购代理机构按磋商文件规定的时间、地点通过“政采云平台”组织磋商、开启响应文件，所有供应商均应当准时在线参加。供应商如不参加磋商会的，视同认可磋商结果，事后不得对采购相关人员、磋商过程和磋商结果提出异议，同时供应商因未在线参加磋商而导致响应文件无法按时解密等一切后果由供应商自己承担。本项目磋商过程实行全程录音、录像监控。</w:t>
      </w:r>
    </w:p>
    <w:p w14:paraId="232DC89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19.2采购代理机构工作人员向各供应商发出电子加密响应文件【开始解密】通知，由供应商按响应文件规定的时间内自行进行响应文件解密。供应商在规定的时间内无法完成已递交的“电子加密投标文件”解密的，如已按规定递交了电子备份响应文件的，将由采购组织机构按“政府采购云平台”操作规范将备份响应文件上传至“政府采购云平台”，上传成功后，“电子加密投标文件”自动失效。如未提供备份电子响应文件，将不进行再次解密程序。无法在线解密视为供应商放弃磋商。在线解密时间为 30 分钟。</w:t>
      </w:r>
    </w:p>
    <w:p w14:paraId="1EC05F5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19.3响应文件解密结束，磋商活动组织人员在线开启报价文件。供应商在线制作响应文件时填写的报价金额与解密后“电子加密投标文件”中《磋商函》填写的金额不一致的，以解密后“电子加密投标文件”中《磋商函》填写的金额为准，供应商拒绝接受此调整的，按无效响应处理。</w:t>
      </w:r>
    </w:p>
    <w:p w14:paraId="4E6A2FB4">
      <w:pPr>
        <w:adjustRightInd w:val="0"/>
        <w:snapToGrid w:val="0"/>
        <w:spacing w:line="460" w:lineRule="exact"/>
        <w:ind w:firstLine="422" w:firstLineChars="200"/>
        <w:rPr>
          <w:rFonts w:hint="default" w:ascii="Times New Roman" w:hAnsi="Times New Roman" w:cs="Times New Roman"/>
          <w:color w:val="auto"/>
          <w:kern w:val="0"/>
          <w:szCs w:val="21"/>
          <w:highlight w:val="none"/>
        </w:rPr>
      </w:pPr>
      <w:r>
        <w:rPr>
          <w:rFonts w:hint="default" w:ascii="Times New Roman" w:hAnsi="Times New Roman" w:cs="Times New Roman"/>
          <w:b/>
          <w:bCs/>
          <w:color w:val="auto"/>
          <w:szCs w:val="21"/>
          <w:highlight w:val="none"/>
        </w:rPr>
        <w:t>特别说明：如遇“政采云平台”电子化开标或评审程序调整的，按调整后程序执行。</w:t>
      </w:r>
    </w:p>
    <w:p w14:paraId="2423373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19.4在响应文件提交截止时间止提交响应文件的供应商不足 3 家时，不得开标，应当由供应商法定代表人或者委托代理人签字领回电子备份响应文件（电子备份响应文件采用邮寄方式提交的，以到付的方式寄回至原地址），除此之外采购人和采购代理机构对已提交的响应文件概不退回。</w:t>
      </w:r>
    </w:p>
    <w:p w14:paraId="33B59C85">
      <w:pPr>
        <w:pStyle w:val="3"/>
        <w:spacing w:before="0" w:after="0" w:line="4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评标内容的保密</w:t>
      </w:r>
    </w:p>
    <w:p w14:paraId="6A05013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20.1采购人、采购代理机构应当按照政府采购法和政府采购竞争性磋商采购方式管理暂行办法的规定组织开展竞争性磋商，并采取必要措施，保证磋商在严格保密的情况下进行。任何单位和个人不得非法干预、影响磋商过程和结果。</w:t>
      </w:r>
    </w:p>
    <w:p w14:paraId="4FA8B391">
      <w:pPr>
        <w:pStyle w:val="17"/>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highlight w:val="none"/>
          <w:lang w:val="en-US" w:eastAsia="zh-CN"/>
        </w:rPr>
        <w:t>20.2在响应文件的审查、澄清、评价和比较以及授予合同的过程中，供应商对采购人和磋商小组施加影响的任何行为，都将导致取消其磋商资格</w:t>
      </w:r>
      <w:r>
        <w:rPr>
          <w:rFonts w:hint="default" w:ascii="Times New Roman" w:hAnsi="Times New Roman" w:cs="Times New Roman"/>
          <w:color w:val="auto"/>
          <w:szCs w:val="21"/>
          <w:highlight w:val="none"/>
        </w:rPr>
        <w:t>。</w:t>
      </w:r>
    </w:p>
    <w:p w14:paraId="7BA046B3">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lang w:val="en-US" w:eastAsia="zh-CN"/>
        </w:rPr>
        <w:t>21</w:t>
      </w:r>
      <w:r>
        <w:rPr>
          <w:rFonts w:hint="default" w:ascii="Times New Roman" w:hAnsi="Times New Roman" w:cs="Times New Roman"/>
          <w:b/>
          <w:color w:val="auto"/>
          <w:highlight w:val="none"/>
        </w:rPr>
        <w:t>.磋商截止时间</w:t>
      </w:r>
    </w:p>
    <w:p w14:paraId="0C03F43A">
      <w:pPr>
        <w:pStyle w:val="17"/>
        <w:tabs>
          <w:tab w:val="left" w:pos="1957"/>
        </w:tabs>
        <w:spacing w:line="440" w:lineRule="exact"/>
        <w:ind w:firstLine="420"/>
        <w:rPr>
          <w:rFonts w:hint="default" w:ascii="Times New Roman" w:hAnsi="Times New Roman" w:cs="Times New Roman"/>
          <w:color w:val="auto"/>
          <w:spacing w:val="-4"/>
          <w:highlight w:val="none"/>
        </w:rPr>
      </w:pPr>
      <w:r>
        <w:rPr>
          <w:rFonts w:hint="default" w:ascii="Times New Roman" w:hAnsi="Times New Roman" w:cs="Times New Roman"/>
          <w:color w:val="auto"/>
          <w:highlight w:val="none"/>
          <w:lang w:val="en-US" w:eastAsia="zh-CN"/>
        </w:rPr>
        <w:t>21</w:t>
      </w:r>
      <w:r>
        <w:rPr>
          <w:rFonts w:hint="default" w:ascii="Times New Roman" w:hAnsi="Times New Roman" w:cs="Times New Roman"/>
          <w:color w:val="auto"/>
          <w:highlight w:val="none"/>
        </w:rPr>
        <w:t>.1</w:t>
      </w:r>
      <w:r>
        <w:rPr>
          <w:rFonts w:hint="default" w:ascii="Times New Roman" w:hAnsi="Times New Roman" w:cs="Times New Roman"/>
          <w:color w:val="auto"/>
          <w:spacing w:val="-4"/>
          <w:highlight w:val="none"/>
        </w:rPr>
        <w:t>磋商响应文件的递交不得迟于本须知</w:t>
      </w:r>
      <w:r>
        <w:rPr>
          <w:rFonts w:hint="default" w:ascii="Times New Roman" w:hAnsi="Times New Roman" w:cs="Times New Roman"/>
          <w:color w:val="auto"/>
          <w:spacing w:val="-4"/>
          <w:highlight w:val="none"/>
          <w:u w:val="single"/>
        </w:rPr>
        <w:t>前附表第</w:t>
      </w:r>
      <w:r>
        <w:rPr>
          <w:rFonts w:hint="default" w:ascii="Times New Roman" w:hAnsi="Times New Roman" w:cs="Times New Roman"/>
          <w:color w:val="auto"/>
          <w:spacing w:val="-4"/>
          <w:highlight w:val="none"/>
          <w:u w:val="single"/>
          <w:lang w:val="en-US" w:eastAsia="zh-CN"/>
        </w:rPr>
        <w:t>10</w:t>
      </w:r>
      <w:r>
        <w:rPr>
          <w:rFonts w:hint="default" w:ascii="Times New Roman" w:hAnsi="Times New Roman" w:cs="Times New Roman"/>
          <w:color w:val="auto"/>
          <w:spacing w:val="-4"/>
          <w:highlight w:val="none"/>
          <w:u w:val="single"/>
        </w:rPr>
        <w:t>项</w:t>
      </w:r>
      <w:r>
        <w:rPr>
          <w:rFonts w:hint="default" w:ascii="Times New Roman" w:hAnsi="Times New Roman" w:cs="Times New Roman"/>
          <w:color w:val="auto"/>
          <w:spacing w:val="-4"/>
          <w:highlight w:val="none"/>
        </w:rPr>
        <w:t>规定的截止时间。</w:t>
      </w:r>
    </w:p>
    <w:p w14:paraId="05D47DBB">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21</w:t>
      </w:r>
      <w:r>
        <w:rPr>
          <w:rFonts w:hint="default" w:ascii="Times New Roman" w:hAnsi="Times New Roman" w:cs="Times New Roman"/>
          <w:color w:val="auto"/>
          <w:highlight w:val="none"/>
        </w:rPr>
        <w:t>.2磋商人必须在规定时间内将磋商响应文件送到本须知</w:t>
      </w:r>
      <w:r>
        <w:rPr>
          <w:rFonts w:hint="default" w:ascii="Times New Roman" w:hAnsi="Times New Roman" w:cs="Times New Roman"/>
          <w:color w:val="auto"/>
          <w:highlight w:val="none"/>
          <w:u w:val="single"/>
        </w:rPr>
        <w:t>前附表第</w:t>
      </w:r>
      <w:r>
        <w:rPr>
          <w:rFonts w:hint="default" w:ascii="Times New Roman" w:hAnsi="Times New Roman" w:cs="Times New Roman"/>
          <w:color w:val="auto"/>
          <w:highlight w:val="none"/>
          <w:u w:val="single"/>
          <w:lang w:val="en-US" w:eastAsia="zh-CN"/>
        </w:rPr>
        <w:t>10</w:t>
      </w:r>
      <w:r>
        <w:rPr>
          <w:rFonts w:hint="default" w:ascii="Times New Roman" w:hAnsi="Times New Roman" w:cs="Times New Roman"/>
          <w:color w:val="auto"/>
          <w:highlight w:val="none"/>
          <w:u w:val="single"/>
        </w:rPr>
        <w:t>项</w:t>
      </w:r>
      <w:r>
        <w:rPr>
          <w:rFonts w:hint="default" w:ascii="Times New Roman" w:hAnsi="Times New Roman" w:cs="Times New Roman"/>
          <w:color w:val="auto"/>
          <w:highlight w:val="none"/>
        </w:rPr>
        <w:t>规定地点，超过磋商截止时间送达的磋商响应文件为无效磋商响应文件，</w:t>
      </w:r>
      <w:r>
        <w:rPr>
          <w:rFonts w:hint="default" w:ascii="Times New Roman" w:hAnsi="Times New Roman" w:cs="Times New Roman"/>
          <w:color w:val="auto"/>
          <w:spacing w:val="-4"/>
          <w:highlight w:val="none"/>
        </w:rPr>
        <w:t>采购代理机构</w:t>
      </w:r>
      <w:r>
        <w:rPr>
          <w:rFonts w:hint="default" w:ascii="Times New Roman" w:hAnsi="Times New Roman" w:cs="Times New Roman"/>
          <w:color w:val="auto"/>
          <w:highlight w:val="none"/>
        </w:rPr>
        <w:t>将拒收。</w:t>
      </w:r>
    </w:p>
    <w:p w14:paraId="2DC32F5D">
      <w:pPr>
        <w:pStyle w:val="23"/>
        <w:rPr>
          <w:rFonts w:hint="default" w:ascii="Times New Roman" w:hAnsi="Times New Roman" w:cs="Times New Roman"/>
          <w:color w:val="auto"/>
          <w:highlight w:val="none"/>
        </w:rPr>
      </w:pPr>
      <w:bookmarkStart w:id="10" w:name="_Toc25261"/>
    </w:p>
    <w:p w14:paraId="739615C7">
      <w:pPr>
        <w:pStyle w:val="17"/>
        <w:spacing w:line="440" w:lineRule="exact"/>
        <w:jc w:val="center"/>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五  竞标、磋商与评标</w:t>
      </w:r>
      <w:bookmarkEnd w:id="10"/>
    </w:p>
    <w:p w14:paraId="25DB902C">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lang w:val="en-US" w:eastAsia="zh-CN"/>
        </w:rPr>
        <w:t>21</w:t>
      </w:r>
      <w:r>
        <w:rPr>
          <w:rFonts w:hint="default" w:ascii="Times New Roman" w:hAnsi="Times New Roman" w:cs="Times New Roman"/>
          <w:b/>
          <w:color w:val="auto"/>
          <w:highlight w:val="none"/>
        </w:rPr>
        <w:t>．</w:t>
      </w:r>
      <w:r>
        <w:rPr>
          <w:rFonts w:hint="default" w:ascii="Times New Roman" w:hAnsi="Times New Roman" w:cs="Times New Roman"/>
          <w:color w:val="auto"/>
          <w:highlight w:val="none"/>
        </w:rPr>
        <w:t>竞标与磋商</w:t>
      </w:r>
    </w:p>
    <w:p w14:paraId="3FD084D2">
      <w:pPr>
        <w:pStyle w:val="17"/>
        <w:spacing w:line="440" w:lineRule="exact"/>
        <w:ind w:firstLine="420"/>
        <w:rPr>
          <w:rFonts w:hint="default" w:ascii="Times New Roman" w:hAnsi="Times New Roman" w:cs="Times New Roman"/>
          <w:color w:val="auto"/>
          <w:highlight w:val="none"/>
          <w:lang w:val="en-US" w:eastAsia="zh-CN"/>
        </w:rPr>
      </w:pPr>
      <w:bookmarkStart w:id="11" w:name="_Toc255392579"/>
      <w:r>
        <w:rPr>
          <w:rFonts w:hint="default" w:ascii="Times New Roman" w:hAnsi="Times New Roman" w:cs="Times New Roman"/>
          <w:color w:val="auto"/>
          <w:highlight w:val="none"/>
          <w:lang w:val="en-US" w:eastAsia="zh-CN"/>
        </w:rPr>
        <w:t>21.1磋商</w:t>
      </w:r>
    </w:p>
    <w:p w14:paraId="35F838D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21.1.1截标后为与供应商磋商的时间，具体时间由采购代理机构另行通知。</w:t>
      </w:r>
    </w:p>
    <w:p w14:paraId="22F93C6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21.1.2 磋商小组共3人以上单数依法组成，其中评审专家人数不得少于磋商小组成员总数的2/3。在整个磋商过程中，磋商小组将负责对全部响应文件进行审查、磋商及评审工作。</w:t>
      </w:r>
    </w:p>
    <w:p w14:paraId="62D92C5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21.1.3采购代理机构将在本须知规定组织磋商小组与各供应商分别进行磋商。供应商可由1～3人组成参谈组，磋商中供应商成员之间意见不一致时，以供应商的法定代表人（或其委托代理人）的意见为准。</w:t>
      </w:r>
    </w:p>
    <w:p w14:paraId="12FF212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50DA78B">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21.1.5由磋商小组按照供应商须知前附表确定的顺序，集中与单一供应商分别进行磋商，给予所有参加磋商的供应商平等的磋商机会。由磋商小组发起询标进行磋商，同时采购代理机构可通知各供应商，通知的联系方式以供应商在政采云平台“获取采购文件”填写联系人的手机号为准，各供应商应在线关注询标信息并保证提供的联系方保持通讯畅通，接到在线询标信息后应在30分钟内进行询标回复；磋商结束后，供应商按磋商小组要求的时间内递交磋商时要求其就商务和技术条件作出的包含补充、修改、承诺、最终报价等内容的应答文件在线提交，应答文件必须由供应商的法定代表人或委托代理人签名或盖公章，应答文件构成响应文件的一部分。</w:t>
      </w:r>
    </w:p>
    <w:p w14:paraId="7FB2BD9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磋商小组应当要求所有实质性响应的供应商在规定时间内提交最后报价，提交最后报价的供应商不得少于3家。</w:t>
      </w:r>
    </w:p>
    <w:p w14:paraId="4361179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21.1.6作最后报价时，供应商的最终报价文件必须以采购代理机构提供的格式编制或填写。供应商须提前做好相关准备并按时递交最终报价文件（因供应商原因无法在磋商时联系的或供应商未在规定的时间内提供最终报价文件，则以供应商最近一次报价的有效磋商报价为准）。</w:t>
      </w:r>
    </w:p>
    <w:p w14:paraId="3C61AAB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21.1.7已提交响应文件的供应商，在提交最终报价之前，可以根据磋商情况退出磋商。经磋商确定最终采购需求和提交最终报价的供应商后，由磋商小组采用综合评分法对提交最终报价的供应商的响应文件和最终报价进行综合评分。</w:t>
      </w:r>
    </w:p>
    <w:p w14:paraId="0D95850B">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21.1.8磋商结束后，磋商小组不得再与供应商进行任何形式的商谈。</w:t>
      </w:r>
    </w:p>
    <w:p w14:paraId="455F21E3">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21.1.9磋商的任何一方不得透露与磋商有关的其他供应商的技术资料、价格和其他信息。</w:t>
      </w:r>
    </w:p>
    <w:p w14:paraId="4B3FDD20">
      <w:pPr>
        <w:spacing w:line="460" w:lineRule="exact"/>
        <w:ind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r>
        <w:rPr>
          <w:rFonts w:hint="default" w:ascii="Times New Roman" w:hAnsi="Times New Roman" w:cs="Times New Roman"/>
          <w:b/>
          <w:bCs/>
          <w:color w:val="auto"/>
          <w:szCs w:val="21"/>
          <w:highlight w:val="none"/>
          <w:lang w:val="en-US" w:eastAsia="zh-CN"/>
        </w:rPr>
        <w:t>2</w:t>
      </w:r>
      <w:r>
        <w:rPr>
          <w:rFonts w:hint="default" w:ascii="Times New Roman" w:hAnsi="Times New Roman" w:cs="Times New Roman"/>
          <w:b/>
          <w:bCs/>
          <w:color w:val="auto"/>
          <w:szCs w:val="21"/>
          <w:highlight w:val="none"/>
        </w:rPr>
        <w:t>评审</w:t>
      </w:r>
    </w:p>
    <w:p w14:paraId="2DD9BFBF">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22.21本采购项目对通过资格审查和符合性审查评审为合格的响应文件采用综合评分法，评标依据为磋商文件和响应文件及磋商应答文件。</w:t>
      </w:r>
    </w:p>
    <w:p w14:paraId="52FB29C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22.2评标工作将采取封闭方式进行，磋商小组成员和有关工作人员不得透露对响应文件的评审、比较和成交候选供应商的推荐情况以及与评标有关的其他情况。</w:t>
      </w:r>
    </w:p>
    <w:p w14:paraId="0BEA403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22.3供应商在评标过程中，所进行的力图影响评标结果公正性的活动，将可能导致其成交资格被取消。</w:t>
      </w:r>
    </w:p>
    <w:p w14:paraId="187DF01C">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22.4供应商磋商报价超出采购上限控制价则磋商无效。如果全部供应商的磋商报价均超出采购上限控制价，采购人不能支付的，由采购单位重新组织采购。</w:t>
      </w:r>
    </w:p>
    <w:p w14:paraId="5E1FAD18">
      <w:pPr>
        <w:pStyle w:val="3"/>
        <w:spacing w:before="0" w:after="0" w:line="4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23.</w:t>
      </w:r>
      <w:r>
        <w:rPr>
          <w:rFonts w:hint="default" w:ascii="Times New Roman" w:hAnsi="Times New Roman" w:eastAsia="宋体" w:cs="Times New Roman"/>
          <w:color w:val="auto"/>
          <w:sz w:val="21"/>
          <w:szCs w:val="21"/>
          <w:highlight w:val="none"/>
        </w:rPr>
        <w:t>响应文件计算错误的修正</w:t>
      </w:r>
    </w:p>
    <w:p w14:paraId="2917EDF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23.1 磋商小组将对确定为实质上响应磋商文件要求的响应文件进行校核，看其是否有计算或表达上的错误，修正错误的原则如下：</w:t>
      </w:r>
    </w:p>
    <w:p w14:paraId="6521211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23.1.1 如果数字表示的金额和用文字表示的金额不一致时，应以文字表示的金额为准；</w:t>
      </w:r>
    </w:p>
    <w:p w14:paraId="2AF8300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23.1.2 当单价与数量的乘积与合价不一致时，以单价为准，除非磋商小组认为单价有明显的小数点错误，此时应以标出的合价为准，并修改单价；</w:t>
      </w:r>
    </w:p>
    <w:p w14:paraId="6EE6B57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23.1.3 当分项乘积累计得出的总额与标出的总额不一致时，以标出的分项乘积为准，并修改标出的总额；</w:t>
      </w:r>
    </w:p>
    <w:p w14:paraId="3F4CB9F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23.2 按上述修正错误的原则及方法调整或修正响应文件的磋商报价，在供应商确认后，调整或修正后的磋商报价对供应商起约束作用。</w:t>
      </w:r>
    </w:p>
    <w:p w14:paraId="16A40070">
      <w:pPr>
        <w:spacing w:line="460" w:lineRule="exact"/>
        <w:ind w:left="-15" w:leftChars="-7" w:firstLine="390" w:firstLineChars="185"/>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按上述修正错误的原则及方法调整或修正响应文件的磋商报价，供应商须在线同意并签字确认，调整后的磋商报价对供应商具有约束作用。如果供应商不接受修正后的报价，则其响应文件将作为无效响应处理。</w:t>
      </w:r>
    </w:p>
    <w:p w14:paraId="51A62E6C">
      <w:pPr>
        <w:pStyle w:val="3"/>
        <w:spacing w:before="0" w:after="0" w:line="4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rPr>
        <w:t>供应商资格审查</w:t>
      </w:r>
    </w:p>
    <w:p w14:paraId="7604D247">
      <w:pPr>
        <w:spacing w:line="460" w:lineRule="exact"/>
        <w:ind w:firstLine="457" w:firstLineChars="218"/>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资格后审，只有通过资格审查才能进入符合性审查。所要提供的材料见本须知</w:t>
      </w:r>
      <w:r>
        <w:rPr>
          <w:rFonts w:hint="default"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none"/>
        </w:rPr>
        <w:t>条内容，资格审查资料有任何一项缺项或不合格者其资格审查视为不通过。</w:t>
      </w:r>
    </w:p>
    <w:p w14:paraId="3526A755">
      <w:pPr>
        <w:pStyle w:val="3"/>
        <w:spacing w:before="0" w:after="0" w:line="460" w:lineRule="exact"/>
        <w:rPr>
          <w:rFonts w:hint="default" w:ascii="Times New Roman" w:hAnsi="Times New Roman" w:eastAsia="宋体" w:cs="Times New Roman"/>
          <w:color w:val="auto"/>
          <w:sz w:val="21"/>
          <w:szCs w:val="21"/>
          <w:highlight w:val="none"/>
        </w:rPr>
      </w:pPr>
      <w:bookmarkStart w:id="12" w:name="_Toc18682822"/>
      <w:bookmarkStart w:id="13" w:name="_Toc120331586"/>
      <w:bookmarkStart w:id="14" w:name="_Toc239659113"/>
      <w:bookmarkStart w:id="15" w:name="_Toc346264285"/>
      <w:bookmarkStart w:id="16" w:name="_Toc174353376"/>
      <w:bookmarkStart w:id="17" w:name="_Toc10679"/>
      <w:bookmarkStart w:id="18" w:name="_Toc80818633"/>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.响应文件的</w:t>
      </w:r>
      <w:bookmarkEnd w:id="12"/>
      <w:bookmarkEnd w:id="13"/>
      <w:bookmarkEnd w:id="14"/>
      <w:bookmarkEnd w:id="15"/>
      <w:bookmarkEnd w:id="16"/>
      <w:r>
        <w:rPr>
          <w:rFonts w:hint="default" w:ascii="Times New Roman" w:hAnsi="Times New Roman" w:eastAsia="宋体" w:cs="Times New Roman"/>
          <w:color w:val="auto"/>
          <w:sz w:val="21"/>
          <w:szCs w:val="21"/>
          <w:highlight w:val="none"/>
        </w:rPr>
        <w:t>符合性鉴定</w:t>
      </w:r>
      <w:bookmarkEnd w:id="17"/>
      <w:bookmarkEnd w:id="18"/>
    </w:p>
    <w:p w14:paraId="34F9825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25.1 对响应文件进行符合性鉴定。响应文件应实质上响应磋商文件的要求，应与磋商文件所有条款、条件和规定，无明显差异或保留。磋商小组对实质上不响应磋商文件要求的磋商予以拒绝，但磋商小组认定属于供应商疏忽、笔误所造成的差错，应当允许其在磋商结束之前在政采云系统上进行修改或者补正并加盖单位公章。在磋商小组会发出询标函规定的回复限期内不补正或经补正后仍不符合磋商文件要求的，应认定其响应无效。供应商修改、补正响应文件后，不影响磋商小组对其响应文件所作的评价和评分结果。</w:t>
      </w:r>
    </w:p>
    <w:p w14:paraId="318DE3A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 供应商或其响应文件有下列情况之一者，其响应文件将视为无效响应处理：</w:t>
      </w:r>
    </w:p>
    <w:p w14:paraId="76AC407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25.2.1 未按本须知第7条规定的响应文件必须提供的内容组成，或未按本须知第15条规定加盖供应商单位公章、未经法定代表人或其委托代理人签字的；</w:t>
      </w:r>
    </w:p>
    <w:p w14:paraId="771A0B8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25.2.2 由授权委托代理人签字，但未随响应文件一起提交有效的“授权委托书”原件的，或者出具的身份证明与授权委托书中的信息不符；</w:t>
      </w:r>
    </w:p>
    <w:p w14:paraId="7CE3A37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25.2.3响应文件的实质性内容未使用中文表述、使用计量单位不符合磋商文件要求；或未采用人民币报价或者未按照磋商文件标明的币种报价。</w:t>
      </w:r>
    </w:p>
    <w:p w14:paraId="3B6A89D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25.2.4供应商磋商报价高于本工程的采购上限控制价的；或者被磋商小组视为“低于成本”或者“明显不合理并有可能影响服务质量或不能诚信履约”的；</w:t>
      </w:r>
    </w:p>
    <w:p w14:paraId="2F275DE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25.2.5供应商未按照采购人提供的工程量清单格式编制，或修改了工程清单中的细目号、细目名称、单位、数量的；</w:t>
      </w:r>
    </w:p>
    <w:p w14:paraId="5CCC979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25.2.6修正后的报价，供应商不确认的；</w:t>
      </w:r>
    </w:p>
    <w:p w14:paraId="38243F7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25.2.7响应文件内容虚假的，或关键内容字迹模糊、辨认不清的；</w:t>
      </w:r>
    </w:p>
    <w:p w14:paraId="247FC11B">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25.2.8 响应文件实质上没有响应磋商文件的其它要求的；</w:t>
      </w:r>
    </w:p>
    <w:p w14:paraId="546556E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25.2.9有下列情形之一的视为供应商相互串通磋商，响应文件将被视为无效:</w:t>
      </w:r>
    </w:p>
    <w:p w14:paraId="2D77347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（1）不同供应商的响应文件由同一单位或者个人编制；或不同供应商</w:t>
      </w:r>
      <w:r>
        <w:rPr>
          <w:rFonts w:hint="eastAsia" w:ascii="Times New Roman" w:hAnsi="Times New Roman" w:cs="Times New Roman"/>
          <w:color w:val="auto"/>
          <w:highlight w:val="none"/>
          <w:lang w:val="en-US" w:eastAsia="zh-CN"/>
        </w:rPr>
        <w:t>报名、</w:t>
      </w:r>
      <w:r>
        <w:rPr>
          <w:rFonts w:hint="default" w:ascii="Times New Roman" w:hAnsi="Times New Roman" w:cs="Times New Roman"/>
          <w:color w:val="auto"/>
          <w:highlight w:val="none"/>
          <w:lang w:val="en-US" w:eastAsia="zh-CN"/>
        </w:rPr>
        <w:t>编制文件的IP地址一致的；</w:t>
      </w:r>
    </w:p>
    <w:p w14:paraId="0ADB306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（2）不同供应商委托同一单位或者个人办理磋商事宜；</w:t>
      </w:r>
    </w:p>
    <w:p w14:paraId="308326A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（3）不同供应商的响应文件载明的项目管理成员或者联系人员为同一人；</w:t>
      </w:r>
    </w:p>
    <w:p w14:paraId="7C5B626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（4）不同供应商的响应文件异常一致或磋商报价呈规律性差异；</w:t>
      </w:r>
    </w:p>
    <w:p w14:paraId="0B6A522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（5）不同供应商的响应文件资料相互混装；</w:t>
      </w:r>
    </w:p>
    <w:p w14:paraId="0945AE4F">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（6）不同供应商的磋商保证金从同一个单位或者个人账户转出。</w:t>
      </w:r>
    </w:p>
    <w:p w14:paraId="35C3361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25.2.10单位负责人为同一人或者存在直接控股、管理关系的不同供应商，参加同一合同项下的政府采购活动；</w:t>
      </w:r>
    </w:p>
    <w:bookmarkEnd w:id="11"/>
    <w:p w14:paraId="0ED14095">
      <w:pPr>
        <w:pStyle w:val="17"/>
        <w:spacing w:line="440" w:lineRule="exact"/>
        <w:ind w:firstLine="420"/>
        <w:rPr>
          <w:rFonts w:hint="default" w:ascii="Times New Roman" w:hAnsi="Times New Roman" w:cs="Times New Roman"/>
          <w:b/>
          <w:color w:val="auto"/>
          <w:highlight w:val="none"/>
        </w:rPr>
      </w:pPr>
      <w:bookmarkStart w:id="19" w:name="_Toc58146562"/>
      <w:r>
        <w:rPr>
          <w:rFonts w:hint="default" w:ascii="Times New Roman" w:hAnsi="Times New Roman" w:cs="Times New Roman"/>
          <w:b/>
          <w:color w:val="auto"/>
          <w:highlight w:val="none"/>
        </w:rPr>
        <w:t>2</w:t>
      </w:r>
      <w:r>
        <w:rPr>
          <w:rFonts w:hint="default" w:ascii="Times New Roman" w:hAnsi="Times New Roman" w:cs="Times New Roman"/>
          <w:b/>
          <w:color w:val="auto"/>
          <w:highlight w:val="none"/>
          <w:lang w:val="en-US" w:eastAsia="zh-CN"/>
        </w:rPr>
        <w:t>6</w:t>
      </w:r>
      <w:r>
        <w:rPr>
          <w:rFonts w:hint="default" w:ascii="Times New Roman" w:hAnsi="Times New Roman" w:cs="Times New Roman"/>
          <w:b/>
          <w:color w:val="auto"/>
          <w:highlight w:val="none"/>
        </w:rPr>
        <w:t>.</w:t>
      </w:r>
      <w:r>
        <w:rPr>
          <w:rFonts w:hint="default"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磋商响应文件如有下列情况之一，将会在评标中按照无效竞标处理：</w:t>
      </w:r>
    </w:p>
    <w:p w14:paraId="5DF5200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（1）应交未交或不足额交磋商保证金的；</w:t>
      </w:r>
    </w:p>
    <w:p w14:paraId="240A52C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（2）响应文件未按磋商文件要求签署或CA电子签章的；</w:t>
      </w:r>
    </w:p>
    <w:p w14:paraId="13E2D7E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（3）供应商在线制作响应文件时填写的报价金额与解密后“电子加密投标文件”中《磋商函》填写的金额不一致并拒绝按磋商文件要求接受调整的；</w:t>
      </w:r>
    </w:p>
    <w:p w14:paraId="6607CF5F">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（4）资格证明文件不全的，或者不符合磋商采购文件标明的资格要求的；</w:t>
      </w:r>
    </w:p>
    <w:p w14:paraId="7AA2BEE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（5）法律、法规和磋商文件规定的其他无效情形（或出现重大偏差）。</w:t>
      </w:r>
    </w:p>
    <w:p w14:paraId="5405F78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（6）不符合法律、法规和磋商采购文件中规定的其他实质性要求的；</w:t>
      </w:r>
    </w:p>
    <w:p w14:paraId="39F366A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（7）超过公布上限控制价的磋商报价。</w:t>
      </w:r>
    </w:p>
    <w:p w14:paraId="69A8965B">
      <w:pPr>
        <w:pStyle w:val="17"/>
        <w:spacing w:line="44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2</w:t>
      </w:r>
      <w:r>
        <w:rPr>
          <w:rFonts w:hint="default" w:ascii="Times New Roman" w:hAnsi="Times New Roman" w:cs="Times New Roman"/>
          <w:b/>
          <w:color w:val="auto"/>
          <w:highlight w:val="none"/>
          <w:lang w:val="en-US" w:eastAsia="zh-CN"/>
        </w:rPr>
        <w:t>7</w:t>
      </w:r>
      <w:r>
        <w:rPr>
          <w:rFonts w:hint="default" w:ascii="Times New Roman" w:hAnsi="Times New Roman" w:cs="Times New Roman"/>
          <w:b/>
          <w:color w:val="auto"/>
          <w:highlight w:val="none"/>
        </w:rPr>
        <w:t>.在招标中，出现下列情形之一的，应予废标：</w:t>
      </w:r>
    </w:p>
    <w:p w14:paraId="0E8B200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（1）采购过程中符合要求的供应商或者报价未超过采购预算的供应商不足3家的；</w:t>
      </w:r>
    </w:p>
    <w:p w14:paraId="0E731DE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(2)出现影响采购公正的违法、违规行为的；</w:t>
      </w:r>
    </w:p>
    <w:p w14:paraId="225B287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(3)磋商文件内容违反国家有关强制性规定的；</w:t>
      </w:r>
    </w:p>
    <w:p w14:paraId="2F376C59">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(4)因重大变故,采购任务取消的。</w:t>
      </w:r>
    </w:p>
    <w:p w14:paraId="00744EE3">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27.1废标后，应依法重新组织采购。</w:t>
      </w:r>
      <w:bookmarkEnd w:id="19"/>
    </w:p>
    <w:p w14:paraId="294D7A4F">
      <w:pPr>
        <w:pStyle w:val="17"/>
        <w:spacing w:line="440" w:lineRule="exact"/>
        <w:jc w:val="center"/>
        <w:outlineLvl w:val="2"/>
        <w:rPr>
          <w:rFonts w:hint="default" w:ascii="Times New Roman" w:hAnsi="Times New Roman" w:cs="Times New Roman"/>
          <w:b/>
          <w:color w:val="auto"/>
          <w:highlight w:val="none"/>
        </w:rPr>
      </w:pPr>
      <w:bookmarkStart w:id="20" w:name="_Toc1539"/>
      <w:r>
        <w:rPr>
          <w:rFonts w:hint="default" w:ascii="Times New Roman" w:hAnsi="Times New Roman" w:cs="Times New Roman"/>
          <w:b/>
          <w:color w:val="auto"/>
          <w:highlight w:val="none"/>
        </w:rPr>
        <w:t>六  签订合同</w:t>
      </w:r>
      <w:bookmarkEnd w:id="20"/>
    </w:p>
    <w:p w14:paraId="0D0EE65D">
      <w:pPr>
        <w:pStyle w:val="17"/>
        <w:spacing w:line="440" w:lineRule="exact"/>
        <w:rPr>
          <w:rFonts w:hint="default" w:ascii="Times New Roman" w:hAnsi="Times New Roman" w:cs="Times New Roman"/>
          <w:color w:val="auto"/>
          <w:highlight w:val="none"/>
        </w:rPr>
      </w:pPr>
      <w:r>
        <w:rPr>
          <w:rFonts w:hint="default" w:ascii="Times New Roman" w:hAnsi="Times New Roman" w:cs="Times New Roman"/>
          <w:b/>
          <w:color w:val="auto"/>
          <w:highlight w:val="none"/>
        </w:rPr>
        <w:t>22.成交通知</w:t>
      </w:r>
    </w:p>
    <w:p w14:paraId="4AB2F7B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22.1采购代理机构将在评标结束2个工作日内将评标结果送采购人，采购人应当自收到报告之日在5个工作日内按照采购结果报告中推荐的排名第一的成交候选供应商确定为成交供应商。</w:t>
      </w:r>
    </w:p>
    <w:p w14:paraId="71109DA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22.2采购代理机构向成交供应商发成交通知书并向未成交的供应商发采购结果通知。</w:t>
      </w:r>
    </w:p>
    <w:p w14:paraId="66C013A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22.3采购代理机构在向成交供应商发出成交通知书的同时在中国政府采购网</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"http://www.ccgp.gov.cn/"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www.ccgp.gov.cn/</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、广西壮族自治区政府采购网http://zfcg.gxzf.gov.cn/、上发布采购结果公告。</w:t>
      </w:r>
    </w:p>
    <w:p w14:paraId="110F8F4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22.4采购代理机构无义务向未成交的供应商解释未成交原因和退还磋商响应文件。</w:t>
      </w:r>
    </w:p>
    <w:p w14:paraId="6F3B5589">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23.合同授予标准</w:t>
      </w:r>
    </w:p>
    <w:p w14:paraId="56C15A1C">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23.1合同将授予被确定为实质上响应采购人需求，具备履行合同能力，采购结果报告中推荐的排名第一的成交候选供应商为成交供应商。 </w:t>
      </w:r>
    </w:p>
    <w:p w14:paraId="6E8AD7DD">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24.签订合同</w:t>
      </w:r>
    </w:p>
    <w:p w14:paraId="1CD103B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24.1采购人与成交供应商应当在成交通知书发出之日起9日内签订政府采购合同。按照采购文件确定的事项签订政府采购合同。成交通知书对采购人和成交供应商均具有法律效力。成交通知书发出后，采购人改变成交结果的，或者成交供应商放弃成交项目的，磋商保证金不予退还，并上缴同级财政国库，应当依法承担法律责任。</w:t>
      </w:r>
    </w:p>
    <w:p w14:paraId="6A0A192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24.2采购单位自采购合同签订之日起在2个工作日内（争取1个工作日内），将政府采购合同通过委托的政府采购代理机构在财政部门指定的媒体上公告，但政府采购合同中涉及国家秘密、商业秘密的内容除外。</w:t>
      </w:r>
    </w:p>
    <w:p w14:paraId="7412CB8C">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24.3成交供应商因不可抗力或者自身原因不能履行采购合同的，采购人可以与排名第二的成交候选供应商签订采购合同，以此类推。</w:t>
      </w:r>
    </w:p>
    <w:p w14:paraId="18A96FE9">
      <w:pPr>
        <w:pStyle w:val="17"/>
        <w:spacing w:line="440" w:lineRule="exact"/>
        <w:ind w:firstLine="4246" w:firstLineChars="2014"/>
        <w:outlineLvl w:val="2"/>
        <w:rPr>
          <w:rFonts w:hint="default" w:ascii="Times New Roman" w:hAnsi="Times New Roman" w:cs="Times New Roman"/>
          <w:b/>
          <w:color w:val="auto"/>
          <w:highlight w:val="none"/>
        </w:rPr>
      </w:pPr>
      <w:bookmarkStart w:id="21" w:name="_Toc6864"/>
    </w:p>
    <w:p w14:paraId="4A212E03">
      <w:pPr>
        <w:pStyle w:val="17"/>
        <w:spacing w:line="440" w:lineRule="exact"/>
        <w:jc w:val="center"/>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七  其他事项</w:t>
      </w:r>
      <w:bookmarkEnd w:id="21"/>
    </w:p>
    <w:p w14:paraId="69341AEB">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25.履约保证金</w:t>
      </w:r>
    </w:p>
    <w:p w14:paraId="56A50899">
      <w:pPr>
        <w:pStyle w:val="17"/>
        <w:spacing w:line="440" w:lineRule="exact"/>
        <w:ind w:left="-8" w:firstLine="4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25.1履约保证金为：</w:t>
      </w:r>
      <w:r>
        <w:rPr>
          <w:rFonts w:hint="default" w:ascii="Times New Roman" w:hAnsi="Times New Roman" w:cs="Times New Roman"/>
          <w:color w:val="auto"/>
          <w:highlight w:val="none"/>
          <w:lang w:eastAsia="zh-CN"/>
        </w:rPr>
        <w:t>无。</w:t>
      </w:r>
    </w:p>
    <w:p w14:paraId="6A7E681B">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26.成交服务费</w:t>
      </w:r>
    </w:p>
    <w:p w14:paraId="6147F208">
      <w:pPr>
        <w:pStyle w:val="17"/>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1、招标代理费：根据国家发改办【2003】857号文，招标代理费由中标单位交纳，含在磋商报价内，招标代理费金额按国家计委计价格【2002】1980号文规定的“招标代理服务收费标准”执行。 按照（服务招标类型）向成交人收取。签订合同前，成交人应向</w:t>
      </w:r>
      <w:r>
        <w:rPr>
          <w:rFonts w:hint="eastAsia" w:ascii="Times New Roman" w:hAnsi="Times New Roman" w:cs="Times New Roman"/>
          <w:color w:val="auto"/>
          <w:szCs w:val="21"/>
          <w:highlight w:val="none"/>
          <w:lang w:eastAsia="zh-CN"/>
        </w:rPr>
        <w:t>广西朗亿工程咨询有限公司</w:t>
      </w:r>
      <w:r>
        <w:rPr>
          <w:rFonts w:hint="default" w:ascii="Times New Roman" w:hAnsi="Times New Roman" w:cs="Times New Roman"/>
          <w:color w:val="auto"/>
          <w:szCs w:val="21"/>
          <w:highlight w:val="none"/>
        </w:rPr>
        <w:t>一次付清代理服务费，否则，采购代理机构将视之为违约，取消该成交决定。</w:t>
      </w:r>
    </w:p>
    <w:p w14:paraId="2210F568">
      <w:pPr>
        <w:pStyle w:val="17"/>
        <w:spacing w:line="42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代理服务收费标准：</w:t>
      </w:r>
    </w:p>
    <w:tbl>
      <w:tblPr>
        <w:tblStyle w:val="33"/>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2133"/>
        <w:gridCol w:w="2121"/>
        <w:gridCol w:w="2233"/>
      </w:tblGrid>
      <w:tr w14:paraId="413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853" w:type="dxa"/>
            <w:vAlign w:val="top"/>
          </w:tcPr>
          <w:p w14:paraId="5EB54752">
            <w:pPr>
              <w:pStyle w:val="17"/>
              <w:spacing w:line="42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mc:AlternateContent>
                <mc:Choice Requires="wps">
                  <w:drawing>
                    <wp:anchor distT="0" distB="0" distL="114300" distR="114300" simplePos="0" relativeHeight="251659264" behindDoc="0" locked="0" layoutInCell="1" allowOverlap="1">
                      <wp:simplePos x="0" y="0"/>
                      <wp:positionH relativeFrom="column">
                        <wp:posOffset>391795</wp:posOffset>
                      </wp:positionH>
                      <wp:positionV relativeFrom="paragraph">
                        <wp:posOffset>71755</wp:posOffset>
                      </wp:positionV>
                      <wp:extent cx="1371600" cy="693420"/>
                      <wp:effectExtent l="1905" t="4445" r="17145" b="6985"/>
                      <wp:wrapNone/>
                      <wp:docPr id="4" name="Line 2"/>
                      <wp:cNvGraphicFramePr/>
                      <a:graphic xmlns:a="http://schemas.openxmlformats.org/drawingml/2006/main">
                        <a:graphicData uri="http://schemas.microsoft.com/office/word/2010/wordprocessingShape">
                          <wps:wsp>
                            <wps:cNvCnPr/>
                            <wps:spPr>
                              <a:xfrm>
                                <a:off x="0" y="0"/>
                                <a:ext cx="1371600" cy="6934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30.85pt;margin-top:5.65pt;height:54.6pt;width:108pt;z-index:251659264;mso-width-relative:page;mso-height-relative:page;" filled="f" stroked="t" coordsize="21600,21600" o:gfxdata="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7GXJLWAAAA&#10;CQEAAA8AAAAAAAAAAQAgAAAAIgAAAGRycy9kb3ducmV2LnhtbFBLAQIUABQAAAAIAIdO4kCWJS5R&#10;5gEAAOwDAAAOAAAAAAAAAAEAIAAAACU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Cs w:val="21"/>
                <w:highlight w:val="none"/>
              </w:rPr>
              <w:t>费率        服务类型</w:t>
            </w:r>
          </w:p>
          <w:p w14:paraId="4566742E">
            <w:pPr>
              <w:pStyle w:val="17"/>
              <w:spacing w:line="42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113030</wp:posOffset>
                      </wp:positionV>
                      <wp:extent cx="1828800" cy="396240"/>
                      <wp:effectExtent l="1270" t="4445" r="17780" b="18415"/>
                      <wp:wrapNone/>
                      <wp:docPr id="3" name="Line 3"/>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margin-left:-5.4pt;margin-top:8.9pt;height:31.2pt;width:144pt;z-index:251660288;mso-width-relative:page;mso-height-relative:page;" filled="f" stroked="t" coordsize="21600,21600" o:gfxdata="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WNt+/1wAA&#10;AAkBAAAPAAAAAAAAAAEAIAAAACIAAABkcnMvZG93bnJldi54bWxQSwECFAAUAAAACACHTuJACtfa&#10;6uYBAADsAwAADgAAAAAAAAABACAAAAAmAQAAZHJzL2Uyb0RvYy54bWxQSwUGAAAAAAYABgBZAQAA&#10;fgUAAAAA&#10;">
                      <v:fill on="f" focussize="0,0"/>
                      <v:stroke color="#000000" joinstyle="round"/>
                      <v:imagedata o:title=""/>
                      <o:lock v:ext="edit" aspectratio="f"/>
                    </v:line>
                  </w:pict>
                </mc:Fallback>
              </mc:AlternateContent>
            </w:r>
          </w:p>
          <w:p w14:paraId="08A81CB6">
            <w:pPr>
              <w:pStyle w:val="17"/>
              <w:spacing w:line="42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成交金额（万元）</w:t>
            </w:r>
          </w:p>
        </w:tc>
        <w:tc>
          <w:tcPr>
            <w:tcW w:w="2133" w:type="dxa"/>
            <w:vAlign w:val="center"/>
          </w:tcPr>
          <w:p w14:paraId="6B427086">
            <w:pPr>
              <w:pStyle w:val="17"/>
              <w:spacing w:line="4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货物招标</w:t>
            </w:r>
          </w:p>
        </w:tc>
        <w:tc>
          <w:tcPr>
            <w:tcW w:w="2121" w:type="dxa"/>
            <w:vAlign w:val="center"/>
          </w:tcPr>
          <w:p w14:paraId="0991614F">
            <w:pPr>
              <w:pStyle w:val="17"/>
              <w:spacing w:line="4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服务招标</w:t>
            </w:r>
          </w:p>
        </w:tc>
        <w:tc>
          <w:tcPr>
            <w:tcW w:w="2233" w:type="dxa"/>
            <w:vAlign w:val="center"/>
          </w:tcPr>
          <w:p w14:paraId="6BF2C42B">
            <w:pPr>
              <w:pStyle w:val="17"/>
              <w:spacing w:line="4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工程招标</w:t>
            </w:r>
          </w:p>
        </w:tc>
      </w:tr>
      <w:tr w14:paraId="3788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4AD8DC54">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100以下</w:t>
            </w:r>
          </w:p>
        </w:tc>
        <w:tc>
          <w:tcPr>
            <w:tcW w:w="2133" w:type="dxa"/>
            <w:vAlign w:val="top"/>
          </w:tcPr>
          <w:p w14:paraId="1F9F845B">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w:t>
            </w:r>
          </w:p>
        </w:tc>
        <w:tc>
          <w:tcPr>
            <w:tcW w:w="2121" w:type="dxa"/>
            <w:vAlign w:val="top"/>
          </w:tcPr>
          <w:p w14:paraId="4E19FDA7">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w:t>
            </w:r>
          </w:p>
        </w:tc>
        <w:tc>
          <w:tcPr>
            <w:tcW w:w="2233" w:type="dxa"/>
            <w:vAlign w:val="top"/>
          </w:tcPr>
          <w:p w14:paraId="49C65C16">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r>
      <w:tr w14:paraId="056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61FA973D">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100-500</w:t>
            </w:r>
          </w:p>
        </w:tc>
        <w:tc>
          <w:tcPr>
            <w:tcW w:w="2133" w:type="dxa"/>
            <w:vAlign w:val="top"/>
          </w:tcPr>
          <w:p w14:paraId="1E6DBCAD">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w:t>
            </w:r>
          </w:p>
        </w:tc>
        <w:tc>
          <w:tcPr>
            <w:tcW w:w="2121" w:type="dxa"/>
            <w:vAlign w:val="top"/>
          </w:tcPr>
          <w:p w14:paraId="2C1A8F4F">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0.8%</w:t>
            </w:r>
          </w:p>
        </w:tc>
        <w:tc>
          <w:tcPr>
            <w:tcW w:w="2233" w:type="dxa"/>
            <w:vAlign w:val="top"/>
          </w:tcPr>
          <w:p w14:paraId="154B3B6F">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0.7%</w:t>
            </w:r>
          </w:p>
        </w:tc>
      </w:tr>
      <w:tr w14:paraId="1D67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2AC55B56">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500-1000</w:t>
            </w:r>
          </w:p>
        </w:tc>
        <w:tc>
          <w:tcPr>
            <w:tcW w:w="2133" w:type="dxa"/>
            <w:vAlign w:val="top"/>
          </w:tcPr>
          <w:p w14:paraId="0A476021">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0.8%</w:t>
            </w:r>
          </w:p>
        </w:tc>
        <w:tc>
          <w:tcPr>
            <w:tcW w:w="2121" w:type="dxa"/>
            <w:vAlign w:val="top"/>
          </w:tcPr>
          <w:p w14:paraId="7F25BA5C">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0.45%</w:t>
            </w:r>
          </w:p>
        </w:tc>
        <w:tc>
          <w:tcPr>
            <w:tcW w:w="2233" w:type="dxa"/>
            <w:vAlign w:val="top"/>
          </w:tcPr>
          <w:p w14:paraId="78F3C4A3">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0.55%</w:t>
            </w:r>
          </w:p>
        </w:tc>
      </w:tr>
      <w:tr w14:paraId="3267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2687332D">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1000-5000</w:t>
            </w:r>
          </w:p>
        </w:tc>
        <w:tc>
          <w:tcPr>
            <w:tcW w:w="2133" w:type="dxa"/>
            <w:vAlign w:val="top"/>
          </w:tcPr>
          <w:p w14:paraId="4628FB2D">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0.5%</w:t>
            </w:r>
          </w:p>
        </w:tc>
        <w:tc>
          <w:tcPr>
            <w:tcW w:w="2121" w:type="dxa"/>
            <w:vAlign w:val="top"/>
          </w:tcPr>
          <w:p w14:paraId="1E983924">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0.25%</w:t>
            </w:r>
          </w:p>
        </w:tc>
        <w:tc>
          <w:tcPr>
            <w:tcW w:w="2233" w:type="dxa"/>
            <w:vAlign w:val="top"/>
          </w:tcPr>
          <w:p w14:paraId="2461D187">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0.35%</w:t>
            </w:r>
          </w:p>
        </w:tc>
      </w:tr>
      <w:tr w14:paraId="03ED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336CBC9D">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5000-10000</w:t>
            </w:r>
          </w:p>
        </w:tc>
        <w:tc>
          <w:tcPr>
            <w:tcW w:w="2133" w:type="dxa"/>
            <w:vAlign w:val="top"/>
          </w:tcPr>
          <w:p w14:paraId="194D8999">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0.25%</w:t>
            </w:r>
          </w:p>
        </w:tc>
        <w:tc>
          <w:tcPr>
            <w:tcW w:w="2121" w:type="dxa"/>
            <w:vAlign w:val="top"/>
          </w:tcPr>
          <w:p w14:paraId="20A5B930">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0.1%</w:t>
            </w:r>
          </w:p>
        </w:tc>
        <w:tc>
          <w:tcPr>
            <w:tcW w:w="2233" w:type="dxa"/>
            <w:vAlign w:val="top"/>
          </w:tcPr>
          <w:p w14:paraId="7E682BEE">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w:t>
            </w:r>
          </w:p>
        </w:tc>
      </w:tr>
      <w:tr w14:paraId="43B6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69A949E2">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10000-100000</w:t>
            </w:r>
          </w:p>
        </w:tc>
        <w:tc>
          <w:tcPr>
            <w:tcW w:w="2133" w:type="dxa"/>
            <w:vAlign w:val="top"/>
          </w:tcPr>
          <w:p w14:paraId="5AC126BE">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0.05%</w:t>
            </w:r>
          </w:p>
        </w:tc>
        <w:tc>
          <w:tcPr>
            <w:tcW w:w="2121" w:type="dxa"/>
            <w:vAlign w:val="top"/>
          </w:tcPr>
          <w:p w14:paraId="34664906">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0.05%</w:t>
            </w:r>
          </w:p>
        </w:tc>
        <w:tc>
          <w:tcPr>
            <w:tcW w:w="2233" w:type="dxa"/>
            <w:vAlign w:val="top"/>
          </w:tcPr>
          <w:p w14:paraId="281AD992">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0.05%</w:t>
            </w:r>
          </w:p>
        </w:tc>
      </w:tr>
      <w:tr w14:paraId="336D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358BA190">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100000以上</w:t>
            </w:r>
          </w:p>
        </w:tc>
        <w:tc>
          <w:tcPr>
            <w:tcW w:w="2133" w:type="dxa"/>
            <w:vAlign w:val="top"/>
          </w:tcPr>
          <w:p w14:paraId="7CFF274F">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0.01%</w:t>
            </w:r>
          </w:p>
        </w:tc>
        <w:tc>
          <w:tcPr>
            <w:tcW w:w="2121" w:type="dxa"/>
            <w:vAlign w:val="top"/>
          </w:tcPr>
          <w:p w14:paraId="224EDB55">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0.01%</w:t>
            </w:r>
          </w:p>
        </w:tc>
        <w:tc>
          <w:tcPr>
            <w:tcW w:w="2233" w:type="dxa"/>
            <w:vAlign w:val="top"/>
          </w:tcPr>
          <w:p w14:paraId="171DE267">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0.01%</w:t>
            </w:r>
          </w:p>
        </w:tc>
      </w:tr>
    </w:tbl>
    <w:p w14:paraId="5E24C5B8">
      <w:pPr>
        <w:pStyle w:val="17"/>
        <w:spacing w:line="42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注：招标代理服务收费按差额定率累进法计算。例如：某货物招标代理业务中标金额为6000万元，计算招标代理服务收费额如下：</w:t>
      </w:r>
    </w:p>
    <w:p w14:paraId="308C1814">
      <w:pPr>
        <w:pStyle w:val="17"/>
        <w:spacing w:line="42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100万元×1.5%=1.5万元</w:t>
      </w:r>
    </w:p>
    <w:p w14:paraId="2A7BAAF1">
      <w:pPr>
        <w:pStyle w:val="17"/>
        <w:spacing w:line="42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（500-100）万元×1.1%=4.4万元</w:t>
      </w:r>
    </w:p>
    <w:p w14:paraId="50942AA9">
      <w:pPr>
        <w:pStyle w:val="17"/>
        <w:spacing w:line="42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（1000-500）万元×0.8%=4万元</w:t>
      </w:r>
    </w:p>
    <w:p w14:paraId="51090B6B">
      <w:pPr>
        <w:pStyle w:val="17"/>
        <w:spacing w:line="42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（5000-1000）万元×0.5%=20万元</w:t>
      </w:r>
    </w:p>
    <w:p w14:paraId="021F1757">
      <w:pPr>
        <w:pStyle w:val="17"/>
        <w:spacing w:line="42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（6000-5000）万元×0.25%=2.5万元</w:t>
      </w:r>
    </w:p>
    <w:p w14:paraId="677DE489">
      <w:pPr>
        <w:pStyle w:val="17"/>
        <w:spacing w:line="42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合计收费=1.5+4.4+4+20+2.5=32.4（万元）</w:t>
      </w:r>
    </w:p>
    <w:p w14:paraId="50FE4600">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27.解释权</w:t>
      </w:r>
    </w:p>
    <w:p w14:paraId="0F74EEBC">
      <w:pPr>
        <w:pStyle w:val="17"/>
        <w:spacing w:line="440" w:lineRule="exact"/>
        <w:ind w:firstLine="411" w:firstLineChars="196"/>
        <w:rPr>
          <w:rFonts w:hint="default" w:ascii="Times New Roman" w:hAnsi="Times New Roman" w:cs="Times New Roman"/>
          <w:color w:val="auto"/>
          <w:highlight w:val="none"/>
        </w:rPr>
      </w:pPr>
      <w:r>
        <w:rPr>
          <w:rFonts w:hint="default" w:ascii="Times New Roman" w:hAnsi="Times New Roman" w:cs="Times New Roman"/>
          <w:color w:val="auto"/>
          <w:highlight w:val="none"/>
        </w:rPr>
        <w:t>27.1本磋商采购文件是根据《中华人民共和国政府采购法》有关政策、法规和参照国际惯例编制，解释权属本采购代理机构。</w:t>
      </w:r>
    </w:p>
    <w:p w14:paraId="45C33584">
      <w:pPr>
        <w:pStyle w:val="17"/>
        <w:spacing w:line="440" w:lineRule="exact"/>
        <w:rPr>
          <w:rFonts w:hint="default" w:ascii="Times New Roman" w:hAnsi="Times New Roman" w:cs="Times New Roman"/>
          <w:color w:val="auto"/>
          <w:highlight w:val="none"/>
        </w:rPr>
      </w:pPr>
      <w:r>
        <w:rPr>
          <w:rFonts w:hint="default" w:ascii="Times New Roman" w:hAnsi="Times New Roman" w:cs="Times New Roman"/>
          <w:b/>
          <w:color w:val="auto"/>
          <w:highlight w:val="none"/>
        </w:rPr>
        <w:t>28.有关事宜</w:t>
      </w:r>
    </w:p>
    <w:p w14:paraId="5574E8EC">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28.1所有与本磋商采购文件有关的函电请按下列通讯地址联系：</w:t>
      </w:r>
    </w:p>
    <w:p w14:paraId="6F0D379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名    称：</w:t>
      </w:r>
      <w:r>
        <w:rPr>
          <w:rFonts w:hint="eastAsia" w:ascii="Times New Roman" w:hAnsi="Times New Roman" w:cs="Times New Roman"/>
          <w:color w:val="auto"/>
          <w:highlight w:val="none"/>
          <w:lang w:val="en-US" w:eastAsia="zh-CN"/>
        </w:rPr>
        <w:t>广西朗亿工程咨询有限公司</w:t>
      </w:r>
    </w:p>
    <w:p w14:paraId="7F140A4B">
      <w:pPr>
        <w:pStyle w:val="17"/>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    址：</w:t>
      </w:r>
      <w:r>
        <w:rPr>
          <w:rFonts w:hint="eastAsia" w:ascii="Times New Roman" w:hAnsi="Times New Roman" w:cs="Times New Roman"/>
          <w:color w:val="auto"/>
          <w:highlight w:val="none"/>
          <w:lang w:val="en-US" w:eastAsia="zh-CN"/>
        </w:rPr>
        <w:t>贺州市八步区城东新区回建地C地块137/138号</w:t>
      </w:r>
    </w:p>
    <w:p w14:paraId="219AF70D">
      <w:pPr>
        <w:pStyle w:val="17"/>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联系方式：</w:t>
      </w:r>
      <w:r>
        <w:rPr>
          <w:rFonts w:hint="eastAsia" w:ascii="Times New Roman" w:hAnsi="Times New Roman" w:cs="Times New Roman"/>
          <w:color w:val="auto"/>
          <w:highlight w:val="none"/>
          <w:lang w:val="en-US" w:eastAsia="zh-CN"/>
        </w:rPr>
        <w:t>15078114537</w:t>
      </w:r>
    </w:p>
    <w:p w14:paraId="205F753E">
      <w:pPr>
        <w:pStyle w:val="17"/>
        <w:tabs>
          <w:tab w:val="left" w:pos="840"/>
        </w:tabs>
        <w:spacing w:line="440" w:lineRule="exact"/>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监督管理部门：贺州市财政局政府采购监督管理科</w:t>
      </w:r>
    </w:p>
    <w:p w14:paraId="54686C85">
      <w:pPr>
        <w:pStyle w:val="17"/>
        <w:tabs>
          <w:tab w:val="left" w:pos="840"/>
        </w:tabs>
        <w:spacing w:line="440" w:lineRule="exact"/>
        <w:ind w:firstLine="420" w:firstLineChars="200"/>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联系电话：</w:t>
      </w:r>
      <w:r>
        <w:rPr>
          <w:rFonts w:hint="eastAsia" w:ascii="Times New Roman" w:hAnsi="Times New Roman" w:cs="Times New Roman"/>
          <w:color w:val="auto"/>
          <w:szCs w:val="21"/>
          <w:highlight w:val="none"/>
          <w:lang w:eastAsia="zh-CN"/>
        </w:rPr>
        <w:t>0774-5135553</w:t>
      </w:r>
    </w:p>
    <w:p w14:paraId="295EC790">
      <w:pPr>
        <w:pStyle w:val="17"/>
        <w:numPr>
          <w:ilvl w:val="0"/>
          <w:numId w:val="3"/>
        </w:numPr>
        <w:jc w:val="center"/>
        <w:rPr>
          <w:rFonts w:hint="default" w:ascii="Times New Roman" w:hAnsi="Times New Roman" w:eastAsia="微软雅黑" w:cs="Times New Roman"/>
          <w:b w:val="0"/>
          <w:bCs/>
          <w:color w:val="auto"/>
          <w:spacing w:val="30"/>
          <w:kern w:val="2"/>
          <w:sz w:val="36"/>
          <w:szCs w:val="36"/>
          <w:highlight w:val="none"/>
          <w:lang w:val="en-US" w:eastAsia="zh-CN" w:bidi="ar-SA"/>
        </w:rPr>
      </w:pPr>
      <w:r>
        <w:rPr>
          <w:rFonts w:hint="default" w:ascii="Times New Roman" w:hAnsi="Times New Roman" w:cs="Times New Roman"/>
          <w:color w:val="auto"/>
          <w:highlight w:val="none"/>
        </w:rPr>
        <w:br w:type="page"/>
      </w:r>
      <w:bookmarkStart w:id="22" w:name="_Toc10858"/>
      <w:r>
        <w:rPr>
          <w:rFonts w:hint="default" w:ascii="Times New Roman" w:hAnsi="Times New Roman" w:eastAsia="微软雅黑" w:cs="Times New Roman"/>
          <w:b w:val="0"/>
          <w:bCs/>
          <w:color w:val="auto"/>
          <w:spacing w:val="30"/>
          <w:kern w:val="2"/>
          <w:sz w:val="36"/>
          <w:szCs w:val="36"/>
          <w:highlight w:val="none"/>
          <w:lang w:val="en-US" w:eastAsia="zh-CN" w:bidi="ar-SA"/>
        </w:rPr>
        <w:t>采购需求</w:t>
      </w:r>
    </w:p>
    <w:p w14:paraId="7FD5BDCF">
      <w:pPr>
        <w:keepNext w:val="0"/>
        <w:keepLines w:val="0"/>
        <w:pageBreakBefore w:val="0"/>
        <w:kinsoku/>
        <w:overflowPunct/>
        <w:topLinePunct w:val="0"/>
        <w:autoSpaceDE/>
        <w:autoSpaceDN/>
        <w:bidi w:val="0"/>
        <w:adjustRightInd/>
        <w:snapToGrid/>
        <w:spacing w:line="240" w:lineRule="atLeast"/>
        <w:jc w:val="center"/>
        <w:textAlignment w:val="auto"/>
        <w:rPr>
          <w:rFonts w:hAnsi="宋体" w:cs="仿宋"/>
          <w:b/>
          <w:color w:val="auto"/>
          <w:kern w:val="0"/>
          <w:sz w:val="32"/>
          <w:szCs w:val="32"/>
          <w:highlight w:val="none"/>
        </w:rPr>
      </w:pPr>
      <w:r>
        <w:rPr>
          <w:rFonts w:hint="eastAsia" w:cs="Times New Roman"/>
          <w:b/>
          <w:color w:val="auto"/>
          <w:kern w:val="0"/>
          <w:sz w:val="28"/>
          <w:szCs w:val="28"/>
          <w:highlight w:val="none"/>
          <w:lang w:eastAsia="zh-CN"/>
        </w:rPr>
        <w:t>贺州市涉重金属风险排查项目（重）</w:t>
      </w:r>
      <w:r>
        <w:rPr>
          <w:rFonts w:hint="default" w:ascii="Times New Roman" w:hAnsi="Times New Roman" w:cs="Times New Roman"/>
          <w:b/>
          <w:color w:val="auto"/>
          <w:kern w:val="0"/>
          <w:sz w:val="28"/>
          <w:szCs w:val="28"/>
          <w:highlight w:val="none"/>
        </w:rPr>
        <w:t>需求表</w:t>
      </w:r>
    </w:p>
    <w:tbl>
      <w:tblPr>
        <w:tblStyle w:val="34"/>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76"/>
        <w:gridCol w:w="1188"/>
        <w:gridCol w:w="3932"/>
        <w:gridCol w:w="690"/>
        <w:gridCol w:w="690"/>
      </w:tblGrid>
      <w:tr w14:paraId="771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5796430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序号</w:t>
            </w:r>
          </w:p>
        </w:tc>
        <w:tc>
          <w:tcPr>
            <w:tcW w:w="876" w:type="dxa"/>
            <w:vAlign w:val="center"/>
          </w:tcPr>
          <w:p w14:paraId="0DAB6E43">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单位名称</w:t>
            </w:r>
          </w:p>
        </w:tc>
        <w:tc>
          <w:tcPr>
            <w:tcW w:w="1188" w:type="dxa"/>
            <w:vAlign w:val="center"/>
          </w:tcPr>
          <w:p w14:paraId="74A2B07C">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监测事项或任务名称</w:t>
            </w:r>
          </w:p>
        </w:tc>
        <w:tc>
          <w:tcPr>
            <w:tcW w:w="3932" w:type="dxa"/>
            <w:vAlign w:val="center"/>
          </w:tcPr>
          <w:p w14:paraId="7B1BAE4E">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监测项目</w:t>
            </w:r>
          </w:p>
        </w:tc>
        <w:tc>
          <w:tcPr>
            <w:tcW w:w="690" w:type="dxa"/>
            <w:vAlign w:val="center"/>
          </w:tcPr>
          <w:p w14:paraId="780B51F7">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监测频次</w:t>
            </w:r>
          </w:p>
        </w:tc>
        <w:tc>
          <w:tcPr>
            <w:tcW w:w="690" w:type="dxa"/>
            <w:vAlign w:val="center"/>
          </w:tcPr>
          <w:p w14:paraId="758AEE4E">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预算金额</w:t>
            </w:r>
          </w:p>
        </w:tc>
      </w:tr>
      <w:tr w14:paraId="670B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0FDDE2FB">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w:t>
            </w:r>
          </w:p>
        </w:tc>
        <w:tc>
          <w:tcPr>
            <w:tcW w:w="876" w:type="dxa"/>
            <w:vAlign w:val="center"/>
          </w:tcPr>
          <w:p w14:paraId="16A8903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贺州市生态环境局</w:t>
            </w:r>
          </w:p>
        </w:tc>
        <w:tc>
          <w:tcPr>
            <w:tcW w:w="1188" w:type="dxa"/>
            <w:vAlign w:val="center"/>
          </w:tcPr>
          <w:p w14:paraId="02C471D0">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涉重金属企业监测</w:t>
            </w:r>
          </w:p>
        </w:tc>
        <w:tc>
          <w:tcPr>
            <w:tcW w:w="3932" w:type="dxa"/>
            <w:vAlign w:val="center"/>
          </w:tcPr>
          <w:p w14:paraId="33F6987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按照各环境质量标准、行业标准以及企业排污许可证要求，包括但不限于对涉重金属企业排放污染物、地下水监测井、周边地表水、土壤中的铅（Pb）、汞（Hg）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镉（Cd）</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砷（As）</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铬（Cr）</w:t>
            </w:r>
            <w:r>
              <w:rPr>
                <w:rFonts w:hint="default" w:ascii="Times New Roman" w:hAnsi="Times New Roman" w:eastAsia="宋体" w:cs="Times New Roman"/>
                <w:color w:val="auto"/>
                <w:kern w:val="2"/>
                <w:sz w:val="21"/>
                <w:szCs w:val="20"/>
                <w:highlight w:val="none"/>
                <w:lang w:val="en-US" w:eastAsia="zh-CN" w:bidi="ar-SA"/>
              </w:rPr>
              <w:t>（总铬和</w:t>
            </w:r>
            <w:r>
              <w:rPr>
                <w:rFonts w:hint="eastAsia" w:ascii="Times New Roman" w:hAnsi="Times New Roman" w:eastAsia="宋体" w:cs="Times New Roman"/>
                <w:color w:val="auto"/>
                <w:kern w:val="2"/>
                <w:sz w:val="21"/>
                <w:szCs w:val="20"/>
                <w:highlight w:val="none"/>
                <w:lang w:val="en-US" w:eastAsia="zh-CN" w:bidi="ar-SA"/>
              </w:rPr>
              <w:t>六价铬</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铜（Cu）</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镍（Ni）</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锌（Zn）</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银（Ag）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钴（Co）</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钨（W）</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钼（Mo）进行监</w:t>
            </w:r>
            <w:r>
              <w:rPr>
                <w:rFonts w:hint="default" w:ascii="Times New Roman" w:hAnsi="Times New Roman" w:eastAsia="宋体" w:cs="Times New Roman"/>
                <w:color w:val="auto"/>
                <w:kern w:val="2"/>
                <w:sz w:val="21"/>
                <w:szCs w:val="20"/>
                <w:highlight w:val="none"/>
                <w:lang w:val="en-US" w:eastAsia="zh-CN" w:bidi="ar-SA"/>
              </w:rPr>
              <w:t>测</w:t>
            </w:r>
            <w:r>
              <w:rPr>
                <w:rFonts w:hint="eastAsia" w:ascii="Times New Roman" w:hAnsi="Times New Roman" w:eastAsia="宋体" w:cs="Times New Roman"/>
                <w:color w:val="auto"/>
                <w:kern w:val="2"/>
                <w:sz w:val="21"/>
                <w:szCs w:val="20"/>
                <w:highlight w:val="none"/>
                <w:lang w:val="en-US" w:eastAsia="zh-CN" w:bidi="ar-SA"/>
              </w:rPr>
              <w:t>。</w:t>
            </w:r>
          </w:p>
        </w:tc>
        <w:tc>
          <w:tcPr>
            <w:tcW w:w="690" w:type="dxa"/>
            <w:vAlign w:val="center"/>
          </w:tcPr>
          <w:p w14:paraId="1919CE8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按涉重金属企业数量确定</w:t>
            </w:r>
          </w:p>
        </w:tc>
        <w:tc>
          <w:tcPr>
            <w:tcW w:w="690" w:type="dxa"/>
            <w:vAlign w:val="center"/>
          </w:tcPr>
          <w:p w14:paraId="3FEAC57B">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8万</w:t>
            </w:r>
          </w:p>
        </w:tc>
      </w:tr>
      <w:tr w14:paraId="0BEC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41B260BD">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w:t>
            </w:r>
          </w:p>
        </w:tc>
        <w:tc>
          <w:tcPr>
            <w:tcW w:w="876" w:type="dxa"/>
            <w:vMerge w:val="restart"/>
            <w:vAlign w:val="center"/>
          </w:tcPr>
          <w:p w14:paraId="178E36E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八步生态环境局</w:t>
            </w:r>
          </w:p>
        </w:tc>
        <w:tc>
          <w:tcPr>
            <w:tcW w:w="1188" w:type="dxa"/>
            <w:vAlign w:val="center"/>
          </w:tcPr>
          <w:p w14:paraId="6AB58093">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砖瓦行业涉重金属水质监测及循环水池涉铊监测</w:t>
            </w:r>
          </w:p>
        </w:tc>
        <w:tc>
          <w:tcPr>
            <w:tcW w:w="3932" w:type="dxa"/>
            <w:vAlign w:val="center"/>
          </w:tcPr>
          <w:p w14:paraId="1CB9D8D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按照各环境质量标准、行业标准以及企业排污许可证要求，包括但不限于对砖瓦行业涉重金属水质、循环水池进行监测，必测项目：铊。</w:t>
            </w:r>
          </w:p>
        </w:tc>
        <w:tc>
          <w:tcPr>
            <w:tcW w:w="690" w:type="dxa"/>
            <w:vAlign w:val="center"/>
          </w:tcPr>
          <w:p w14:paraId="0179455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按砖瓦企业数量确定</w:t>
            </w:r>
          </w:p>
        </w:tc>
        <w:tc>
          <w:tcPr>
            <w:tcW w:w="690" w:type="dxa"/>
            <w:vAlign w:val="center"/>
          </w:tcPr>
          <w:p w14:paraId="4764F4F3">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2E82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2C4A062D">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w:t>
            </w:r>
          </w:p>
        </w:tc>
        <w:tc>
          <w:tcPr>
            <w:tcW w:w="876" w:type="dxa"/>
            <w:vMerge w:val="continue"/>
            <w:vAlign w:val="center"/>
          </w:tcPr>
          <w:p w14:paraId="37CB1CD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6C7CEA3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散乱污企业涉重金属监测</w:t>
            </w:r>
          </w:p>
        </w:tc>
        <w:tc>
          <w:tcPr>
            <w:tcW w:w="3932" w:type="dxa"/>
            <w:vAlign w:val="center"/>
          </w:tcPr>
          <w:p w14:paraId="7983EE83">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按照各环境质量标准，包括但不限于对散乱污企业排放污染物、周边地表水、土壤中的铅（Pb）、汞（Hg）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镉（Cd）</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砷（As）</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铬（Cr）</w:t>
            </w:r>
            <w:r>
              <w:rPr>
                <w:rFonts w:hint="default" w:ascii="Times New Roman" w:hAnsi="Times New Roman" w:eastAsia="宋体" w:cs="Times New Roman"/>
                <w:color w:val="auto"/>
                <w:kern w:val="2"/>
                <w:sz w:val="21"/>
                <w:szCs w:val="20"/>
                <w:highlight w:val="none"/>
                <w:lang w:val="en-US" w:eastAsia="zh-CN" w:bidi="ar-SA"/>
              </w:rPr>
              <w:t>（总铬和</w:t>
            </w:r>
            <w:r>
              <w:rPr>
                <w:rFonts w:hint="eastAsia" w:ascii="Times New Roman" w:hAnsi="Times New Roman" w:eastAsia="宋体" w:cs="Times New Roman"/>
                <w:color w:val="auto"/>
                <w:kern w:val="2"/>
                <w:sz w:val="21"/>
                <w:szCs w:val="20"/>
                <w:highlight w:val="none"/>
                <w:lang w:val="en-US" w:eastAsia="zh-CN" w:bidi="ar-SA"/>
              </w:rPr>
              <w:t>六价铬</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铜（Cu）</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镍（Ni）</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锌（Zn）</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银（Ag）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钴（Co）</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钨（W）</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钼（Mo）</w:t>
            </w:r>
            <w:r>
              <w:rPr>
                <w:rFonts w:hint="default" w:ascii="Times New Roman" w:hAnsi="Times New Roman" w:eastAsia="宋体" w:cs="Times New Roman"/>
                <w:color w:val="auto"/>
                <w:kern w:val="2"/>
                <w:sz w:val="21"/>
                <w:szCs w:val="20"/>
                <w:highlight w:val="none"/>
                <w:lang w:val="en-US" w:eastAsia="zh-CN" w:bidi="ar-SA"/>
              </w:rPr>
              <w:t>等</w:t>
            </w:r>
            <w:r>
              <w:rPr>
                <w:rFonts w:hint="eastAsia" w:ascii="Times New Roman" w:hAnsi="Times New Roman" w:eastAsia="宋体" w:cs="Times New Roman"/>
                <w:color w:val="auto"/>
                <w:kern w:val="2"/>
                <w:sz w:val="21"/>
                <w:szCs w:val="20"/>
                <w:highlight w:val="none"/>
                <w:lang w:val="en-US" w:eastAsia="zh-CN" w:bidi="ar-SA"/>
              </w:rPr>
              <w:t>进行监测。</w:t>
            </w:r>
          </w:p>
        </w:tc>
        <w:tc>
          <w:tcPr>
            <w:tcW w:w="690" w:type="dxa"/>
            <w:vAlign w:val="center"/>
          </w:tcPr>
          <w:p w14:paraId="00F9FE2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按散乱污企业数量确定</w:t>
            </w:r>
          </w:p>
        </w:tc>
        <w:tc>
          <w:tcPr>
            <w:tcW w:w="690" w:type="dxa"/>
            <w:vAlign w:val="center"/>
          </w:tcPr>
          <w:p w14:paraId="0F92CDA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59F2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129C68C1">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4</w:t>
            </w:r>
          </w:p>
        </w:tc>
        <w:tc>
          <w:tcPr>
            <w:tcW w:w="876" w:type="dxa"/>
            <w:vMerge w:val="continue"/>
            <w:vAlign w:val="center"/>
          </w:tcPr>
          <w:p w14:paraId="5F6A95D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6118341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涉重金属企业固废鉴别监测</w:t>
            </w:r>
          </w:p>
        </w:tc>
        <w:tc>
          <w:tcPr>
            <w:tcW w:w="3932" w:type="dxa"/>
            <w:vAlign w:val="center"/>
          </w:tcPr>
          <w:p w14:paraId="0811CE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按照固体废物（含危险废物）鉴别标准和技术规范，对涉重金属企业产生的固体废物（含危险废物）进行监测，鉴别内容包括但不限于易燃性、腐蚀性、反应性、浸出毒性等。</w:t>
            </w:r>
          </w:p>
        </w:tc>
        <w:tc>
          <w:tcPr>
            <w:tcW w:w="690" w:type="dxa"/>
            <w:vAlign w:val="center"/>
          </w:tcPr>
          <w:p w14:paraId="4BC4E60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按企业数量确定</w:t>
            </w:r>
          </w:p>
        </w:tc>
        <w:tc>
          <w:tcPr>
            <w:tcW w:w="690" w:type="dxa"/>
            <w:vAlign w:val="center"/>
          </w:tcPr>
          <w:p w14:paraId="6D79860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3DEC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4BB0441A">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w:t>
            </w:r>
          </w:p>
        </w:tc>
        <w:tc>
          <w:tcPr>
            <w:tcW w:w="876" w:type="dxa"/>
            <w:vMerge w:val="continue"/>
            <w:vAlign w:val="center"/>
          </w:tcPr>
          <w:p w14:paraId="7996C29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1B8C19A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 w:eastAsia="zh-CN" w:bidi="ar-SA"/>
              </w:rPr>
            </w:pPr>
            <w:r>
              <w:rPr>
                <w:rFonts w:hint="eastAsia" w:ascii="Times New Roman" w:hAnsi="Times New Roman" w:eastAsia="宋体" w:cs="Times New Roman"/>
                <w:color w:val="auto"/>
                <w:kern w:val="2"/>
                <w:sz w:val="21"/>
                <w:szCs w:val="20"/>
                <w:highlight w:val="none"/>
                <w:lang w:val="en" w:eastAsia="zh-CN" w:bidi="ar-SA"/>
              </w:rPr>
              <w:t>涉重金属应急监测</w:t>
            </w:r>
          </w:p>
        </w:tc>
        <w:tc>
          <w:tcPr>
            <w:tcW w:w="3932" w:type="dxa"/>
            <w:vAlign w:val="center"/>
          </w:tcPr>
          <w:p w14:paraId="60EBE93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周边环境质量开展应急监测，包括但不限于铅（Pb）、汞（Hg）、镉（Cd）、砷（As）、铬（Cr）（总铬和六价铬）、铜（Cu）、镍（Ni）、锌（Zn）、银（Ag）、钴（Co）、钨（W）、钼（Mo）等。</w:t>
            </w:r>
          </w:p>
        </w:tc>
        <w:tc>
          <w:tcPr>
            <w:tcW w:w="690" w:type="dxa"/>
            <w:vAlign w:val="center"/>
          </w:tcPr>
          <w:p w14:paraId="65E482F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11BE7289">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36BC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1D44ED15">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6</w:t>
            </w:r>
          </w:p>
        </w:tc>
        <w:tc>
          <w:tcPr>
            <w:tcW w:w="876" w:type="dxa"/>
            <w:vMerge w:val="continue"/>
            <w:vAlign w:val="center"/>
          </w:tcPr>
          <w:p w14:paraId="2E6A385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44A0F0A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 w:eastAsia="zh-CN" w:bidi="ar-SA"/>
              </w:rPr>
            </w:pPr>
            <w:r>
              <w:rPr>
                <w:rFonts w:hint="eastAsia" w:ascii="Times New Roman" w:hAnsi="Times New Roman" w:eastAsia="宋体" w:cs="Times New Roman"/>
                <w:color w:val="auto"/>
                <w:kern w:val="2"/>
                <w:sz w:val="21"/>
                <w:szCs w:val="20"/>
                <w:highlight w:val="none"/>
                <w:lang w:val="en-US" w:eastAsia="zh-CN" w:bidi="ar-SA"/>
              </w:rPr>
              <w:t>千吨万人饮用水水源地周边涉重金属隐患排查监测</w:t>
            </w:r>
          </w:p>
        </w:tc>
        <w:tc>
          <w:tcPr>
            <w:tcW w:w="3932" w:type="dxa"/>
            <w:vAlign w:val="center"/>
          </w:tcPr>
          <w:p w14:paraId="33C5CF0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千吨万人饮用水水源地周边开展监测，包括但不限于铅（Pb）、汞（Hg）、镉（Cd）、砷（As）、铬（Cr）（总铬和六价铬）、铜（Cu）、镍（Ni）、锌（Zn）、银（Ag）、钴（Co）、钨（W）、钼（Mo）等。</w:t>
            </w:r>
          </w:p>
        </w:tc>
        <w:tc>
          <w:tcPr>
            <w:tcW w:w="690" w:type="dxa"/>
            <w:vAlign w:val="center"/>
          </w:tcPr>
          <w:p w14:paraId="2C909D6A">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9次/年</w:t>
            </w:r>
          </w:p>
        </w:tc>
        <w:tc>
          <w:tcPr>
            <w:tcW w:w="690" w:type="dxa"/>
            <w:vAlign w:val="center"/>
          </w:tcPr>
          <w:p w14:paraId="3F4C8878">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4.5万</w:t>
            </w:r>
          </w:p>
        </w:tc>
      </w:tr>
      <w:tr w14:paraId="5455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057F6A22">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7</w:t>
            </w:r>
          </w:p>
        </w:tc>
        <w:tc>
          <w:tcPr>
            <w:tcW w:w="876" w:type="dxa"/>
            <w:vMerge w:val="continue"/>
            <w:vAlign w:val="center"/>
          </w:tcPr>
          <w:p w14:paraId="174DCFB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3D4F90A5">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乡镇饮用水水源地周边涉重金属隐患排查监测</w:t>
            </w:r>
          </w:p>
        </w:tc>
        <w:tc>
          <w:tcPr>
            <w:tcW w:w="3932" w:type="dxa"/>
            <w:vAlign w:val="center"/>
          </w:tcPr>
          <w:p w14:paraId="730E0072">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乡镇饮用水水源地周边开展监测，包括但不限于铅（Pb）、汞（Hg）、镉（Cd）、砷（As）、铬（Cr）（总铬和六价铬）、铜（Cu）、镍（Ni）、锌（Zn）、银（Ag）、钴（Co）、钨（W）、钼（Mo）等。</w:t>
            </w:r>
          </w:p>
        </w:tc>
        <w:tc>
          <w:tcPr>
            <w:tcW w:w="690" w:type="dxa"/>
            <w:vAlign w:val="center"/>
          </w:tcPr>
          <w:p w14:paraId="1D69D5F3">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7次/年</w:t>
            </w:r>
          </w:p>
        </w:tc>
        <w:tc>
          <w:tcPr>
            <w:tcW w:w="690" w:type="dxa"/>
            <w:vAlign w:val="center"/>
          </w:tcPr>
          <w:p w14:paraId="5CC7485F">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6万</w:t>
            </w:r>
          </w:p>
        </w:tc>
      </w:tr>
      <w:tr w14:paraId="2449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1" w:type="dxa"/>
            <w:vAlign w:val="center"/>
          </w:tcPr>
          <w:p w14:paraId="3D9DABF4">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8</w:t>
            </w:r>
          </w:p>
        </w:tc>
        <w:tc>
          <w:tcPr>
            <w:tcW w:w="876" w:type="dxa"/>
            <w:vMerge w:val="restart"/>
            <w:vAlign w:val="center"/>
          </w:tcPr>
          <w:p w14:paraId="2BE3C26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600807D2">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382532E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56E3A41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25ED0F37">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770C7FF5">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0DEA2AB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25533EF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35E146F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68A7E3F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6B32440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66F75909">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2A3C266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14A1D6D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17C84BC0">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2FF93D4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69B38912">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0456BBC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14F579F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21D7D477">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平桂生态环境局</w:t>
            </w:r>
          </w:p>
        </w:tc>
        <w:tc>
          <w:tcPr>
            <w:tcW w:w="1188" w:type="dxa"/>
            <w:vAlign w:val="center"/>
          </w:tcPr>
          <w:p w14:paraId="7B06ECE3">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散乱污企业涉重金属监测</w:t>
            </w:r>
          </w:p>
        </w:tc>
        <w:tc>
          <w:tcPr>
            <w:tcW w:w="3932" w:type="dxa"/>
            <w:vAlign w:val="center"/>
          </w:tcPr>
          <w:p w14:paraId="37A8EA1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按照各环境质量标准，包括但不限于对散乱污企业排放污染物、周边地表水、土壤中的铅（Pb）、汞（Hg）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镉（Cd）</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砷（As）</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铬（Cr）</w:t>
            </w:r>
            <w:r>
              <w:rPr>
                <w:rFonts w:hint="default" w:ascii="Times New Roman" w:hAnsi="Times New Roman" w:eastAsia="宋体" w:cs="Times New Roman"/>
                <w:color w:val="auto"/>
                <w:kern w:val="2"/>
                <w:sz w:val="21"/>
                <w:szCs w:val="20"/>
                <w:highlight w:val="none"/>
                <w:lang w:val="en-US" w:eastAsia="zh-CN" w:bidi="ar-SA"/>
              </w:rPr>
              <w:t>（总铬和</w:t>
            </w:r>
            <w:r>
              <w:rPr>
                <w:rFonts w:hint="eastAsia" w:ascii="Times New Roman" w:hAnsi="Times New Roman" w:eastAsia="宋体" w:cs="Times New Roman"/>
                <w:color w:val="auto"/>
                <w:kern w:val="2"/>
                <w:sz w:val="21"/>
                <w:szCs w:val="20"/>
                <w:highlight w:val="none"/>
                <w:lang w:val="en-US" w:eastAsia="zh-CN" w:bidi="ar-SA"/>
              </w:rPr>
              <w:t>六价铬</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铜（Cu）</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镍（Ni）</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锌（Zn）</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银（Ag）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钴（Co）</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钨（W）</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钼（Mo）</w:t>
            </w:r>
            <w:r>
              <w:rPr>
                <w:rFonts w:hint="default" w:ascii="Times New Roman" w:hAnsi="Times New Roman" w:eastAsia="宋体" w:cs="Times New Roman"/>
                <w:color w:val="auto"/>
                <w:kern w:val="2"/>
                <w:sz w:val="21"/>
                <w:szCs w:val="20"/>
                <w:highlight w:val="none"/>
                <w:lang w:val="en-US" w:eastAsia="zh-CN" w:bidi="ar-SA"/>
              </w:rPr>
              <w:t>等</w:t>
            </w:r>
            <w:r>
              <w:rPr>
                <w:rFonts w:hint="eastAsia" w:ascii="Times New Roman" w:hAnsi="Times New Roman" w:eastAsia="宋体" w:cs="Times New Roman"/>
                <w:color w:val="auto"/>
                <w:kern w:val="2"/>
                <w:sz w:val="21"/>
                <w:szCs w:val="20"/>
                <w:highlight w:val="none"/>
                <w:lang w:val="en-US" w:eastAsia="zh-CN" w:bidi="ar-SA"/>
              </w:rPr>
              <w:t>进行监测。</w:t>
            </w:r>
          </w:p>
        </w:tc>
        <w:tc>
          <w:tcPr>
            <w:tcW w:w="690" w:type="dxa"/>
            <w:vAlign w:val="center"/>
          </w:tcPr>
          <w:p w14:paraId="70B3FA1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按散乱污企业数量确定</w:t>
            </w:r>
          </w:p>
        </w:tc>
        <w:tc>
          <w:tcPr>
            <w:tcW w:w="690" w:type="dxa"/>
            <w:vAlign w:val="center"/>
          </w:tcPr>
          <w:p w14:paraId="28CA8FB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3万</w:t>
            </w:r>
          </w:p>
        </w:tc>
      </w:tr>
      <w:tr w14:paraId="3DDF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52E77CC0">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9</w:t>
            </w:r>
          </w:p>
        </w:tc>
        <w:tc>
          <w:tcPr>
            <w:tcW w:w="876" w:type="dxa"/>
            <w:vMerge w:val="continue"/>
            <w:vAlign w:val="center"/>
          </w:tcPr>
          <w:p w14:paraId="7B33767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6E44717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涉重金属企业固废鉴别监测</w:t>
            </w:r>
          </w:p>
        </w:tc>
        <w:tc>
          <w:tcPr>
            <w:tcW w:w="3932" w:type="dxa"/>
            <w:vAlign w:val="center"/>
          </w:tcPr>
          <w:p w14:paraId="15D471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outlineLvl w:val="1"/>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按照固体废物（含危险废物）鉴别标准和技术规范，对涉重金属企业产生的固体废物（含危险废物）进行监测，鉴别内容包括但不限于易燃性、腐蚀性、反应性、浸出毒性等。</w:t>
            </w:r>
          </w:p>
        </w:tc>
        <w:tc>
          <w:tcPr>
            <w:tcW w:w="690" w:type="dxa"/>
            <w:vAlign w:val="center"/>
          </w:tcPr>
          <w:p w14:paraId="09361392">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按企业数量确定</w:t>
            </w:r>
          </w:p>
        </w:tc>
        <w:tc>
          <w:tcPr>
            <w:tcW w:w="690" w:type="dxa"/>
            <w:vAlign w:val="center"/>
          </w:tcPr>
          <w:p w14:paraId="2750462B">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3C5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1AD68FCC">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10</w:t>
            </w:r>
          </w:p>
        </w:tc>
        <w:tc>
          <w:tcPr>
            <w:tcW w:w="876" w:type="dxa"/>
            <w:vMerge w:val="continue"/>
            <w:vAlign w:val="center"/>
          </w:tcPr>
          <w:p w14:paraId="7808BCD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38B9D889">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砖瓦行业涉重金属水质监测及循环水池涉铊监测</w:t>
            </w:r>
          </w:p>
        </w:tc>
        <w:tc>
          <w:tcPr>
            <w:tcW w:w="3932" w:type="dxa"/>
            <w:vAlign w:val="center"/>
          </w:tcPr>
          <w:p w14:paraId="714918E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按照各环境质量标准、行业标准以及企业排污许可证要求，包括但不限于对砖瓦行业涉重金属水质、循环水池进行监测，必测项目：铊。</w:t>
            </w:r>
          </w:p>
        </w:tc>
        <w:tc>
          <w:tcPr>
            <w:tcW w:w="690" w:type="dxa"/>
            <w:vAlign w:val="center"/>
          </w:tcPr>
          <w:p w14:paraId="18DFE7C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按砖瓦企业数量确定</w:t>
            </w:r>
          </w:p>
        </w:tc>
        <w:tc>
          <w:tcPr>
            <w:tcW w:w="690" w:type="dxa"/>
            <w:vAlign w:val="center"/>
          </w:tcPr>
          <w:p w14:paraId="4127E927">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3万</w:t>
            </w:r>
          </w:p>
          <w:p w14:paraId="114468E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r>
      <w:tr w14:paraId="66B8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015223F7">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11</w:t>
            </w:r>
          </w:p>
        </w:tc>
        <w:tc>
          <w:tcPr>
            <w:tcW w:w="876" w:type="dxa"/>
            <w:vMerge w:val="continue"/>
            <w:vAlign w:val="center"/>
          </w:tcPr>
          <w:p w14:paraId="64D184E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287ABF9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 w:eastAsia="zh-CN" w:bidi="ar-SA"/>
              </w:rPr>
              <w:t>涉重金属应急监测</w:t>
            </w:r>
          </w:p>
        </w:tc>
        <w:tc>
          <w:tcPr>
            <w:tcW w:w="3932" w:type="dxa"/>
            <w:vAlign w:val="center"/>
          </w:tcPr>
          <w:p w14:paraId="193EB7F0">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周边环境质量开展应急监测，包括但不限于铅（Pb）、汞（Hg）、镉（Cd）、砷（As）、铬（Cr）（总铬和六价铬）、铜（Cu）、镍（Ni）、锌（Zn）、银（Ag）、钴（Co）、钨（W）、钼（Mo）等。</w:t>
            </w:r>
          </w:p>
        </w:tc>
        <w:tc>
          <w:tcPr>
            <w:tcW w:w="690" w:type="dxa"/>
            <w:vAlign w:val="center"/>
          </w:tcPr>
          <w:p w14:paraId="6CDCB7B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034A75B0">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3万</w:t>
            </w:r>
          </w:p>
        </w:tc>
      </w:tr>
      <w:tr w14:paraId="6AFD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1F189D31">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12</w:t>
            </w:r>
          </w:p>
        </w:tc>
        <w:tc>
          <w:tcPr>
            <w:tcW w:w="876" w:type="dxa"/>
            <w:vMerge w:val="continue"/>
            <w:vAlign w:val="center"/>
          </w:tcPr>
          <w:p w14:paraId="2380208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7545A35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历史遗留矿区、涉重金属矿区、遗留尾矿等周边环境监测</w:t>
            </w:r>
          </w:p>
        </w:tc>
        <w:tc>
          <w:tcPr>
            <w:tcW w:w="3932" w:type="dxa"/>
            <w:vAlign w:val="center"/>
          </w:tcPr>
          <w:p w14:paraId="4B0FD0A5">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周边环境质量开展监测，包括但不限于铅（Pb）、汞（Hg）、镉（Cd）、砷（As）、铬（Cr）（总铬和六价铬）、铜（Cu）、镍（Ni）、锌（Zn）、银（Ag）、钴（Co）、钨（W）、钼（Mo）等。</w:t>
            </w:r>
          </w:p>
        </w:tc>
        <w:tc>
          <w:tcPr>
            <w:tcW w:w="690" w:type="dxa"/>
            <w:vAlign w:val="center"/>
          </w:tcPr>
          <w:p w14:paraId="356B5CB0">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5385845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4.2万</w:t>
            </w:r>
          </w:p>
        </w:tc>
      </w:tr>
      <w:tr w14:paraId="20C5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66AC5FCC">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13</w:t>
            </w:r>
          </w:p>
        </w:tc>
        <w:tc>
          <w:tcPr>
            <w:tcW w:w="876" w:type="dxa"/>
            <w:vMerge w:val="restart"/>
            <w:vAlign w:val="center"/>
          </w:tcPr>
          <w:p w14:paraId="6090B6F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钟山生态环境局</w:t>
            </w:r>
          </w:p>
        </w:tc>
        <w:tc>
          <w:tcPr>
            <w:tcW w:w="1188" w:type="dxa"/>
            <w:vAlign w:val="center"/>
          </w:tcPr>
          <w:p w14:paraId="7115138B">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农村千吨万人饮用水水源地水质周边涉重金属隐患排查监测</w:t>
            </w:r>
          </w:p>
        </w:tc>
        <w:tc>
          <w:tcPr>
            <w:tcW w:w="3932" w:type="dxa"/>
            <w:vAlign w:val="center"/>
          </w:tcPr>
          <w:p w14:paraId="17B984DB">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千吨万人饮用水水源地周边开展监测，包括但不限于铅（Pb）、汞（Hg）、镉（Cd）、砷（As）、铬（Cr）（总铬和六价铬）、铜（Cu）、镍（Ni）、锌（Zn）、银（Ag）、钴（Co）、钨（W）、钼（Mo）等。</w:t>
            </w:r>
          </w:p>
        </w:tc>
        <w:tc>
          <w:tcPr>
            <w:tcW w:w="690" w:type="dxa"/>
            <w:vAlign w:val="center"/>
          </w:tcPr>
          <w:p w14:paraId="4DA8CFE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41CB6D2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2万</w:t>
            </w:r>
          </w:p>
        </w:tc>
      </w:tr>
      <w:tr w14:paraId="44DF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5D716797">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14</w:t>
            </w:r>
          </w:p>
        </w:tc>
        <w:tc>
          <w:tcPr>
            <w:tcW w:w="876" w:type="dxa"/>
            <w:vMerge w:val="continue"/>
            <w:vAlign w:val="center"/>
          </w:tcPr>
          <w:p w14:paraId="5568116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7E32F85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乡镇饮用水水源周边涉重金属隐患排查监测</w:t>
            </w:r>
          </w:p>
        </w:tc>
        <w:tc>
          <w:tcPr>
            <w:tcW w:w="3932" w:type="dxa"/>
            <w:vAlign w:val="center"/>
          </w:tcPr>
          <w:p w14:paraId="1A66B8B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乡镇饮用水水源地周边开展监测，包括但不限于铅（Pb）、汞（Hg）、镉（Cd）、砷（As）、铬（Cr）（总铬和六价铬）、铜（Cu）、镍（Ni）、锌（Zn）、银（Ag）、钴（Co）、钨（W）、钼（Mo）等。</w:t>
            </w:r>
          </w:p>
        </w:tc>
        <w:tc>
          <w:tcPr>
            <w:tcW w:w="690" w:type="dxa"/>
            <w:vAlign w:val="center"/>
          </w:tcPr>
          <w:p w14:paraId="1BCC49D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03FB04D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2万</w:t>
            </w:r>
          </w:p>
        </w:tc>
      </w:tr>
      <w:tr w14:paraId="321A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3B868B36">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15</w:t>
            </w:r>
          </w:p>
        </w:tc>
        <w:tc>
          <w:tcPr>
            <w:tcW w:w="876" w:type="dxa"/>
            <w:vMerge w:val="continue"/>
            <w:vAlign w:val="center"/>
          </w:tcPr>
          <w:p w14:paraId="12068D1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3B523CF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钟山县宏源矿业有限公司周边环境监测</w:t>
            </w:r>
          </w:p>
        </w:tc>
        <w:tc>
          <w:tcPr>
            <w:tcW w:w="3932" w:type="dxa"/>
            <w:vAlign w:val="center"/>
          </w:tcPr>
          <w:p w14:paraId="513733BB">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周边环境质量开展监测，包括但不限于铅（Pb）、汞（Hg）、镉（Cd）、砷（As）、铬（Cr）（总铬和六价铬）、铜（Cu）、镍（Ni）、锌（Zn）、银（Ag）、钴（Co）、钨（W）、钼（Mo）等。</w:t>
            </w:r>
          </w:p>
        </w:tc>
        <w:tc>
          <w:tcPr>
            <w:tcW w:w="690" w:type="dxa"/>
            <w:vAlign w:val="center"/>
          </w:tcPr>
          <w:p w14:paraId="6D0FA4E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5CF30BA8">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3万</w:t>
            </w:r>
          </w:p>
        </w:tc>
      </w:tr>
      <w:tr w14:paraId="3677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18A3D91D">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16</w:t>
            </w:r>
          </w:p>
        </w:tc>
        <w:tc>
          <w:tcPr>
            <w:tcW w:w="876" w:type="dxa"/>
            <w:vMerge w:val="continue"/>
            <w:vAlign w:val="center"/>
          </w:tcPr>
          <w:p w14:paraId="2A5E33F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2DB95B5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军冲水库涉重金属调查监测</w:t>
            </w:r>
          </w:p>
        </w:tc>
        <w:tc>
          <w:tcPr>
            <w:tcW w:w="3932" w:type="dxa"/>
            <w:vAlign w:val="center"/>
          </w:tcPr>
          <w:p w14:paraId="45AE58B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要求，对周边环境质量开展监测，包括但不限于铅（Pb）、汞（Hg）、镉（Cd）、砷（As）、铬（Cr）（总铬和六价铬）、铜（Cu）、镍（Ni）、锌（Zn）、银（Ag）、钴（Co）、钨（W）、钼（Mo）等。</w:t>
            </w:r>
          </w:p>
        </w:tc>
        <w:tc>
          <w:tcPr>
            <w:tcW w:w="690" w:type="dxa"/>
            <w:vAlign w:val="center"/>
          </w:tcPr>
          <w:p w14:paraId="0D3B7EC2">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3E27369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4万</w:t>
            </w:r>
          </w:p>
        </w:tc>
      </w:tr>
      <w:tr w14:paraId="6E1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5882098D">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17</w:t>
            </w:r>
          </w:p>
        </w:tc>
        <w:tc>
          <w:tcPr>
            <w:tcW w:w="876" w:type="dxa"/>
            <w:vMerge w:val="continue"/>
            <w:vAlign w:val="center"/>
          </w:tcPr>
          <w:p w14:paraId="2D73F90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0B76EDE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散乱污企业涉重金属监测</w:t>
            </w:r>
          </w:p>
        </w:tc>
        <w:tc>
          <w:tcPr>
            <w:tcW w:w="3932" w:type="dxa"/>
            <w:vAlign w:val="center"/>
          </w:tcPr>
          <w:p w14:paraId="2008291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要求，对周边环境质量开展监测，包括但不限于铅（Pb）、汞（Hg）、镉（Cd）、砷（As）、铬（Cr）（总铬和六价铬）、铜（Cu）、镍（Ni）、锌（Zn）、银（Ag）、钴（Co）、钨（W）、钼（Mo）等。</w:t>
            </w:r>
          </w:p>
        </w:tc>
        <w:tc>
          <w:tcPr>
            <w:tcW w:w="690" w:type="dxa"/>
            <w:vAlign w:val="center"/>
          </w:tcPr>
          <w:p w14:paraId="5170ECB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25820EC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2.5万</w:t>
            </w:r>
          </w:p>
        </w:tc>
      </w:tr>
      <w:tr w14:paraId="6707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4C4F2BA6">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18</w:t>
            </w:r>
          </w:p>
        </w:tc>
        <w:tc>
          <w:tcPr>
            <w:tcW w:w="876" w:type="dxa"/>
            <w:vMerge w:val="continue"/>
            <w:vAlign w:val="center"/>
          </w:tcPr>
          <w:p w14:paraId="7AEB7805">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736BF0E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涉重金属企业固废鉴定监测</w:t>
            </w:r>
          </w:p>
        </w:tc>
        <w:tc>
          <w:tcPr>
            <w:tcW w:w="3932" w:type="dxa"/>
            <w:vAlign w:val="center"/>
          </w:tcPr>
          <w:p w14:paraId="67237D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outlineLvl w:val="1"/>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按照固体废物（含危险废物）鉴别标准和技术规范，对涉重金属企业产生的固体废物（含危险废物）进行监测，鉴别内容包括但不限于易燃性、腐蚀性、反应性、浸出毒性等。</w:t>
            </w:r>
          </w:p>
        </w:tc>
        <w:tc>
          <w:tcPr>
            <w:tcW w:w="690" w:type="dxa"/>
            <w:vAlign w:val="center"/>
          </w:tcPr>
          <w:p w14:paraId="2DFB5C4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按企业数量确定</w:t>
            </w:r>
          </w:p>
        </w:tc>
        <w:tc>
          <w:tcPr>
            <w:tcW w:w="690" w:type="dxa"/>
            <w:vAlign w:val="center"/>
          </w:tcPr>
          <w:p w14:paraId="7F17CDF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36A0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41B94EBD">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19</w:t>
            </w:r>
          </w:p>
        </w:tc>
        <w:tc>
          <w:tcPr>
            <w:tcW w:w="876" w:type="dxa"/>
            <w:vMerge w:val="continue"/>
            <w:vAlign w:val="center"/>
          </w:tcPr>
          <w:p w14:paraId="49DD5EF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798DD197">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砖瓦行业涉重金属水质监测</w:t>
            </w:r>
          </w:p>
        </w:tc>
        <w:tc>
          <w:tcPr>
            <w:tcW w:w="3932" w:type="dxa"/>
            <w:vAlign w:val="center"/>
          </w:tcPr>
          <w:p w14:paraId="2E4B46F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按照各环境质量标准、行业标准以及企业排污许可证要求，包括但不限于对砖瓦行业涉重金属水质、循环水池进行监测，必测项目：铊。</w:t>
            </w:r>
          </w:p>
        </w:tc>
        <w:tc>
          <w:tcPr>
            <w:tcW w:w="690" w:type="dxa"/>
            <w:vAlign w:val="center"/>
          </w:tcPr>
          <w:p w14:paraId="39A9680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按砖瓦企业数量确定</w:t>
            </w:r>
          </w:p>
        </w:tc>
        <w:tc>
          <w:tcPr>
            <w:tcW w:w="690" w:type="dxa"/>
            <w:vAlign w:val="center"/>
          </w:tcPr>
          <w:p w14:paraId="18DC684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1万</w:t>
            </w:r>
          </w:p>
          <w:p w14:paraId="4B407B5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r>
      <w:tr w14:paraId="7355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033143EF">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20</w:t>
            </w:r>
          </w:p>
        </w:tc>
        <w:tc>
          <w:tcPr>
            <w:tcW w:w="876" w:type="dxa"/>
            <w:vMerge w:val="continue"/>
            <w:vAlign w:val="center"/>
          </w:tcPr>
          <w:p w14:paraId="3C23050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40A9763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涉重金属突发应急监测</w:t>
            </w:r>
          </w:p>
        </w:tc>
        <w:tc>
          <w:tcPr>
            <w:tcW w:w="3932" w:type="dxa"/>
            <w:vAlign w:val="center"/>
          </w:tcPr>
          <w:p w14:paraId="05DBB38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周边环境质量开展应急监测，包括但不限于铅（Pb）、汞（Hg）、镉（Cd）、砷（As）、铬（Cr）（总铬和六价铬）、铜（Cu）、镍（Ni）、锌（Zn）、银（Ag）、钴（Co）、钨（W）、钼（Mo）等。</w:t>
            </w:r>
          </w:p>
        </w:tc>
        <w:tc>
          <w:tcPr>
            <w:tcW w:w="690" w:type="dxa"/>
            <w:vAlign w:val="center"/>
          </w:tcPr>
          <w:p w14:paraId="67F3D6A5">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3A381A35">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bl>
    <w:tbl>
      <w:tblPr>
        <w:tblStyle w:val="33"/>
        <w:tblW w:w="8615"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Grid>
        <w:gridCol w:w="526"/>
        <w:gridCol w:w="1598"/>
        <w:gridCol w:w="6491"/>
      </w:tblGrid>
      <w:tr w14:paraId="28F195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13" w:hRule="atLeast"/>
          <w:jc w:val="center"/>
        </w:trPr>
        <w:tc>
          <w:tcPr>
            <w:tcW w:w="8615"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163AA9B">
            <w:pPr>
              <w:keepNext w:val="0"/>
              <w:keepLines w:val="0"/>
              <w:pageBreakBefore w:val="0"/>
              <w:widowControl/>
              <w:kinsoku/>
              <w:wordWrap/>
              <w:overflowPunct/>
              <w:topLinePunct w:val="0"/>
              <w:autoSpaceDE/>
              <w:autoSpaceDN/>
              <w:bidi w:val="0"/>
              <w:spacing w:line="400" w:lineRule="exact"/>
              <w:jc w:val="left"/>
              <w:textAlignment w:val="auto"/>
              <w:rPr>
                <w:color w:val="auto"/>
                <w:szCs w:val="21"/>
                <w:highlight w:val="none"/>
              </w:rPr>
            </w:pPr>
            <w:bookmarkStart w:id="23" w:name="_Hlk107856167"/>
            <w:r>
              <w:rPr>
                <w:b/>
                <w:color w:val="auto"/>
                <w:kern w:val="0"/>
                <w:szCs w:val="21"/>
                <w:highlight w:val="none"/>
              </w:rPr>
              <w:t>本项目商务要求</w:t>
            </w:r>
            <w:bookmarkEnd w:id="23"/>
          </w:p>
        </w:tc>
      </w:tr>
      <w:tr w14:paraId="760434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74435C24">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序号</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703F0A5B">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kern w:val="0"/>
                <w:szCs w:val="21"/>
                <w:highlight w:val="none"/>
              </w:rPr>
              <w:t>商务条款</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0B52DBA4">
            <w:pPr>
              <w:keepNext w:val="0"/>
              <w:keepLines w:val="0"/>
              <w:pageBreakBefore w:val="0"/>
              <w:kinsoku/>
              <w:wordWrap/>
              <w:overflowPunct/>
              <w:topLinePunct w:val="0"/>
              <w:autoSpaceDE/>
              <w:autoSpaceDN/>
              <w:bidi w:val="0"/>
              <w:spacing w:line="400" w:lineRule="exact"/>
              <w:ind w:firstLine="420" w:firstLineChars="200"/>
              <w:jc w:val="center"/>
              <w:textAlignment w:val="auto"/>
              <w:rPr>
                <w:color w:val="auto"/>
                <w:szCs w:val="21"/>
                <w:highlight w:val="none"/>
              </w:rPr>
            </w:pPr>
            <w:r>
              <w:rPr>
                <w:color w:val="auto"/>
                <w:kern w:val="0"/>
                <w:szCs w:val="21"/>
                <w:highlight w:val="none"/>
              </w:rPr>
              <w:t>商务</w:t>
            </w:r>
            <w:r>
              <w:rPr>
                <w:color w:val="auto"/>
                <w:szCs w:val="21"/>
                <w:highlight w:val="none"/>
              </w:rPr>
              <w:t>要求</w:t>
            </w:r>
          </w:p>
        </w:tc>
      </w:tr>
      <w:tr w14:paraId="4B1946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0717BCB8">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1</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2145D959">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报价要求</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0F55CD9E">
            <w:pPr>
              <w:keepNext w:val="0"/>
              <w:keepLines w:val="0"/>
              <w:pageBreakBefore w:val="0"/>
              <w:kinsoku/>
              <w:wordWrap/>
              <w:overflowPunct/>
              <w:topLinePunct w:val="0"/>
              <w:autoSpaceDE/>
              <w:autoSpaceDN/>
              <w:bidi w:val="0"/>
              <w:spacing w:line="400" w:lineRule="exact"/>
              <w:textAlignment w:val="auto"/>
              <w:rPr>
                <w:color w:val="auto"/>
                <w:szCs w:val="21"/>
                <w:highlight w:val="none"/>
              </w:rPr>
            </w:pPr>
            <w:r>
              <w:rPr>
                <w:rFonts w:hint="eastAsia" w:hAnsi="宋体"/>
                <w:b/>
                <w:bCs/>
                <w:color w:val="auto"/>
                <w:highlight w:val="none"/>
              </w:rPr>
              <w:t>▲</w:t>
            </w:r>
            <w:r>
              <w:rPr>
                <w:rFonts w:hint="eastAsia" w:hAnsi="宋体"/>
                <w:b/>
                <w:bCs/>
                <w:color w:val="auto"/>
                <w:highlight w:val="none"/>
                <w:lang w:val="en-US" w:eastAsia="zh-CN"/>
              </w:rPr>
              <w:t>本项目报价包含</w:t>
            </w:r>
            <w:r>
              <w:rPr>
                <w:color w:val="auto"/>
                <w:szCs w:val="21"/>
                <w:highlight w:val="none"/>
              </w:rPr>
              <w:t>本项目各项购买服务及相关服务等的费用和所需缴纳的所有价格、税、费。</w:t>
            </w:r>
            <w:r>
              <w:rPr>
                <w:rFonts w:hint="eastAsia"/>
                <w:color w:val="auto"/>
                <w:szCs w:val="21"/>
                <w:highlight w:val="none"/>
              </w:rPr>
              <w:t>包括以下内容：</w:t>
            </w:r>
          </w:p>
          <w:p w14:paraId="47F1D246">
            <w:pPr>
              <w:keepNext w:val="0"/>
              <w:keepLines w:val="0"/>
              <w:pageBreakBefore w:val="0"/>
              <w:kinsoku/>
              <w:wordWrap/>
              <w:overflowPunct/>
              <w:topLinePunct w:val="0"/>
              <w:autoSpaceDE/>
              <w:autoSpaceDN/>
              <w:bidi w:val="0"/>
              <w:spacing w:line="400" w:lineRule="exact"/>
              <w:textAlignment w:val="auto"/>
              <w:rPr>
                <w:rFonts w:ascii="宋体" w:hAnsi="宋体"/>
                <w:color w:val="auto"/>
                <w:szCs w:val="21"/>
                <w:highlight w:val="none"/>
              </w:rPr>
            </w:pPr>
            <w:r>
              <w:rPr>
                <w:rFonts w:hint="eastAsia" w:ascii="宋体" w:hAnsi="宋体"/>
                <w:color w:val="auto"/>
                <w:szCs w:val="21"/>
                <w:highlight w:val="none"/>
              </w:rPr>
              <w:t>（1）服务的价格；</w:t>
            </w:r>
          </w:p>
          <w:p w14:paraId="303A8FFB">
            <w:pPr>
              <w:keepNext w:val="0"/>
              <w:keepLines w:val="0"/>
              <w:pageBreakBefore w:val="0"/>
              <w:kinsoku/>
              <w:wordWrap/>
              <w:overflowPunct/>
              <w:topLinePunct w:val="0"/>
              <w:autoSpaceDE/>
              <w:autoSpaceDN/>
              <w:bidi w:val="0"/>
              <w:spacing w:line="400" w:lineRule="exact"/>
              <w:textAlignment w:val="auto"/>
              <w:rPr>
                <w:rFonts w:ascii="宋体" w:hAnsi="宋体"/>
                <w:color w:val="auto"/>
                <w:szCs w:val="21"/>
                <w:highlight w:val="none"/>
              </w:rPr>
            </w:pPr>
            <w:r>
              <w:rPr>
                <w:rFonts w:hint="eastAsia" w:ascii="宋体" w:hAnsi="宋体"/>
                <w:color w:val="auto"/>
                <w:szCs w:val="21"/>
                <w:highlight w:val="none"/>
              </w:rPr>
              <w:t>（2）</w:t>
            </w:r>
            <w:r>
              <w:rPr>
                <w:rFonts w:hint="eastAsia"/>
                <w:color w:val="auto"/>
                <w:highlight w:val="none"/>
              </w:rPr>
              <w:t>必要的保险费用和各项税金</w:t>
            </w:r>
            <w:r>
              <w:rPr>
                <w:rFonts w:hint="eastAsia" w:ascii="宋体" w:hAnsi="宋体"/>
                <w:color w:val="auto"/>
                <w:szCs w:val="21"/>
                <w:highlight w:val="none"/>
              </w:rPr>
              <w:t>；</w:t>
            </w:r>
          </w:p>
          <w:p w14:paraId="3E681ACB">
            <w:pPr>
              <w:keepNext w:val="0"/>
              <w:keepLines w:val="0"/>
              <w:pageBreakBefore w:val="0"/>
              <w:kinsoku/>
              <w:wordWrap/>
              <w:overflowPunct/>
              <w:topLinePunct w:val="0"/>
              <w:autoSpaceDE/>
              <w:autoSpaceDN/>
              <w:bidi w:val="0"/>
              <w:spacing w:line="400" w:lineRule="exact"/>
              <w:textAlignment w:val="auto"/>
              <w:rPr>
                <w:rFonts w:ascii="宋体" w:hAnsi="宋体"/>
                <w:color w:val="auto"/>
                <w:szCs w:val="21"/>
                <w:highlight w:val="none"/>
              </w:rPr>
            </w:pPr>
            <w:r>
              <w:rPr>
                <w:rFonts w:hint="eastAsia" w:ascii="宋体" w:hAnsi="宋体"/>
                <w:color w:val="auto"/>
                <w:szCs w:val="21"/>
                <w:highlight w:val="none"/>
              </w:rPr>
              <w:t>（3）</w:t>
            </w:r>
            <w:r>
              <w:rPr>
                <w:rFonts w:hint="eastAsia"/>
                <w:color w:val="auto"/>
                <w:highlight w:val="none"/>
              </w:rPr>
              <w:t>竞标报价为完成本次招标项目的全费用价格，其组成包括但不限于人员工资、劳动保险、办公、交通、专家咨询/评审、资料印刷、附加培训、税金及其他所有可能发生的一切费用。供应商为履行本合同而发生的所有费用均应包含在合同价款中，采购人不再另行支付其它任何费用</w:t>
            </w:r>
            <w:r>
              <w:rPr>
                <w:rFonts w:hint="eastAsia" w:ascii="宋体" w:hAnsi="宋体"/>
                <w:color w:val="auto"/>
                <w:szCs w:val="21"/>
                <w:highlight w:val="none"/>
              </w:rPr>
              <w:t>。</w:t>
            </w:r>
          </w:p>
        </w:tc>
      </w:tr>
      <w:tr w14:paraId="67A45A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43E0A878">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2</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018E27CD">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合同签订日期</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5E09DDD6">
            <w:pPr>
              <w:keepNext w:val="0"/>
              <w:keepLines w:val="0"/>
              <w:pageBreakBefore w:val="0"/>
              <w:kinsoku/>
              <w:wordWrap/>
              <w:overflowPunct/>
              <w:topLinePunct w:val="0"/>
              <w:autoSpaceDE/>
              <w:autoSpaceDN/>
              <w:bidi w:val="0"/>
              <w:spacing w:line="400" w:lineRule="exact"/>
              <w:textAlignment w:val="auto"/>
              <w:rPr>
                <w:color w:val="auto"/>
                <w:szCs w:val="21"/>
                <w:highlight w:val="none"/>
              </w:rPr>
            </w:pPr>
            <w:r>
              <w:rPr>
                <w:color w:val="auto"/>
                <w:szCs w:val="21"/>
                <w:highlight w:val="none"/>
              </w:rPr>
              <w:t>成交通知书发出后</w:t>
            </w:r>
            <w:r>
              <w:rPr>
                <w:rFonts w:hint="eastAsia"/>
                <w:color w:val="auto"/>
                <w:szCs w:val="21"/>
                <w:highlight w:val="none"/>
                <w:lang w:val="en-US" w:eastAsia="zh-CN"/>
              </w:rPr>
              <w:t>10</w:t>
            </w:r>
            <w:r>
              <w:rPr>
                <w:color w:val="auto"/>
                <w:szCs w:val="21"/>
                <w:highlight w:val="none"/>
              </w:rPr>
              <w:t>日内。</w:t>
            </w:r>
          </w:p>
        </w:tc>
      </w:tr>
      <w:tr w14:paraId="1589E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6F2C4502">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3</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03598BF5">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highlight w:val="none"/>
              </w:rPr>
              <w:t>服务的时间</w:t>
            </w:r>
            <w:r>
              <w:rPr>
                <w:color w:val="auto"/>
                <w:szCs w:val="21"/>
                <w:highlight w:val="none"/>
              </w:rPr>
              <w:t>或</w:t>
            </w:r>
            <w:r>
              <w:rPr>
                <w:color w:val="auto"/>
                <w:highlight w:val="none"/>
              </w:rPr>
              <w:t>服务期限</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01C62DDB">
            <w:pPr>
              <w:keepNext w:val="0"/>
              <w:keepLines w:val="0"/>
              <w:pageBreakBefore w:val="0"/>
              <w:widowControl/>
              <w:kinsoku/>
              <w:wordWrap/>
              <w:overflowPunct/>
              <w:topLinePunct w:val="0"/>
              <w:autoSpaceDE/>
              <w:autoSpaceDN/>
              <w:bidi w:val="0"/>
              <w:spacing w:line="400" w:lineRule="exact"/>
              <w:jc w:val="left"/>
              <w:textAlignment w:val="auto"/>
              <w:rPr>
                <w:color w:val="auto"/>
                <w:highlight w:val="none"/>
              </w:rPr>
            </w:pPr>
            <w:r>
              <w:rPr>
                <w:rFonts w:hint="eastAsia"/>
                <w:color w:val="auto"/>
                <w:highlight w:val="none"/>
              </w:rPr>
              <w:t>签订合同之日起至 202</w:t>
            </w:r>
            <w:r>
              <w:rPr>
                <w:rFonts w:hint="eastAsia"/>
                <w:color w:val="auto"/>
                <w:highlight w:val="none"/>
                <w:lang w:val="en-US" w:eastAsia="zh-CN"/>
              </w:rPr>
              <w:t>6</w:t>
            </w:r>
            <w:r>
              <w:rPr>
                <w:rFonts w:hint="eastAsia"/>
                <w:color w:val="auto"/>
                <w:highlight w:val="none"/>
              </w:rPr>
              <w:t xml:space="preserve"> 年 </w:t>
            </w:r>
            <w:r>
              <w:rPr>
                <w:rFonts w:hint="eastAsia"/>
                <w:color w:val="auto"/>
                <w:highlight w:val="none"/>
                <w:lang w:val="en-US" w:eastAsia="zh-CN"/>
              </w:rPr>
              <w:t>3</w:t>
            </w:r>
            <w:r>
              <w:rPr>
                <w:rFonts w:hint="eastAsia"/>
                <w:color w:val="auto"/>
                <w:highlight w:val="none"/>
              </w:rPr>
              <w:t xml:space="preserve">月 </w:t>
            </w:r>
            <w:r>
              <w:rPr>
                <w:rFonts w:hint="eastAsia"/>
                <w:color w:val="auto"/>
                <w:highlight w:val="none"/>
                <w:lang w:val="en-US" w:eastAsia="zh-CN"/>
              </w:rPr>
              <w:t>26</w:t>
            </w:r>
            <w:r>
              <w:rPr>
                <w:rFonts w:hint="eastAsia"/>
                <w:color w:val="auto"/>
                <w:highlight w:val="none"/>
              </w:rPr>
              <w:t xml:space="preserve"> 日前完成。</w:t>
            </w:r>
          </w:p>
        </w:tc>
      </w:tr>
      <w:tr w14:paraId="0C2252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3D973508">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4</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2D844638">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服务地点或交付</w:t>
            </w:r>
          </w:p>
          <w:p w14:paraId="5BE861BD">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地点</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2FC637B5">
            <w:pPr>
              <w:keepNext w:val="0"/>
              <w:keepLines w:val="0"/>
              <w:pageBreakBefore w:val="0"/>
              <w:kinsoku/>
              <w:wordWrap/>
              <w:overflowPunct/>
              <w:topLinePunct w:val="0"/>
              <w:autoSpaceDE/>
              <w:autoSpaceDN/>
              <w:bidi w:val="0"/>
              <w:spacing w:line="400" w:lineRule="exact"/>
              <w:jc w:val="left"/>
              <w:textAlignment w:val="auto"/>
              <w:rPr>
                <w:color w:val="auto"/>
                <w:szCs w:val="21"/>
                <w:highlight w:val="none"/>
              </w:rPr>
            </w:pPr>
            <w:r>
              <w:rPr>
                <w:rFonts w:hint="eastAsia" w:hAnsi="宋体"/>
                <w:b/>
                <w:bCs/>
                <w:color w:val="auto"/>
                <w:highlight w:val="none"/>
              </w:rPr>
              <w:t>▲</w:t>
            </w:r>
            <w:r>
              <w:rPr>
                <w:rFonts w:hint="eastAsia"/>
                <w:color w:val="auto"/>
                <w:highlight w:val="none"/>
              </w:rPr>
              <w:t>采购人指定地点。</w:t>
            </w:r>
          </w:p>
        </w:tc>
      </w:tr>
      <w:tr w14:paraId="0444FB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01003734">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rFonts w:hint="eastAsia"/>
                <w:color w:val="auto"/>
                <w:szCs w:val="21"/>
                <w:highlight w:val="none"/>
              </w:rPr>
              <w:t>5</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6BD688C1">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rFonts w:hint="eastAsia"/>
                <w:color w:val="auto"/>
                <w:highlight w:val="none"/>
              </w:rPr>
              <w:t>提交服务成果时间</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1C459997">
            <w:pPr>
              <w:keepNext w:val="0"/>
              <w:keepLines w:val="0"/>
              <w:pageBreakBefore w:val="0"/>
              <w:kinsoku/>
              <w:wordWrap/>
              <w:overflowPunct/>
              <w:topLinePunct w:val="0"/>
              <w:autoSpaceDE/>
              <w:autoSpaceDN/>
              <w:bidi w:val="0"/>
              <w:spacing w:line="400" w:lineRule="exact"/>
              <w:jc w:val="left"/>
              <w:textAlignment w:val="auto"/>
              <w:rPr>
                <w:color w:val="auto"/>
                <w:highlight w:val="none"/>
              </w:rPr>
            </w:pPr>
            <w:r>
              <w:rPr>
                <w:rFonts w:hint="eastAsia"/>
                <w:color w:val="auto"/>
                <w:highlight w:val="none"/>
              </w:rPr>
              <w:t>各监测任务分别出具监测报告或监测数据表，合同到期后提交总成果报告至采购方指定部门。</w:t>
            </w:r>
          </w:p>
        </w:tc>
      </w:tr>
      <w:tr w14:paraId="19BEE5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0C6239E9">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6</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38534A4B">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rFonts w:hint="eastAsia"/>
                <w:color w:val="auto"/>
                <w:szCs w:val="21"/>
                <w:highlight w:val="none"/>
              </w:rPr>
              <w:t>验收方式</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7CC56879">
            <w:pPr>
              <w:keepNext w:val="0"/>
              <w:keepLines w:val="0"/>
              <w:pageBreakBefore w:val="0"/>
              <w:kinsoku/>
              <w:wordWrap/>
              <w:overflowPunct/>
              <w:topLinePunct w:val="0"/>
              <w:autoSpaceDE/>
              <w:autoSpaceDN/>
              <w:bidi w:val="0"/>
              <w:spacing w:line="400" w:lineRule="exact"/>
              <w:jc w:val="left"/>
              <w:textAlignment w:val="auto"/>
              <w:rPr>
                <w:color w:val="auto"/>
                <w:szCs w:val="21"/>
                <w:highlight w:val="none"/>
              </w:rPr>
            </w:pPr>
            <w:r>
              <w:rPr>
                <w:color w:val="auto"/>
                <w:szCs w:val="21"/>
                <w:highlight w:val="none"/>
              </w:rPr>
              <w:t>1</w:t>
            </w:r>
            <w:r>
              <w:rPr>
                <w:rFonts w:hint="eastAsia"/>
                <w:color w:val="auto"/>
                <w:szCs w:val="21"/>
                <w:highlight w:val="none"/>
              </w:rPr>
              <w:t>．检查服务范围</w:t>
            </w:r>
          </w:p>
          <w:p w14:paraId="6487A3F2">
            <w:pPr>
              <w:keepNext w:val="0"/>
              <w:keepLines w:val="0"/>
              <w:pageBreakBefore w:val="0"/>
              <w:kinsoku/>
              <w:wordWrap/>
              <w:overflowPunct/>
              <w:topLinePunct w:val="0"/>
              <w:autoSpaceDE/>
              <w:autoSpaceDN/>
              <w:bidi w:val="0"/>
              <w:spacing w:line="400" w:lineRule="exact"/>
              <w:jc w:val="left"/>
              <w:textAlignment w:val="auto"/>
              <w:rPr>
                <w:color w:val="auto"/>
                <w:szCs w:val="21"/>
                <w:highlight w:val="none"/>
              </w:rPr>
            </w:pPr>
            <w:r>
              <w:rPr>
                <w:color w:val="auto"/>
                <w:szCs w:val="20"/>
                <w:highlight w:val="none"/>
              </w:rPr>
              <w:sym w:font="Wingdings 2" w:char="F052"/>
            </w:r>
            <w:r>
              <w:rPr>
                <w:rFonts w:hint="eastAsia"/>
                <w:color w:val="auto"/>
                <w:szCs w:val="21"/>
                <w:highlight w:val="none"/>
              </w:rPr>
              <w:t>交付服务：服务交付现场，成交供应商应在采购人单位人员在场情况下当面交付，双方签字确认。成交供应商应保证交付服务到达采购人所在地完好无损，如有缺漏、损坏或其他不满足要求的缺陷，由成交供应商负责修正、调换、补齐或赔偿。</w:t>
            </w:r>
          </w:p>
          <w:p w14:paraId="4636E728">
            <w:pPr>
              <w:keepNext w:val="0"/>
              <w:keepLines w:val="0"/>
              <w:pageBreakBefore w:val="0"/>
              <w:kinsoku/>
              <w:wordWrap/>
              <w:overflowPunct/>
              <w:topLinePunct w:val="0"/>
              <w:autoSpaceDE/>
              <w:autoSpaceDN/>
              <w:bidi w:val="0"/>
              <w:spacing w:line="400" w:lineRule="exact"/>
              <w:jc w:val="left"/>
              <w:textAlignment w:val="auto"/>
              <w:rPr>
                <w:color w:val="auto"/>
                <w:szCs w:val="21"/>
                <w:highlight w:val="none"/>
              </w:rPr>
            </w:pPr>
            <w:r>
              <w:rPr>
                <w:color w:val="auto"/>
                <w:szCs w:val="20"/>
                <w:highlight w:val="none"/>
              </w:rPr>
              <w:sym w:font="Wingdings 2" w:char="F052"/>
            </w:r>
            <w:r>
              <w:rPr>
                <w:rFonts w:hint="eastAsia"/>
                <w:color w:val="auto"/>
                <w:szCs w:val="21"/>
                <w:highlight w:val="none"/>
              </w:rPr>
              <w:t>其他服务内容：根据磋商文件检查服务内容是否满足要求。</w:t>
            </w:r>
          </w:p>
          <w:p w14:paraId="42C4C881">
            <w:pPr>
              <w:keepNext w:val="0"/>
              <w:keepLines w:val="0"/>
              <w:pageBreakBefore w:val="0"/>
              <w:kinsoku/>
              <w:wordWrap/>
              <w:overflowPunct/>
              <w:topLinePunct w:val="0"/>
              <w:autoSpaceDE/>
              <w:autoSpaceDN/>
              <w:bidi w:val="0"/>
              <w:spacing w:line="400" w:lineRule="exact"/>
              <w:jc w:val="left"/>
              <w:textAlignment w:val="auto"/>
              <w:rPr>
                <w:color w:val="auto"/>
                <w:szCs w:val="21"/>
                <w:highlight w:val="none"/>
              </w:rPr>
            </w:pPr>
            <w:r>
              <w:rPr>
                <w:color w:val="auto"/>
                <w:szCs w:val="21"/>
                <w:highlight w:val="none"/>
              </w:rPr>
              <w:t>2.</w:t>
            </w:r>
            <w:r>
              <w:rPr>
                <w:rFonts w:hint="eastAsia"/>
                <w:color w:val="auto"/>
                <w:szCs w:val="21"/>
                <w:highlight w:val="none"/>
              </w:rPr>
              <w:t>在规定时间内完成服务成果验收，并经采购人确认。服务符合要求，才作为最终验收。</w:t>
            </w:r>
          </w:p>
          <w:p w14:paraId="56F9FA31">
            <w:pPr>
              <w:keepNext w:val="0"/>
              <w:keepLines w:val="0"/>
              <w:pageBreakBefore w:val="0"/>
              <w:kinsoku/>
              <w:wordWrap/>
              <w:overflowPunct/>
              <w:topLinePunct w:val="0"/>
              <w:autoSpaceDE/>
              <w:autoSpaceDN/>
              <w:bidi w:val="0"/>
              <w:spacing w:line="400" w:lineRule="exact"/>
              <w:jc w:val="left"/>
              <w:textAlignment w:val="auto"/>
              <w:rPr>
                <w:color w:val="auto"/>
                <w:szCs w:val="21"/>
                <w:highlight w:val="none"/>
              </w:rPr>
            </w:pPr>
            <w:r>
              <w:rPr>
                <w:color w:val="auto"/>
                <w:szCs w:val="21"/>
                <w:highlight w:val="none"/>
              </w:rPr>
              <w:t>3</w:t>
            </w:r>
            <w:r>
              <w:rPr>
                <w:rFonts w:hint="eastAsia"/>
                <w:color w:val="auto"/>
                <w:szCs w:val="21"/>
                <w:highlight w:val="none"/>
              </w:rPr>
              <w:t>．成交供应商提供的服务未达到磋商文件规定要求，且对采购人造成损失的，由成交供应商承担一切责任，并赔偿所造成的损失。</w:t>
            </w:r>
          </w:p>
        </w:tc>
      </w:tr>
      <w:tr w14:paraId="7AB8A8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3AE599AA">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7</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3F30D312">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rFonts w:hint="eastAsia" w:ascii="宋体" w:hAnsi="宋体"/>
                <w:color w:val="auto"/>
                <w:szCs w:val="21"/>
                <w:highlight w:val="none"/>
              </w:rPr>
              <w:t>合同履行</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4EF2C44A">
            <w:pPr>
              <w:keepNext w:val="0"/>
              <w:keepLines w:val="0"/>
              <w:pageBreakBefore w:val="0"/>
              <w:kinsoku/>
              <w:wordWrap/>
              <w:overflowPunct/>
              <w:topLinePunct w:val="0"/>
              <w:autoSpaceDE/>
              <w:autoSpaceDN/>
              <w:bidi w:val="0"/>
              <w:spacing w:line="400" w:lineRule="exact"/>
              <w:jc w:val="left"/>
              <w:textAlignment w:val="auto"/>
              <w:rPr>
                <w:color w:val="auto"/>
                <w:szCs w:val="21"/>
                <w:highlight w:val="none"/>
              </w:rPr>
            </w:pPr>
            <w:r>
              <w:rPr>
                <w:rFonts w:hint="eastAsia" w:hAnsi="宋体"/>
                <w:b/>
                <w:bCs/>
                <w:color w:val="auto"/>
                <w:highlight w:val="none"/>
              </w:rPr>
              <w:t>▲</w:t>
            </w:r>
            <w:r>
              <w:rPr>
                <w:rFonts w:hint="eastAsia" w:ascii="宋体" w:hAnsi="宋体"/>
                <w:color w:val="auto"/>
                <w:szCs w:val="21"/>
                <w:highlight w:val="none"/>
              </w:rPr>
              <w:t>成交</w:t>
            </w:r>
            <w:r>
              <w:rPr>
                <w:rFonts w:ascii="宋体" w:hAnsi="宋体"/>
                <w:color w:val="auto"/>
                <w:szCs w:val="21"/>
                <w:highlight w:val="none"/>
              </w:rPr>
              <w:t>供应商</w:t>
            </w:r>
            <w:r>
              <w:rPr>
                <w:rFonts w:hint="eastAsia" w:ascii="宋体" w:hAnsi="宋体"/>
                <w:color w:val="auto"/>
                <w:szCs w:val="21"/>
                <w:highlight w:val="none"/>
              </w:rPr>
              <w:t>在响应文件中必须就合同履行要求作出承诺，如不接受，视为竞标文件无效。</w:t>
            </w:r>
          </w:p>
        </w:tc>
      </w:tr>
      <w:tr w14:paraId="5BA56F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10FC57B5">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8</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31FB7203">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知识产权</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54E09947">
            <w:pPr>
              <w:pStyle w:val="6"/>
              <w:keepNext w:val="0"/>
              <w:keepLines w:val="0"/>
              <w:pageBreakBefore w:val="0"/>
              <w:kinsoku/>
              <w:wordWrap/>
              <w:overflowPunct/>
              <w:topLinePunct w:val="0"/>
              <w:autoSpaceDE/>
              <w:autoSpaceDN/>
              <w:bidi w:val="0"/>
              <w:spacing w:line="400" w:lineRule="exact"/>
              <w:ind w:firstLine="0"/>
              <w:textAlignment w:val="auto"/>
              <w:rPr>
                <w:color w:val="auto"/>
                <w:highlight w:val="none"/>
              </w:rPr>
            </w:pPr>
            <w:r>
              <w:rPr>
                <w:rFonts w:hint="eastAsia"/>
                <w:color w:val="auto"/>
                <w:highlight w:val="none"/>
              </w:rPr>
              <w:t>本项目不接受存在知识产权纠纷或存在潜在知识产权纠纷的技术方案。</w:t>
            </w:r>
          </w:p>
          <w:p w14:paraId="7529B1F8">
            <w:pPr>
              <w:pStyle w:val="6"/>
              <w:keepNext w:val="0"/>
              <w:keepLines w:val="0"/>
              <w:pageBreakBefore w:val="0"/>
              <w:kinsoku/>
              <w:wordWrap/>
              <w:overflowPunct/>
              <w:topLinePunct w:val="0"/>
              <w:autoSpaceDE/>
              <w:autoSpaceDN/>
              <w:bidi w:val="0"/>
              <w:spacing w:line="400" w:lineRule="exact"/>
              <w:ind w:firstLine="0"/>
              <w:textAlignment w:val="auto"/>
              <w:rPr>
                <w:color w:val="auto"/>
                <w:highlight w:val="none"/>
              </w:rPr>
            </w:pPr>
            <w:r>
              <w:rPr>
                <w:rFonts w:hint="eastAsia"/>
                <w:color w:val="auto"/>
                <w:highlight w:val="none"/>
              </w:rPr>
              <w:t>供应商应保证提供服务过程中不会侵犯任何第三方的知识产权及其他权利。如发生侵权相应的法律责任(包括但不限于赔偿责任等)均由供应商承担，因此造成采购方损失的，供应商负责全额赔偿。</w:t>
            </w:r>
          </w:p>
        </w:tc>
      </w:tr>
      <w:tr w14:paraId="01BBC2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376792DF">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9</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7EFF652D">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付款方式、时间及</w:t>
            </w:r>
          </w:p>
          <w:p w14:paraId="55AD7208">
            <w:pPr>
              <w:keepNext w:val="0"/>
              <w:keepLines w:val="0"/>
              <w:pageBreakBefore w:val="0"/>
              <w:kinsoku/>
              <w:wordWrap/>
              <w:overflowPunct/>
              <w:topLinePunct w:val="0"/>
              <w:autoSpaceDE/>
              <w:autoSpaceDN/>
              <w:bidi w:val="0"/>
              <w:spacing w:line="400" w:lineRule="exact"/>
              <w:jc w:val="center"/>
              <w:textAlignment w:val="auto"/>
              <w:rPr>
                <w:color w:val="auto"/>
                <w:kern w:val="0"/>
                <w:szCs w:val="21"/>
                <w:highlight w:val="none"/>
                <w:shd w:val="pct10" w:color="auto" w:fill="FFFFFF"/>
              </w:rPr>
            </w:pPr>
            <w:r>
              <w:rPr>
                <w:color w:val="auto"/>
                <w:szCs w:val="21"/>
                <w:highlight w:val="none"/>
              </w:rPr>
              <w:t>条件</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402DA2B7">
            <w:pPr>
              <w:keepNext w:val="0"/>
              <w:keepLines w:val="0"/>
              <w:pageBreakBefore w:val="0"/>
              <w:kinsoku/>
              <w:wordWrap/>
              <w:overflowPunct/>
              <w:topLinePunct w:val="0"/>
              <w:autoSpaceDE/>
              <w:autoSpaceDN/>
              <w:bidi w:val="0"/>
              <w:spacing w:line="400" w:lineRule="exact"/>
              <w:textAlignment w:val="auto"/>
              <w:rPr>
                <w:color w:val="auto"/>
                <w:highlight w:val="none"/>
              </w:rPr>
            </w:pPr>
            <w:r>
              <w:rPr>
                <w:rFonts w:hint="eastAsia"/>
                <w:color w:val="auto"/>
                <w:highlight w:val="none"/>
              </w:rPr>
              <w:t>合同签订后10个工作日内，预付合同总额的30%</w:t>
            </w:r>
            <w:r>
              <w:rPr>
                <w:rFonts w:hint="eastAsia"/>
                <w:color w:val="auto"/>
                <w:highlight w:val="none"/>
                <w:lang w:eastAsia="zh-CN"/>
              </w:rPr>
              <w:t>，款项实际支付时间以</w:t>
            </w:r>
            <w:r>
              <w:rPr>
                <w:rFonts w:hint="eastAsia" w:ascii="宋体" w:hAnsi="宋体" w:cs="宋体"/>
                <w:color w:val="auto"/>
                <w:szCs w:val="21"/>
                <w:highlight w:val="none"/>
              </w:rPr>
              <w:t>采购人</w:t>
            </w:r>
            <w:r>
              <w:rPr>
                <w:rFonts w:hint="eastAsia"/>
                <w:color w:val="auto"/>
                <w:highlight w:val="none"/>
                <w:lang w:eastAsia="zh-CN"/>
              </w:rPr>
              <w:t>按支付程序提交财政部门审批并下达款项的时间为准。</w:t>
            </w:r>
            <w:r>
              <w:rPr>
                <w:rFonts w:hint="eastAsia"/>
                <w:color w:val="auto"/>
                <w:highlight w:val="none"/>
                <w:lang w:val="en-US" w:eastAsia="zh-CN"/>
              </w:rPr>
              <w:t>费用</w:t>
            </w:r>
            <w:r>
              <w:rPr>
                <w:rFonts w:hint="eastAsia" w:ascii="宋体" w:hAnsi="宋体" w:cs="宋体"/>
                <w:color w:val="auto"/>
                <w:szCs w:val="21"/>
                <w:highlight w:val="none"/>
              </w:rPr>
              <w:t>按单个监测任务</w:t>
            </w:r>
            <w:r>
              <w:rPr>
                <w:rFonts w:hint="eastAsia" w:ascii="宋体" w:hAnsi="宋体" w:cs="宋体"/>
                <w:color w:val="auto"/>
                <w:szCs w:val="21"/>
                <w:highlight w:val="none"/>
                <w:lang w:val="en-US" w:eastAsia="zh-CN"/>
              </w:rPr>
              <w:t>进行计算</w:t>
            </w:r>
            <w:r>
              <w:rPr>
                <w:rFonts w:hint="eastAsia"/>
                <w:color w:val="auto"/>
                <w:highlight w:val="none"/>
                <w:lang w:val="en-US" w:eastAsia="zh-CN"/>
              </w:rPr>
              <w:t>，</w:t>
            </w:r>
            <w:r>
              <w:rPr>
                <w:rFonts w:hint="eastAsia"/>
                <w:color w:val="auto"/>
                <w:highlight w:val="none"/>
              </w:rPr>
              <w:t>项目完成后，成交供应商向采购人提交正式检测报告，且报告经采购人验收通过后，支付</w:t>
            </w:r>
            <w:r>
              <w:rPr>
                <w:rFonts w:hint="eastAsia"/>
                <w:color w:val="auto"/>
                <w:highlight w:val="none"/>
                <w:lang w:val="en-US" w:eastAsia="zh-CN"/>
              </w:rPr>
              <w:t>剩余</w:t>
            </w:r>
            <w:r>
              <w:rPr>
                <w:rFonts w:hint="eastAsia"/>
                <w:color w:val="auto"/>
                <w:highlight w:val="none"/>
              </w:rPr>
              <w:t>金额的</w:t>
            </w:r>
            <w:r>
              <w:rPr>
                <w:rFonts w:hint="eastAsia"/>
                <w:color w:val="auto"/>
                <w:highlight w:val="none"/>
                <w:lang w:val="en-US" w:eastAsia="zh-CN"/>
              </w:rPr>
              <w:t>7</w:t>
            </w:r>
            <w:r>
              <w:rPr>
                <w:rFonts w:hint="eastAsia"/>
                <w:color w:val="auto"/>
                <w:highlight w:val="none"/>
              </w:rPr>
              <w:t>0%，每次付款前，成交人需提供该支付金额的合法发票、请款函和项目进度报告。</w:t>
            </w:r>
          </w:p>
          <w:p w14:paraId="57EEC8DB">
            <w:pPr>
              <w:pStyle w:val="6"/>
              <w:keepNext w:val="0"/>
              <w:keepLines w:val="0"/>
              <w:pageBreakBefore w:val="0"/>
              <w:kinsoku/>
              <w:wordWrap/>
              <w:overflowPunct/>
              <w:topLinePunct w:val="0"/>
              <w:autoSpaceDE/>
              <w:autoSpaceDN/>
              <w:bidi w:val="0"/>
              <w:spacing w:line="400" w:lineRule="exact"/>
              <w:ind w:firstLine="0"/>
              <w:textAlignment w:val="auto"/>
              <w:rPr>
                <w:color w:val="auto"/>
                <w:highlight w:val="none"/>
              </w:rPr>
            </w:pPr>
          </w:p>
        </w:tc>
      </w:tr>
      <w:tr w14:paraId="17A0A1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50" w:hRule="atLeast"/>
          <w:jc w:val="center"/>
        </w:trPr>
        <w:tc>
          <w:tcPr>
            <w:tcW w:w="8615"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4F85BC5">
            <w:pPr>
              <w:keepNext w:val="0"/>
              <w:keepLines w:val="0"/>
              <w:pageBreakBefore w:val="0"/>
              <w:widowControl/>
              <w:kinsoku/>
              <w:wordWrap/>
              <w:overflowPunct/>
              <w:topLinePunct w:val="0"/>
              <w:autoSpaceDE/>
              <w:autoSpaceDN/>
              <w:bidi w:val="0"/>
              <w:spacing w:line="400" w:lineRule="exact"/>
              <w:jc w:val="left"/>
              <w:textAlignment w:val="auto"/>
              <w:rPr>
                <w:color w:val="auto"/>
                <w:szCs w:val="21"/>
                <w:highlight w:val="none"/>
              </w:rPr>
            </w:pPr>
            <w:r>
              <w:rPr>
                <w:b/>
                <w:color w:val="auto"/>
                <w:kern w:val="0"/>
                <w:szCs w:val="21"/>
                <w:highlight w:val="none"/>
              </w:rPr>
              <w:t>五、本项目其他要求及说明</w:t>
            </w:r>
          </w:p>
        </w:tc>
      </w:tr>
      <w:tr w14:paraId="610F28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7"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14:paraId="072E3E53">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rFonts w:hint="eastAsia"/>
                <w:color w:val="auto"/>
                <w:szCs w:val="21"/>
                <w:highlight w:val="none"/>
              </w:rPr>
              <w:t>1</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2FF818A9">
            <w:pPr>
              <w:keepNext w:val="0"/>
              <w:keepLines w:val="0"/>
              <w:pageBreakBefore w:val="0"/>
              <w:kinsoku/>
              <w:wordWrap/>
              <w:overflowPunct/>
              <w:topLinePunct w:val="0"/>
              <w:autoSpaceDE/>
              <w:autoSpaceDN/>
              <w:bidi w:val="0"/>
              <w:spacing w:line="400" w:lineRule="exact"/>
              <w:jc w:val="center"/>
              <w:textAlignment w:val="auto"/>
              <w:rPr>
                <w:color w:val="auto"/>
                <w:szCs w:val="21"/>
                <w:highlight w:val="none"/>
              </w:rPr>
            </w:pPr>
            <w:r>
              <w:rPr>
                <w:color w:val="auto"/>
                <w:szCs w:val="21"/>
                <w:highlight w:val="none"/>
              </w:rPr>
              <w:t>其他</w:t>
            </w:r>
          </w:p>
        </w:tc>
        <w:tc>
          <w:tcPr>
            <w:tcW w:w="6491" w:type="dxa"/>
            <w:tcBorders>
              <w:top w:val="single" w:color="auto" w:sz="4" w:space="0"/>
              <w:left w:val="single" w:color="auto" w:sz="4" w:space="0"/>
              <w:bottom w:val="single" w:color="auto" w:sz="4" w:space="0"/>
              <w:right w:val="single" w:color="auto" w:sz="4" w:space="0"/>
            </w:tcBorders>
            <w:noWrap w:val="0"/>
            <w:vAlign w:val="center"/>
          </w:tcPr>
          <w:p w14:paraId="05579D66">
            <w:pPr>
              <w:keepNext w:val="0"/>
              <w:keepLines w:val="0"/>
              <w:pageBreakBefore w:val="0"/>
              <w:kinsoku/>
              <w:wordWrap/>
              <w:overflowPunct/>
              <w:topLinePunct w:val="0"/>
              <w:autoSpaceDE/>
              <w:autoSpaceDN/>
              <w:bidi w:val="0"/>
              <w:spacing w:line="400" w:lineRule="exact"/>
              <w:textAlignment w:val="auto"/>
              <w:rPr>
                <w:rFonts w:ascii="宋体" w:hAnsi="宋体"/>
                <w:color w:val="auto"/>
                <w:szCs w:val="21"/>
                <w:highlight w:val="none"/>
              </w:rPr>
            </w:pPr>
            <w:r>
              <w:rPr>
                <w:rFonts w:hint="eastAsia" w:ascii="宋体" w:hAnsi="宋体"/>
                <w:color w:val="auto"/>
                <w:szCs w:val="21"/>
                <w:highlight w:val="none"/>
              </w:rPr>
              <w:t>一、供应商须在响应文件中提供详细的服务技术方案，一旦成交之后须严格按照要求及承诺提供服务。服务技术方案包含但不限于以下内容：</w:t>
            </w:r>
          </w:p>
          <w:p w14:paraId="5A2BAAF0">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szCs w:val="21"/>
                <w:highlight w:val="none"/>
              </w:rPr>
            </w:pPr>
            <w:r>
              <w:rPr>
                <w:rFonts w:hint="eastAsia" w:ascii="宋体" w:hAnsi="宋体"/>
                <w:color w:val="auto"/>
                <w:szCs w:val="21"/>
                <w:highlight w:val="none"/>
              </w:rPr>
              <w:t>1.服务实施计划方案。</w:t>
            </w:r>
          </w:p>
          <w:p w14:paraId="7EDDA0AA">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szCs w:val="21"/>
                <w:highlight w:val="none"/>
              </w:rPr>
            </w:pPr>
            <w:r>
              <w:rPr>
                <w:rFonts w:hint="eastAsia" w:ascii="宋体" w:hAnsi="宋体"/>
                <w:color w:val="auto"/>
                <w:szCs w:val="21"/>
                <w:highlight w:val="none"/>
              </w:rPr>
              <w:t>（1）提出针对本项目特点和实际情况的项目执行方案；</w:t>
            </w:r>
          </w:p>
          <w:p w14:paraId="6EBBA131">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szCs w:val="21"/>
                <w:highlight w:val="none"/>
              </w:rPr>
            </w:pPr>
            <w:r>
              <w:rPr>
                <w:rFonts w:hint="eastAsia" w:ascii="宋体" w:hAnsi="宋体"/>
                <w:color w:val="auto"/>
                <w:szCs w:val="21"/>
                <w:highlight w:val="none"/>
              </w:rPr>
              <w:t>（2）列明承诺参与本项目的主要专业人员情况。</w:t>
            </w:r>
          </w:p>
          <w:p w14:paraId="55599A60">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szCs w:val="21"/>
                <w:highlight w:val="none"/>
              </w:rPr>
            </w:pPr>
            <w:r>
              <w:rPr>
                <w:rFonts w:hint="eastAsia" w:ascii="宋体" w:hAnsi="宋体"/>
                <w:color w:val="auto"/>
                <w:szCs w:val="21"/>
                <w:highlight w:val="none"/>
              </w:rPr>
              <w:t>2.服务质量保证措施。</w:t>
            </w:r>
          </w:p>
          <w:p w14:paraId="28D869DC">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szCs w:val="21"/>
                <w:highlight w:val="none"/>
              </w:rPr>
            </w:pPr>
            <w:r>
              <w:rPr>
                <w:rFonts w:hint="eastAsia" w:ascii="宋体" w:hAnsi="宋体"/>
                <w:color w:val="auto"/>
                <w:szCs w:val="21"/>
                <w:highlight w:val="none"/>
              </w:rPr>
              <w:t>3.服务进度保证措施。</w:t>
            </w:r>
          </w:p>
          <w:p w14:paraId="279E2074">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szCs w:val="21"/>
                <w:highlight w:val="none"/>
              </w:rPr>
            </w:pPr>
            <w:r>
              <w:rPr>
                <w:rFonts w:hint="eastAsia" w:ascii="宋体" w:hAnsi="宋体"/>
                <w:color w:val="auto"/>
                <w:szCs w:val="21"/>
                <w:highlight w:val="none"/>
              </w:rPr>
              <w:t>4.投入项目实施人员配置方案、设备配置方案。</w:t>
            </w:r>
          </w:p>
          <w:p w14:paraId="6E0F6817">
            <w:pPr>
              <w:keepNext w:val="0"/>
              <w:keepLines w:val="0"/>
              <w:pageBreakBefore w:val="0"/>
              <w:kinsoku/>
              <w:wordWrap/>
              <w:overflowPunct/>
              <w:topLinePunct w:val="0"/>
              <w:autoSpaceDE/>
              <w:autoSpaceDN/>
              <w:bidi w:val="0"/>
              <w:spacing w:line="400" w:lineRule="exact"/>
              <w:textAlignment w:val="auto"/>
              <w:rPr>
                <w:rFonts w:ascii="宋体" w:hAnsi="宋体"/>
                <w:color w:val="auto"/>
                <w:szCs w:val="21"/>
                <w:highlight w:val="none"/>
              </w:rPr>
            </w:pPr>
            <w:r>
              <w:rPr>
                <w:rFonts w:hint="eastAsia" w:ascii="宋体" w:hAnsi="宋体"/>
                <w:color w:val="auto"/>
                <w:szCs w:val="21"/>
                <w:highlight w:val="none"/>
              </w:rPr>
              <w:t>二、响应时请提供服务质量承诺书。</w:t>
            </w:r>
          </w:p>
          <w:p w14:paraId="1F7FD4D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color w:val="auto"/>
                <w:highlight w:val="none"/>
              </w:rPr>
            </w:pPr>
            <w:r>
              <w:rPr>
                <w:rFonts w:hint="eastAsia" w:ascii="宋体" w:hAnsi="宋体"/>
                <w:color w:val="auto"/>
                <w:highlight w:val="none"/>
              </w:rPr>
              <w:t>三、本项目采购标的需执行的国家相关标准、行业标准、地方标准或其他强制性标准、规范等要求：按照项目任务开展所涉及到现行有效的相关监测技术规范进行执行。</w:t>
            </w:r>
          </w:p>
          <w:p w14:paraId="7594617B">
            <w:pPr>
              <w:pStyle w:val="14"/>
              <w:rPr>
                <w:rFonts w:hint="eastAsia" w:hAnsi="宋体"/>
                <w:color w:val="auto"/>
                <w:highlight w:val="none"/>
                <w:lang w:val="en-US" w:eastAsia="zh-CN"/>
              </w:rPr>
            </w:pPr>
            <w:r>
              <w:rPr>
                <w:rFonts w:hint="eastAsia" w:hAnsi="宋体"/>
                <w:color w:val="auto"/>
                <w:highlight w:val="none"/>
                <w:lang w:val="en-US" w:eastAsia="zh-CN"/>
              </w:rPr>
              <w:t>四、在项目完成且收到供应商验收申请后5个工作日内组织开展履约验收;预算单位(采购人)应当尽量缩短采购合同签订时间，原则上不得晚于中标(成交)通知书发放之日起25日。预算单位(采购人)因不可抗力原因延迟签订合同的，应当白不可抗力事由消除之日起5个工作日内完成合同签订事宜。</w:t>
            </w:r>
          </w:p>
          <w:p w14:paraId="7182E6BC">
            <w:pPr>
              <w:rPr>
                <w:rFonts w:hint="default"/>
                <w:color w:val="auto"/>
                <w:highlight w:val="none"/>
                <w:lang w:val="en-US" w:eastAsia="zh-CN"/>
              </w:rPr>
            </w:pPr>
            <w:r>
              <w:rPr>
                <w:rFonts w:hint="eastAsia"/>
                <w:color w:val="auto"/>
                <w:highlight w:val="none"/>
                <w:lang w:val="en-US" w:eastAsia="zh-CN"/>
              </w:rPr>
              <w:t xml:space="preserve">五 </w:t>
            </w:r>
            <w:r>
              <w:rPr>
                <w:rFonts w:hint="eastAsia" w:hAnsi="宋体"/>
                <w:color w:val="auto"/>
                <w:highlight w:val="none"/>
                <w:lang w:val="en-US" w:eastAsia="zh-CN"/>
              </w:rPr>
              <w:t>、部分</w:t>
            </w:r>
            <w:r>
              <w:rPr>
                <w:rFonts w:hint="eastAsia" w:ascii="Times New Roman" w:hAnsi="Times New Roman" w:eastAsia="宋体" w:cs="Times New Roman"/>
                <w:color w:val="auto"/>
                <w:kern w:val="2"/>
                <w:sz w:val="21"/>
                <w:szCs w:val="20"/>
                <w:highlight w:val="none"/>
                <w:lang w:val="en-US" w:eastAsia="zh-CN" w:bidi="ar-SA"/>
              </w:rPr>
              <w:t>监测事项或任务</w:t>
            </w:r>
            <w:r>
              <w:rPr>
                <w:rFonts w:hint="eastAsia" w:cs="Times New Roman"/>
                <w:color w:val="auto"/>
                <w:kern w:val="2"/>
                <w:sz w:val="21"/>
                <w:szCs w:val="20"/>
                <w:highlight w:val="none"/>
                <w:lang w:val="en-US" w:eastAsia="zh-CN" w:bidi="ar-SA"/>
              </w:rPr>
              <w:t>允许分包。</w:t>
            </w:r>
          </w:p>
        </w:tc>
      </w:tr>
    </w:tbl>
    <w:p w14:paraId="01B8D77A">
      <w:pPr>
        <w:rPr>
          <w:rFonts w:hint="eastAsia"/>
          <w:b/>
          <w:bCs/>
          <w:color w:val="auto"/>
          <w:szCs w:val="21"/>
          <w:highlight w:val="none"/>
        </w:rPr>
      </w:pPr>
    </w:p>
    <w:p w14:paraId="1B8E1E4C">
      <w:pPr>
        <w:keepNext w:val="0"/>
        <w:keepLines w:val="0"/>
        <w:pageBreakBefore w:val="0"/>
        <w:kinsoku/>
        <w:overflowPunct/>
        <w:topLinePunct w:val="0"/>
        <w:autoSpaceDE/>
        <w:autoSpaceDN/>
        <w:bidi w:val="0"/>
        <w:adjustRightInd/>
        <w:snapToGrid/>
        <w:spacing w:line="240" w:lineRule="atLeast"/>
        <w:ind w:firstLine="420" w:firstLineChars="200"/>
        <w:textAlignment w:val="auto"/>
        <w:rPr>
          <w:rFonts w:hint="eastAsia" w:ascii="Times New Roman" w:hAnsi="Times New Roman" w:eastAsia="宋体" w:cs="Times New Roman"/>
          <w:color w:val="auto"/>
          <w:kern w:val="2"/>
          <w:sz w:val="21"/>
          <w:szCs w:val="20"/>
          <w:highlight w:val="none"/>
          <w:lang w:val="en-US" w:eastAsia="zh-CN" w:bidi="ar-SA"/>
        </w:rPr>
      </w:pPr>
    </w:p>
    <w:bookmarkEnd w:id="22"/>
    <w:p w14:paraId="31E5033C">
      <w:pPr>
        <w:rPr>
          <w:rFonts w:hint="default" w:ascii="Times New Roman" w:hAnsi="Times New Roman" w:eastAsia="隶书" w:cs="Times New Roman"/>
          <w:color w:val="auto"/>
          <w:sz w:val="44"/>
          <w:highlight w:val="none"/>
        </w:rPr>
      </w:pPr>
      <w:bookmarkStart w:id="24" w:name="_Toc29259"/>
      <w:r>
        <w:rPr>
          <w:rFonts w:hint="default" w:ascii="Times New Roman" w:hAnsi="Times New Roman" w:eastAsia="宋体" w:cs="Times New Roman"/>
          <w:color w:val="auto"/>
          <w:kern w:val="2"/>
          <w:sz w:val="21"/>
          <w:szCs w:val="20"/>
          <w:highlight w:val="none"/>
          <w:lang w:val="en-US" w:eastAsia="zh-CN" w:bidi="ar-SA"/>
        </w:rPr>
        <w:br w:type="page"/>
      </w:r>
    </w:p>
    <w:bookmarkEnd w:id="24"/>
    <w:p w14:paraId="6F860C26">
      <w:pPr>
        <w:pStyle w:val="17"/>
        <w:numPr>
          <w:ilvl w:val="0"/>
          <w:numId w:val="3"/>
        </w:numPr>
        <w:ind w:left="0" w:leftChars="0" w:firstLine="0" w:firstLineChars="0"/>
        <w:jc w:val="center"/>
        <w:outlineLvl w:val="1"/>
        <w:rPr>
          <w:rFonts w:hint="default" w:ascii="Times New Roman" w:hAnsi="Times New Roman" w:eastAsia="隶书" w:cs="Times New Roman"/>
          <w:color w:val="auto"/>
          <w:sz w:val="44"/>
          <w:highlight w:val="none"/>
        </w:rPr>
      </w:pPr>
      <w:r>
        <w:rPr>
          <w:rFonts w:hint="default" w:ascii="Times New Roman" w:hAnsi="Times New Roman" w:eastAsia="隶书" w:cs="Times New Roman"/>
          <w:color w:val="auto"/>
          <w:sz w:val="44"/>
          <w:highlight w:val="none"/>
        </w:rPr>
        <w:t>合同书格式</w:t>
      </w:r>
    </w:p>
    <w:p w14:paraId="107A454A">
      <w:pPr>
        <w:widowControl w:val="0"/>
        <w:numPr>
          <w:ilvl w:val="0"/>
          <w:numId w:val="0"/>
        </w:numPr>
        <w:jc w:val="both"/>
        <w:rPr>
          <w:rFonts w:hint="default"/>
          <w:color w:val="auto"/>
          <w:highlight w:val="none"/>
        </w:rPr>
      </w:pPr>
    </w:p>
    <w:p w14:paraId="3EFBA542">
      <w:pPr>
        <w:snapToGrid w:val="0"/>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采</w:t>
      </w:r>
      <w:r>
        <w:rPr>
          <w:rFonts w:hint="default" w:ascii="Times New Roman" w:hAnsi="Times New Roman" w:eastAsia="宋体" w:cs="Times New Roman"/>
          <w:color w:val="auto"/>
          <w:sz w:val="21"/>
          <w:szCs w:val="21"/>
          <w:highlight w:val="none"/>
        </w:rPr>
        <w:t xml:space="preserve">购人（甲方）：_________________   </w:t>
      </w:r>
    </w:p>
    <w:p w14:paraId="382C8C82">
      <w:pPr>
        <w:snapToGrid w:val="0"/>
        <w:spacing w:line="360" w:lineRule="auto"/>
        <w:jc w:val="left"/>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pacing w:val="-20"/>
          <w:sz w:val="21"/>
          <w:szCs w:val="21"/>
          <w:highlight w:val="none"/>
        </w:rPr>
        <w:t>招 标 编 号：</w:t>
      </w:r>
      <w:r>
        <w:rPr>
          <w:rFonts w:hint="default" w:ascii="Times New Roman" w:hAnsi="Times New Roman" w:eastAsia="宋体" w:cs="Times New Roman"/>
          <w:color w:val="auto"/>
          <w:sz w:val="21"/>
          <w:szCs w:val="21"/>
          <w:highlight w:val="none"/>
        </w:rPr>
        <w:t>_______________________</w:t>
      </w:r>
    </w:p>
    <w:p w14:paraId="2126CA01">
      <w:pPr>
        <w:snapToGrid w:val="0"/>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签订点：</w:t>
      </w:r>
      <w:r>
        <w:rPr>
          <w:rFonts w:hint="default" w:ascii="Times New Roman" w:hAnsi="Times New Roman" w:eastAsia="宋体" w:cs="Times New Roman"/>
          <w:color w:val="auto"/>
          <w:sz w:val="21"/>
          <w:szCs w:val="21"/>
          <w:highlight w:val="none"/>
          <w:u w:val="single"/>
        </w:rPr>
        <w:t>采购人所在地</w:t>
      </w:r>
      <w:r>
        <w:rPr>
          <w:rFonts w:hint="default" w:ascii="Times New Roman" w:hAnsi="Times New Roman" w:eastAsia="宋体" w:cs="Times New Roman"/>
          <w:color w:val="auto"/>
          <w:sz w:val="21"/>
          <w:szCs w:val="21"/>
          <w:highlight w:val="none"/>
        </w:rPr>
        <w:t xml:space="preserve">                     </w:t>
      </w:r>
    </w:p>
    <w:p w14:paraId="50B05EF3">
      <w:pPr>
        <w:snapToGrid w:val="0"/>
        <w:spacing w:line="360" w:lineRule="auto"/>
        <w:jc w:val="left"/>
        <w:rPr>
          <w:rFonts w:hint="eastAsia"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签订时间：______________________</w:t>
      </w:r>
      <w:r>
        <w:rPr>
          <w:rFonts w:hint="eastAsia" w:cs="Times New Roman"/>
          <w:color w:val="auto"/>
          <w:sz w:val="21"/>
          <w:szCs w:val="21"/>
          <w:highlight w:val="none"/>
          <w:u w:val="single"/>
          <w:lang w:val="en-US" w:eastAsia="zh-CN"/>
        </w:rPr>
        <w:t xml:space="preserve">   </w:t>
      </w:r>
    </w:p>
    <w:p w14:paraId="7A17EB9E">
      <w:pPr>
        <w:spacing w:before="662"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根据《中华人民共和国政府采购法》、《中华人民共和国民典法》等法律、法规规定，按照招标文件</w:t>
      </w:r>
    </w:p>
    <w:p w14:paraId="00A6B178">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规定条款和投标文件、中标（成交）投标人承诺，甲乙双方签订本合同。</w:t>
      </w:r>
    </w:p>
    <w:p w14:paraId="01D2ABFF">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第一条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合同标的</w:t>
      </w:r>
    </w:p>
    <w:p w14:paraId="5BC9C186">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1、本项目总价款为</w:t>
      </w:r>
      <w:r>
        <w:rPr>
          <w:rFonts w:hAnsiTheme="minorHAnsi" w:eastAsiaTheme="minorEastAsia" w:cstheme="minorBidi"/>
          <w:color w:val="auto"/>
          <w:spacing w:val="3100"/>
          <w:sz w:val="21"/>
          <w:szCs w:val="22"/>
          <w:highlight w:val="none"/>
          <w:lang w:val="en-US" w:eastAsia="en-US" w:bidi="ar-SA"/>
        </w:rPr>
        <w:t xml:space="preserve"> </w:t>
      </w:r>
      <w:r>
        <w:rPr>
          <w:rFonts w:ascii="宋体" w:hAnsi="宋体" w:cs="宋体" w:eastAsiaTheme="minorEastAsia"/>
          <w:color w:val="auto"/>
          <w:sz w:val="21"/>
          <w:szCs w:val="22"/>
          <w:highlight w:val="none"/>
          <w:lang w:val="en-US" w:eastAsia="en-US" w:bidi="ar-SA"/>
        </w:rPr>
        <w:t>。</w:t>
      </w:r>
    </w:p>
    <w:p w14:paraId="762CCC1D">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2、合同合计金额包括为了实施和完成服务所需的各种费用及合同包含的所有风险、责任等各项应有</w:t>
      </w:r>
    </w:p>
    <w:p w14:paraId="08D91B89">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的费用。如招投标文件对其另有规定的，从其规定。</w:t>
      </w:r>
    </w:p>
    <w:p w14:paraId="447DA41C">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第二条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质量保证</w:t>
      </w:r>
    </w:p>
    <w:p w14:paraId="52FA941B">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1.为保证合同履行质量，乙方须切实按招标文件要求，履行投标文件的各项服务承诺，保证服务的质</w:t>
      </w:r>
    </w:p>
    <w:p w14:paraId="28FF8002">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量。</w:t>
      </w:r>
    </w:p>
    <w:p w14:paraId="4C16BC64">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2.乙方应履行投标文件的承诺，保证项目实施团队人员的数量和素质满足履行合同要求并随时接受甲</w:t>
      </w:r>
    </w:p>
    <w:p w14:paraId="450FCB5C">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方的检查。</w:t>
      </w:r>
    </w:p>
    <w:p w14:paraId="7DB90ED7">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3.乙方应履行投标文件的承诺，配置必要的软件和硬件设备保证合同的有效实施。</w:t>
      </w:r>
    </w:p>
    <w:p w14:paraId="0237ACDF">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4.为保证合同履行质量，乙方有责任建立系统的内部质量保证体系。</w:t>
      </w:r>
    </w:p>
    <w:p w14:paraId="1EBC1D2F">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5.鉴于服务性质的特殊性，乙方有责任对所提供的服务和服务成果按照甲方的要求作相应的调整。</w:t>
      </w:r>
    </w:p>
    <w:p w14:paraId="787365BC">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第三条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权力保证</w:t>
      </w:r>
    </w:p>
    <w:p w14:paraId="0B57E748">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1.乙方应保证所提供的质量管理工具在使用时不会侵犯任何第三方的专利权、商标权、工业设计权或</w:t>
      </w:r>
    </w:p>
    <w:p w14:paraId="334BFFDF">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其他权利。</w:t>
      </w:r>
    </w:p>
    <w:p w14:paraId="67A8219A">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2.乙方应按招标文件规定的时间向甲方提供质量管理工具的有关技术资料。</w:t>
      </w:r>
    </w:p>
    <w:p w14:paraId="112AB6B3">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3.乙方应遵守国家的法律、法规和有关规章制度，按甲方提出的规定作出实质性承诺。</w:t>
      </w:r>
    </w:p>
    <w:p w14:paraId="1AD65AE6">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4.没有甲方事先书面同意，乙方不得将由甲方提供的有关合同或任何合同条文、方案需求或甲方有关</w:t>
      </w:r>
    </w:p>
    <w:p w14:paraId="703306A9">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的内部资料提供给与履行本合同无关的任何其他人。即使向履行本合同有关的人员提供，也应注意保密并</w:t>
      </w:r>
    </w:p>
    <w:p w14:paraId="034B8007">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限于履行合同的必需范围。</w:t>
      </w:r>
    </w:p>
    <w:p w14:paraId="0968C8D0">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5.乙方所制定实施的项目方案应保证按照有关科学标准的质量管理标准与方法进行，同时在制定与实</w:t>
      </w:r>
    </w:p>
    <w:p w14:paraId="6A26BF36">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施过程中不会泄漏甲方有关的管理决策、制度及文件等。</w:t>
      </w:r>
    </w:p>
    <w:p w14:paraId="5957E892">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6.乙方保证所制定的项目实施方案所有权完全属于乙方且无任何抵押、查封等产权瑕疵。</w:t>
      </w:r>
    </w:p>
    <w:p w14:paraId="56A84CD1">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7.甲方需指定专人与乙方共同组成项目组，并提供必要的办公条件，配合乙方完成项目。</w:t>
      </w:r>
    </w:p>
    <w:p w14:paraId="1AD83ECA">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第四条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交付和验收：</w:t>
      </w:r>
    </w:p>
    <w:p w14:paraId="520477D8">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按照项目实施具体要求进行的交付和验收。</w:t>
      </w:r>
    </w:p>
    <w:p w14:paraId="677E8684">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第五条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培训</w:t>
      </w:r>
    </w:p>
    <w:p w14:paraId="37D86A8C">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乙方负责甲方有关质量管理工作人员的培训。培训时间、地点由甲乙双方共同协商决定。</w:t>
      </w:r>
    </w:p>
    <w:p w14:paraId="4255FF6D">
      <w:pPr>
        <w:keepNext w:val="0"/>
        <w:keepLines w:val="0"/>
        <w:pageBreakBefore w:val="0"/>
        <w:widowControl w:val="0"/>
        <w:kinsoku/>
        <w:wordWrap/>
        <w:overflowPunct/>
        <w:topLinePunct w:val="0"/>
        <w:autoSpaceDE/>
        <w:autoSpaceDN/>
        <w:bidi w:val="0"/>
        <w:adjustRightInd/>
        <w:snapToGrid/>
        <w:spacing w:before="187" w:after="0" w:line="360" w:lineRule="auto"/>
        <w:ind w:left="420" w:right="0" w:firstLine="0"/>
        <w:jc w:val="left"/>
        <w:textAlignment w:val="auto"/>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第六条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服务内容和验收要求</w:t>
      </w:r>
    </w:p>
    <w:p w14:paraId="177F12FE">
      <w:pPr>
        <w:keepNext w:val="0"/>
        <w:keepLines w:val="0"/>
        <w:pageBreakBefore w:val="0"/>
        <w:widowControl w:val="0"/>
        <w:kinsoku/>
        <w:wordWrap/>
        <w:overflowPunct/>
        <w:topLinePunct w:val="0"/>
        <w:autoSpaceDE/>
        <w:autoSpaceDN/>
        <w:bidi w:val="0"/>
        <w:adjustRightInd/>
        <w:snapToGrid/>
        <w:spacing w:before="0" w:after="0" w:line="360" w:lineRule="auto"/>
        <w:ind w:left="420" w:right="0" w:firstLine="0"/>
        <w:jc w:val="left"/>
        <w:textAlignment w:val="auto"/>
        <w:rPr>
          <w:rFonts w:hAnsiTheme="minorHAnsi" w:eastAsiaTheme="minorEastAsia" w:cstheme="minorBidi"/>
          <w:color w:val="auto"/>
          <w:sz w:val="21"/>
          <w:szCs w:val="22"/>
          <w:highlight w:val="none"/>
          <w:lang w:val="en-US" w:eastAsia="en-US" w:bidi="ar-SA"/>
        </w:rPr>
      </w:pPr>
      <w:bookmarkStart w:id="25" w:name="br1_5_0"/>
      <w:bookmarkEnd w:id="25"/>
      <w:bookmarkStart w:id="26" w:name="br1_6_0"/>
      <w:bookmarkEnd w:id="26"/>
      <w:r>
        <w:rPr>
          <w:color w:val="auto"/>
          <w:highlight w:val="none"/>
        </w:rPr>
        <w:drawing>
          <wp:anchor distT="0" distB="0" distL="114300" distR="114300" simplePos="0" relativeHeight="251663360" behindDoc="1" locked="0" layoutInCell="1" allowOverlap="1">
            <wp:simplePos x="0" y="0"/>
            <wp:positionH relativeFrom="page">
              <wp:posOffset>-12700</wp:posOffset>
            </wp:positionH>
            <wp:positionV relativeFrom="page">
              <wp:posOffset>-12700</wp:posOffset>
            </wp:positionV>
            <wp:extent cx="38100" cy="38100"/>
            <wp:effectExtent l="0" t="0" r="0" b="0"/>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a:stretch>
                      <a:fillRect/>
                    </a:stretch>
                  </pic:blipFill>
                  <pic:spPr>
                    <a:xfrm>
                      <a:off x="0" y="0"/>
                      <a:ext cx="38100" cy="38100"/>
                    </a:xfrm>
                    <a:prstGeom prst="rect">
                      <a:avLst/>
                    </a:prstGeom>
                    <a:noFill/>
                    <a:ln>
                      <a:noFill/>
                    </a:ln>
                  </pic:spPr>
                </pic:pic>
              </a:graphicData>
            </a:graphic>
          </wp:anchor>
        </w:drawing>
      </w:r>
      <w:r>
        <w:rPr>
          <w:color w:val="auto"/>
          <w:highlight w:val="none"/>
        </w:rPr>
        <w:drawing>
          <wp:anchor distT="0" distB="0" distL="114300" distR="114300" simplePos="0" relativeHeight="251662336" behindDoc="1" locked="0" layoutInCell="1" allowOverlap="1">
            <wp:simplePos x="0" y="0"/>
            <wp:positionH relativeFrom="page">
              <wp:posOffset>2077720</wp:posOffset>
            </wp:positionH>
            <wp:positionV relativeFrom="page">
              <wp:posOffset>8576945</wp:posOffset>
            </wp:positionV>
            <wp:extent cx="226695" cy="38100"/>
            <wp:effectExtent l="0" t="0" r="1905" b="0"/>
            <wp:wrapNone/>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1"/>
                    <a:stretch>
                      <a:fillRect/>
                    </a:stretch>
                  </pic:blipFill>
                  <pic:spPr>
                    <a:xfrm>
                      <a:off x="0" y="0"/>
                      <a:ext cx="226695" cy="38100"/>
                    </a:xfrm>
                    <a:prstGeom prst="rect">
                      <a:avLst/>
                    </a:prstGeom>
                    <a:noFill/>
                    <a:ln>
                      <a:noFill/>
                    </a:ln>
                  </pic:spPr>
                </pic:pic>
              </a:graphicData>
            </a:graphic>
          </wp:anchor>
        </w:drawing>
      </w:r>
      <w:r>
        <w:rPr>
          <w:rFonts w:ascii="宋体" w:hAnsi="宋体" w:cs="宋体" w:eastAsiaTheme="minorEastAsia"/>
          <w:color w:val="auto"/>
          <w:sz w:val="21"/>
          <w:szCs w:val="22"/>
          <w:highlight w:val="none"/>
          <w:lang w:val="en-US" w:eastAsia="en-US" w:bidi="ar-SA"/>
        </w:rPr>
        <w:t>1、项目实施内容：</w:t>
      </w:r>
    </w:p>
    <w:p w14:paraId="423C2524">
      <w:pPr>
        <w:keepNext w:val="0"/>
        <w:keepLines w:val="0"/>
        <w:pageBreakBefore w:val="0"/>
        <w:widowControl w:val="0"/>
        <w:kinsoku/>
        <w:wordWrap/>
        <w:overflowPunct/>
        <w:topLinePunct w:val="0"/>
        <w:autoSpaceDE/>
        <w:autoSpaceDN/>
        <w:bidi w:val="0"/>
        <w:adjustRightInd/>
        <w:snapToGrid/>
        <w:spacing w:before="187" w:after="0" w:line="360" w:lineRule="auto"/>
        <w:ind w:left="420" w:right="0" w:firstLine="0"/>
        <w:jc w:val="left"/>
        <w:textAlignment w:val="auto"/>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2、服务要求：</w:t>
      </w:r>
    </w:p>
    <w:p w14:paraId="3EC14FFE">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3、成果交付时间：</w:t>
      </w:r>
    </w:p>
    <w:p w14:paraId="30471F0F">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4、乙方所提供的服务必须与招投标文件和承诺相一致且符合相应的服务规范及标准。</w:t>
      </w:r>
    </w:p>
    <w:p w14:paraId="413BF490">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5、乙方提供的服务承诺和售后服务及有关的实施后的保障责任等其它具体约定事项。（见投标文件）</w:t>
      </w:r>
    </w:p>
    <w:p w14:paraId="55F1739E">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6、乙方所提供的服务必须与招投标文件和承诺相一致且符合相应的服务规范及标准。</w:t>
      </w:r>
    </w:p>
    <w:p w14:paraId="371F3B0C">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7、乙方提供的服务承诺和售后服务及有关的实施后的保障责任等其它具体约定事项。（见投标文件）</w:t>
      </w:r>
    </w:p>
    <w:p w14:paraId="2E92C81A">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8、本项目所形成的数据和报告归甲方所有。未经甲方允许，不得将数据和报告发送给任何第三方。</w:t>
      </w:r>
    </w:p>
    <w:p w14:paraId="06CF36AF">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编制任务完成后，移交给甲方的资料应填写“资料移交清单”，甲方要求提交的档案材料，应一式两份，</w:t>
      </w:r>
    </w:p>
    <w:p w14:paraId="6C2E5D41">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原件存档，复印件交甲方。工作过程中形成的光盘、录音带、录像和照片等材料，应附文字说明和标识随</w:t>
      </w:r>
    </w:p>
    <w:p w14:paraId="476192CB">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材料一并归档。对工作开展过程中知悉的国家秘密、商业秘密和个人信息，应予以保密。</w:t>
      </w:r>
    </w:p>
    <w:p w14:paraId="648334E3">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9、甲方在乙方完成提交项目成果文件后七个工作日内依据招标文件上的技术规格要求和国家有关质</w:t>
      </w:r>
    </w:p>
    <w:p w14:paraId="2E7B86D4">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量标准对已完成的成果进行审查，符合招标文件技术要求的，给予签收，初步验收不合格的不予签收。逾</w:t>
      </w:r>
    </w:p>
    <w:p w14:paraId="70DEB9C9">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期不验收的，乙方可视同验收合格。验收合格后由双方签署验收单并加盖采购单位公章，甲乙双方各执一</w:t>
      </w:r>
    </w:p>
    <w:p w14:paraId="4858DB96">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份。</w:t>
      </w:r>
    </w:p>
    <w:p w14:paraId="7C4973E7">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10、甲方对验收有异议的，在验收后五个工作日内以书面形式向乙方提出，乙方应自收到甲方书面异</w:t>
      </w:r>
    </w:p>
    <w:p w14:paraId="29510E74">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议后五个工作日内及时予以解决。</w:t>
      </w:r>
    </w:p>
    <w:p w14:paraId="2522B797">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11、报送和审查时所需的成果文件（纸质和电子档）均由乙方负责免费提供。</w:t>
      </w:r>
    </w:p>
    <w:p w14:paraId="06A838F6">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第七条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付款方式</w:t>
      </w:r>
    </w:p>
    <w:p w14:paraId="341EB902">
      <w:pPr>
        <w:spacing w:before="186" w:after="0" w:line="220"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1、资金性质：</w:t>
      </w:r>
      <w:r>
        <w:rPr>
          <w:rFonts w:ascii="宋体" w:hAnsi="宋体" w:cs="宋体" w:eastAsiaTheme="minorEastAsia"/>
          <w:color w:val="auto"/>
          <w:sz w:val="21"/>
          <w:szCs w:val="22"/>
          <w:highlight w:val="none"/>
          <w:u w:val="single"/>
          <w:lang w:val="en-US" w:eastAsia="en-US" w:bidi="ar-SA"/>
        </w:rPr>
        <w:t>财政性资金</w:t>
      </w:r>
      <w:r>
        <w:rPr>
          <w:rFonts w:ascii="宋体" w:hAnsi="宋体" w:cs="宋体" w:eastAsiaTheme="minorEastAsia"/>
          <w:color w:val="auto"/>
          <w:sz w:val="21"/>
          <w:szCs w:val="22"/>
          <w:highlight w:val="none"/>
          <w:lang w:val="en-US" w:eastAsia="en-US" w:bidi="ar-SA"/>
        </w:rPr>
        <w:t>。</w:t>
      </w:r>
    </w:p>
    <w:p w14:paraId="1A31EC4B">
      <w:pPr>
        <w:keepNext w:val="0"/>
        <w:keepLines w:val="0"/>
        <w:pageBreakBefore w:val="0"/>
        <w:kinsoku/>
        <w:wordWrap/>
        <w:overflowPunct/>
        <w:topLinePunct w:val="0"/>
        <w:autoSpaceDE/>
        <w:autoSpaceDN/>
        <w:bidi w:val="0"/>
        <w:spacing w:line="400" w:lineRule="exact"/>
        <w:ind w:firstLine="212" w:firstLineChars="100"/>
        <w:textAlignment w:val="auto"/>
        <w:rPr>
          <w:color w:val="auto"/>
          <w:highlight w:val="none"/>
        </w:rPr>
      </w:pPr>
      <w:r>
        <w:rPr>
          <w:rFonts w:ascii="IIIFGO+TimesNewRomanPSMT" w:hAnsiTheme="minorHAnsi" w:eastAsiaTheme="minorEastAsia" w:cstheme="minorBidi"/>
          <w:color w:val="auto"/>
          <w:spacing w:val="1"/>
          <w:sz w:val="21"/>
          <w:szCs w:val="22"/>
          <w:highlight w:val="none"/>
          <w:lang w:val="en-US" w:eastAsia="en-US" w:bidi="ar-SA"/>
        </w:rPr>
        <w:t>2</w:t>
      </w:r>
      <w:r>
        <w:rPr>
          <w:rFonts w:ascii="宋体" w:hAnsi="宋体" w:cs="宋体" w:eastAsiaTheme="minorEastAsia"/>
          <w:color w:val="auto"/>
          <w:spacing w:val="-2"/>
          <w:sz w:val="21"/>
          <w:szCs w:val="22"/>
          <w:highlight w:val="none"/>
          <w:lang w:val="en-US" w:eastAsia="en-US" w:bidi="ar-SA"/>
        </w:rPr>
        <w:t>、付款方式：</w:t>
      </w:r>
      <w:r>
        <w:rPr>
          <w:rFonts w:hint="eastAsia"/>
          <w:color w:val="auto"/>
          <w:highlight w:val="none"/>
        </w:rPr>
        <w:t>合同签订后10个工作日内，预付合同总额的30%</w:t>
      </w:r>
      <w:r>
        <w:rPr>
          <w:rFonts w:hint="eastAsia"/>
          <w:color w:val="auto"/>
          <w:highlight w:val="none"/>
          <w:lang w:eastAsia="zh-CN"/>
        </w:rPr>
        <w:t>，款项实际支付时间以</w:t>
      </w:r>
      <w:r>
        <w:rPr>
          <w:rFonts w:hint="eastAsia" w:ascii="宋体" w:hAnsi="宋体" w:cs="宋体"/>
          <w:color w:val="auto"/>
          <w:szCs w:val="21"/>
          <w:highlight w:val="none"/>
        </w:rPr>
        <w:t>采购人</w:t>
      </w:r>
      <w:r>
        <w:rPr>
          <w:rFonts w:hint="eastAsia"/>
          <w:color w:val="auto"/>
          <w:highlight w:val="none"/>
          <w:lang w:eastAsia="zh-CN"/>
        </w:rPr>
        <w:t>按支付程序提交财政部门审批并下达款项的时间为准。</w:t>
      </w:r>
      <w:r>
        <w:rPr>
          <w:rFonts w:hint="eastAsia"/>
          <w:color w:val="auto"/>
          <w:highlight w:val="none"/>
          <w:lang w:val="en-US" w:eastAsia="zh-CN"/>
        </w:rPr>
        <w:t>费用</w:t>
      </w:r>
      <w:r>
        <w:rPr>
          <w:rFonts w:hint="eastAsia" w:ascii="宋体" w:hAnsi="宋体" w:cs="宋体"/>
          <w:color w:val="auto"/>
          <w:szCs w:val="21"/>
          <w:highlight w:val="none"/>
        </w:rPr>
        <w:t>按单个监测任务</w:t>
      </w:r>
      <w:r>
        <w:rPr>
          <w:rFonts w:hint="eastAsia" w:ascii="宋体" w:hAnsi="宋体" w:cs="宋体"/>
          <w:color w:val="auto"/>
          <w:szCs w:val="21"/>
          <w:highlight w:val="none"/>
          <w:lang w:val="en-US" w:eastAsia="zh-CN"/>
        </w:rPr>
        <w:t>进行计算</w:t>
      </w:r>
      <w:r>
        <w:rPr>
          <w:rFonts w:hint="eastAsia"/>
          <w:color w:val="auto"/>
          <w:highlight w:val="none"/>
          <w:lang w:val="en-US" w:eastAsia="zh-CN"/>
        </w:rPr>
        <w:t>，</w:t>
      </w:r>
      <w:r>
        <w:rPr>
          <w:rFonts w:hint="eastAsia"/>
          <w:color w:val="auto"/>
          <w:highlight w:val="none"/>
        </w:rPr>
        <w:t>项目完成后，成交供应商向采购人提交正式检测报告，且报告经采购人验收通过后，支付</w:t>
      </w:r>
      <w:r>
        <w:rPr>
          <w:rFonts w:hint="eastAsia"/>
          <w:color w:val="auto"/>
          <w:highlight w:val="none"/>
          <w:lang w:val="en-US" w:eastAsia="zh-CN"/>
        </w:rPr>
        <w:t>剩余</w:t>
      </w:r>
      <w:r>
        <w:rPr>
          <w:rFonts w:hint="eastAsia"/>
          <w:color w:val="auto"/>
          <w:highlight w:val="none"/>
        </w:rPr>
        <w:t>金额的</w:t>
      </w:r>
      <w:r>
        <w:rPr>
          <w:rFonts w:hint="eastAsia"/>
          <w:color w:val="auto"/>
          <w:highlight w:val="none"/>
          <w:lang w:val="en-US" w:eastAsia="zh-CN"/>
        </w:rPr>
        <w:t>7</w:t>
      </w:r>
      <w:r>
        <w:rPr>
          <w:rFonts w:hint="eastAsia"/>
          <w:color w:val="auto"/>
          <w:highlight w:val="none"/>
        </w:rPr>
        <w:t>0%，每次付款前，成交人需提供该支付金额的合法发票、请款函和项目进度报告。</w:t>
      </w:r>
    </w:p>
    <w:p w14:paraId="25A34B23">
      <w:pPr>
        <w:spacing w:before="167" w:after="0" w:line="241" w:lineRule="exact"/>
        <w:ind w:left="0" w:right="0" w:firstLine="0"/>
        <w:jc w:val="left"/>
        <w:rPr>
          <w:rFonts w:hAnsiTheme="minorHAnsi" w:eastAsiaTheme="minorEastAsia" w:cstheme="minorBidi"/>
          <w:color w:val="auto"/>
          <w:sz w:val="21"/>
          <w:szCs w:val="22"/>
          <w:highlight w:val="none"/>
          <w:lang w:val="en-US" w:eastAsia="en-US" w:bidi="ar-SA"/>
        </w:rPr>
      </w:pPr>
    </w:p>
    <w:p w14:paraId="3370F249">
      <w:pPr>
        <w:spacing w:before="240"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第八条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税费</w:t>
      </w:r>
    </w:p>
    <w:p w14:paraId="729B0545">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本合同执行中相关的一切税费均由乙方负担。</w:t>
      </w:r>
    </w:p>
    <w:p w14:paraId="22372CDC">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第九条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违约责任</w:t>
      </w:r>
    </w:p>
    <w:p w14:paraId="5F50D97A">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1.乙方未按要求履行合同义务时，甲方有权拒绝验收，且对逾期交付的成果，乙方从逾期之日起每日</w:t>
      </w:r>
    </w:p>
    <w:p w14:paraId="185CD10C">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按合同总额的</w:t>
      </w:r>
      <w:r>
        <w:rPr>
          <w:rFonts w:hAnsiTheme="minorHAnsi" w:eastAsiaTheme="minorEastAsia" w:cstheme="minorBidi"/>
          <w:color w:val="auto"/>
          <w:spacing w:val="2"/>
          <w:sz w:val="21"/>
          <w:szCs w:val="22"/>
          <w:highlight w:val="none"/>
          <w:lang w:val="en-US" w:eastAsia="en-US" w:bidi="ar-SA"/>
        </w:rPr>
        <w:t xml:space="preserve"> </w:t>
      </w:r>
      <w:r>
        <w:rPr>
          <w:rFonts w:ascii="宋体" w:hAnsi="宋体" w:cs="宋体" w:eastAsiaTheme="minorEastAsia"/>
          <w:color w:val="auto"/>
          <w:spacing w:val="-2"/>
          <w:sz w:val="21"/>
          <w:szCs w:val="22"/>
          <w:highlight w:val="none"/>
          <w:lang w:val="en-US" w:eastAsia="en-US" w:bidi="ar-SA"/>
        </w:rPr>
        <w:t>2‰比例向甲方支付违约金；逾期</w:t>
      </w:r>
      <w:r>
        <w:rPr>
          <w:rFonts w:hAnsiTheme="minorHAnsi" w:eastAsiaTheme="minorEastAsia" w:cstheme="minorBidi"/>
          <w:color w:val="auto"/>
          <w:spacing w:val="6"/>
          <w:sz w:val="21"/>
          <w:szCs w:val="22"/>
          <w:highlight w:val="none"/>
          <w:lang w:val="en-US" w:eastAsia="en-US" w:bidi="ar-SA"/>
        </w:rPr>
        <w:t xml:space="preserve"> </w:t>
      </w:r>
      <w:r>
        <w:rPr>
          <w:rFonts w:ascii="宋体" w:hAnsiTheme="minorHAnsi" w:eastAsiaTheme="minorEastAsia" w:cstheme="minorBidi"/>
          <w:color w:val="auto"/>
          <w:spacing w:val="1"/>
          <w:sz w:val="21"/>
          <w:szCs w:val="22"/>
          <w:highlight w:val="none"/>
          <w:lang w:val="en-US" w:eastAsia="en-US" w:bidi="ar-SA"/>
        </w:rPr>
        <w:t>15</w:t>
      </w:r>
      <w:r>
        <w:rPr>
          <w:rFonts w:hAnsiTheme="minorHAnsi" w:eastAsiaTheme="minorEastAsia" w:cstheme="minorBidi"/>
          <w:color w:val="auto"/>
          <w:spacing w:val="-2"/>
          <w:sz w:val="21"/>
          <w:szCs w:val="22"/>
          <w:highlight w:val="none"/>
          <w:lang w:val="en-US" w:eastAsia="en-US" w:bidi="ar-SA"/>
        </w:rPr>
        <w:t xml:space="preserve"> </w:t>
      </w:r>
      <w:r>
        <w:rPr>
          <w:rFonts w:ascii="宋体" w:hAnsi="宋体" w:cs="宋体" w:eastAsiaTheme="minorEastAsia"/>
          <w:color w:val="auto"/>
          <w:spacing w:val="-2"/>
          <w:sz w:val="21"/>
          <w:szCs w:val="22"/>
          <w:highlight w:val="none"/>
          <w:lang w:val="en-US" w:eastAsia="en-US" w:bidi="ar-SA"/>
        </w:rPr>
        <w:t>日以上时，甲方有权终止合同，由此造成甲方的经济损</w:t>
      </w:r>
    </w:p>
    <w:p w14:paraId="10D9F1C8">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失由乙方承担。违约金不足以弥补损失的，乙方应按全额赔偿。</w:t>
      </w:r>
    </w:p>
    <w:p w14:paraId="2F7B9A9F">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2.甲方未按要求履行合同义务时，且无正当理由拖延付款时，甲方须向乙方支付滞纳金，标准为每日</w:t>
      </w:r>
    </w:p>
    <w:p w14:paraId="1745154A">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按违约总额的</w:t>
      </w:r>
      <w:r>
        <w:rPr>
          <w:rFonts w:hAnsiTheme="minorHAnsi" w:eastAsiaTheme="minorEastAsia" w:cstheme="minorBidi"/>
          <w:color w:val="auto"/>
          <w:spacing w:val="2"/>
          <w:sz w:val="21"/>
          <w:szCs w:val="22"/>
          <w:highlight w:val="none"/>
          <w:lang w:val="en-US" w:eastAsia="en-US" w:bidi="ar-SA"/>
        </w:rPr>
        <w:t xml:space="preserve"> </w:t>
      </w:r>
      <w:r>
        <w:rPr>
          <w:rFonts w:ascii="宋体" w:hAnsi="宋体" w:cs="宋体" w:eastAsiaTheme="minorEastAsia"/>
          <w:color w:val="auto"/>
          <w:sz w:val="21"/>
          <w:szCs w:val="22"/>
          <w:highlight w:val="none"/>
          <w:lang w:val="en-US" w:eastAsia="en-US" w:bidi="ar-SA"/>
        </w:rPr>
        <w:t>2‰累计。</w:t>
      </w:r>
    </w:p>
    <w:p w14:paraId="487AF308">
      <w:pPr>
        <w:spacing w:before="113" w:after="0" w:line="241" w:lineRule="exact"/>
        <w:ind w:left="420" w:right="0" w:firstLine="0"/>
        <w:jc w:val="left"/>
        <w:rPr>
          <w:rFonts w:hAnsiTheme="minorHAnsi" w:eastAsiaTheme="minorEastAsia" w:cstheme="minorBidi"/>
          <w:color w:val="auto"/>
          <w:sz w:val="21"/>
          <w:szCs w:val="22"/>
          <w:highlight w:val="none"/>
          <w:lang w:val="en-US" w:eastAsia="en-US" w:bidi="ar-SA"/>
        </w:rPr>
      </w:pPr>
      <w:r>
        <w:rPr>
          <w:rFonts w:ascii="IIIFGO+TimesNewRomanPSMT" w:hAnsiTheme="minorHAnsi" w:eastAsiaTheme="minorEastAsia" w:cstheme="minorBidi"/>
          <w:color w:val="auto"/>
          <w:sz w:val="21"/>
          <w:szCs w:val="22"/>
          <w:highlight w:val="none"/>
          <w:lang w:val="en-US" w:eastAsia="en-US" w:bidi="ar-SA"/>
        </w:rPr>
        <w:t>3.</w:t>
      </w:r>
      <w:r>
        <w:rPr>
          <w:rFonts w:ascii="宋体" w:hAnsi="宋体" w:cs="宋体" w:eastAsiaTheme="minorEastAsia"/>
          <w:color w:val="auto"/>
          <w:spacing w:val="1"/>
          <w:sz w:val="21"/>
          <w:szCs w:val="22"/>
          <w:highlight w:val="none"/>
          <w:lang w:val="en-US" w:eastAsia="en-US" w:bidi="ar-SA"/>
        </w:rPr>
        <w:t>签订合同之日起</w:t>
      </w:r>
      <w:r>
        <w:rPr>
          <w:rFonts w:hAnsiTheme="minorHAnsi" w:eastAsiaTheme="minorEastAsia" w:cstheme="minorBidi"/>
          <w:color w:val="auto"/>
          <w:spacing w:val="370"/>
          <w:sz w:val="21"/>
          <w:szCs w:val="22"/>
          <w:highlight w:val="none"/>
          <w:u w:val="single"/>
          <w:lang w:val="en-US" w:eastAsia="en-US" w:bidi="ar-SA"/>
        </w:rPr>
        <w:t xml:space="preserve"> </w:t>
      </w:r>
      <w:r>
        <w:rPr>
          <w:rFonts w:ascii="宋体" w:hAnsi="宋体" w:cs="宋体" w:eastAsiaTheme="minorEastAsia"/>
          <w:color w:val="auto"/>
          <w:spacing w:val="1"/>
          <w:sz w:val="21"/>
          <w:szCs w:val="22"/>
          <w:highlight w:val="none"/>
          <w:lang w:val="en-US" w:eastAsia="en-US" w:bidi="ar-SA"/>
        </w:rPr>
        <w:t>日内完成，并取得生态主管部门审核通过。如未按期完成，甲方按照每日合同</w:t>
      </w:r>
    </w:p>
    <w:p w14:paraId="115D8600">
      <w:pPr>
        <w:spacing w:before="167" w:after="0" w:line="241"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金额</w:t>
      </w:r>
      <w:r>
        <w:rPr>
          <w:rFonts w:ascii="IIIFGO+TimesNewRomanPSMT" w:hAnsiTheme="minorHAnsi" w:eastAsiaTheme="minorEastAsia" w:cstheme="minorBidi"/>
          <w:color w:val="auto"/>
          <w:spacing w:val="1"/>
          <w:sz w:val="21"/>
          <w:szCs w:val="22"/>
          <w:highlight w:val="none"/>
          <w:lang w:val="en-US" w:eastAsia="en-US" w:bidi="ar-SA"/>
        </w:rPr>
        <w:t>1</w:t>
      </w:r>
      <w:r>
        <w:rPr>
          <w:rFonts w:ascii="宋体" w:hAnsi="宋体" w:cs="宋体" w:eastAsiaTheme="minorEastAsia"/>
          <w:color w:val="auto"/>
          <w:sz w:val="21"/>
          <w:szCs w:val="22"/>
          <w:highlight w:val="none"/>
          <w:lang w:val="en-US" w:eastAsia="en-US" w:bidi="ar-SA"/>
        </w:rPr>
        <w:t>‰进行处罚。</w:t>
      </w:r>
    </w:p>
    <w:p w14:paraId="3DC36684">
      <w:pPr>
        <w:spacing w:before="240"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4.乙方根据合同附件承担相应的违约责任。</w:t>
      </w:r>
    </w:p>
    <w:p w14:paraId="0BE375D0">
      <w:pPr>
        <w:spacing w:before="189"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5.乙方提交的项目成果有下列情形之一的，甲方将有权终止合同：</w:t>
      </w:r>
    </w:p>
    <w:p w14:paraId="4CD0B5C6">
      <w:pPr>
        <w:keepNext w:val="0"/>
        <w:keepLines w:val="0"/>
        <w:pageBreakBefore w:val="0"/>
        <w:widowControl w:val="0"/>
        <w:kinsoku/>
        <w:wordWrap/>
        <w:overflowPunct/>
        <w:topLinePunct w:val="0"/>
        <w:autoSpaceDE/>
        <w:autoSpaceDN/>
        <w:bidi w:val="0"/>
        <w:adjustRightInd/>
        <w:snapToGrid/>
        <w:spacing w:before="187" w:after="0" w:line="360" w:lineRule="auto"/>
        <w:ind w:left="420" w:right="0" w:firstLine="0"/>
        <w:jc w:val="left"/>
        <w:textAlignment w:val="auto"/>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1)提交的成果不符合本项目任务书规定的。</w:t>
      </w:r>
    </w:p>
    <w:p w14:paraId="4FD73BF2">
      <w:pPr>
        <w:keepNext w:val="0"/>
        <w:keepLines w:val="0"/>
        <w:pageBreakBefore w:val="0"/>
        <w:widowControl w:val="0"/>
        <w:kinsoku/>
        <w:wordWrap/>
        <w:overflowPunct/>
        <w:topLinePunct w:val="0"/>
        <w:autoSpaceDE/>
        <w:autoSpaceDN/>
        <w:bidi w:val="0"/>
        <w:adjustRightInd/>
        <w:snapToGrid/>
        <w:spacing w:before="0" w:after="0" w:line="360" w:lineRule="auto"/>
        <w:ind w:left="420" w:right="0" w:firstLine="0"/>
        <w:jc w:val="left"/>
        <w:textAlignment w:val="auto"/>
        <w:rPr>
          <w:rFonts w:hAnsiTheme="minorHAnsi" w:eastAsiaTheme="minorEastAsia" w:cstheme="minorBidi"/>
          <w:color w:val="auto"/>
          <w:sz w:val="21"/>
          <w:szCs w:val="22"/>
          <w:highlight w:val="none"/>
          <w:lang w:val="en-US" w:eastAsia="en-US" w:bidi="ar-SA"/>
        </w:rPr>
      </w:pPr>
      <w:bookmarkStart w:id="27" w:name="br1_7_0"/>
      <w:bookmarkEnd w:id="27"/>
      <w:r>
        <w:rPr>
          <w:rFonts w:ascii="宋体" w:hAnsi="宋体" w:cs="宋体" w:eastAsiaTheme="minorEastAsia"/>
          <w:color w:val="auto"/>
          <w:sz w:val="21"/>
          <w:szCs w:val="22"/>
          <w:highlight w:val="none"/>
          <w:lang w:val="en-US" w:eastAsia="en-US" w:bidi="ar-SA"/>
        </w:rPr>
        <w:t>2)提交的成果图纸和文字辨认不清，内容不全或粗制滥造的。</w:t>
      </w:r>
    </w:p>
    <w:p w14:paraId="6A04248B">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3)未经甲方同意，逾期上报设计成果的。</w:t>
      </w:r>
    </w:p>
    <w:p w14:paraId="10A31E8D">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4)项目成果不能通过法定程序审批的。</w:t>
      </w:r>
    </w:p>
    <w:p w14:paraId="48B5F952">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5)乙方未经甲方正式书面同意擅自修改项目成果，造成的责任由乙方负责。</w:t>
      </w:r>
    </w:p>
    <w:p w14:paraId="2BB82988">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第十条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不可抗力事件处理</w:t>
      </w:r>
    </w:p>
    <w:p w14:paraId="3DAE6481">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1、由于地震、台风、水灾、火灾、战争以及其他不能预见并对其发生和后果不能预防、不能克服或</w:t>
      </w:r>
    </w:p>
    <w:p w14:paraId="35F67821">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避免的不可抗力，直接影响本合同的履行或者不能按照合同的约定履行时，遇有上述不可抗力的一方可以</w:t>
      </w:r>
    </w:p>
    <w:p w14:paraId="24A6C42D">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免除相关合同责任。但遇有上述不可抗力的一方应立即书面通知对方，并在</w:t>
      </w:r>
      <w:r>
        <w:rPr>
          <w:rFonts w:hAnsiTheme="minorHAnsi" w:eastAsiaTheme="minorEastAsia" w:cstheme="minorBidi"/>
          <w:color w:val="auto"/>
          <w:sz w:val="21"/>
          <w:szCs w:val="22"/>
          <w:highlight w:val="none"/>
          <w:lang w:val="en-US" w:eastAsia="en-US" w:bidi="ar-SA"/>
        </w:rPr>
        <w:t xml:space="preserve"> </w:t>
      </w:r>
      <w:r>
        <w:rPr>
          <w:rFonts w:ascii="宋体" w:hAnsiTheme="minorHAnsi" w:eastAsiaTheme="minorEastAsia" w:cstheme="minorBidi"/>
          <w:color w:val="auto"/>
          <w:spacing w:val="1"/>
          <w:sz w:val="21"/>
          <w:szCs w:val="22"/>
          <w:highlight w:val="none"/>
          <w:lang w:val="en-US" w:eastAsia="en-US" w:bidi="ar-SA"/>
        </w:rPr>
        <w:t>15</w:t>
      </w:r>
      <w:r>
        <w:rPr>
          <w:rFonts w:hAnsiTheme="minorHAnsi" w:eastAsiaTheme="minorEastAsia" w:cstheme="minorBidi"/>
          <w:color w:val="auto"/>
          <w:spacing w:val="3"/>
          <w:sz w:val="21"/>
          <w:szCs w:val="22"/>
          <w:highlight w:val="none"/>
          <w:lang w:val="en-US" w:eastAsia="en-US" w:bidi="ar-SA"/>
        </w:rPr>
        <w:t xml:space="preserve"> </w:t>
      </w:r>
      <w:r>
        <w:rPr>
          <w:rFonts w:ascii="宋体" w:hAnsi="宋体" w:cs="宋体" w:eastAsiaTheme="minorEastAsia"/>
          <w:color w:val="auto"/>
          <w:spacing w:val="2"/>
          <w:sz w:val="21"/>
          <w:szCs w:val="22"/>
          <w:highlight w:val="none"/>
          <w:lang w:val="en-US" w:eastAsia="en-US" w:bidi="ar-SA"/>
        </w:rPr>
        <w:t>天之内提供不可抗力的详</w:t>
      </w:r>
    </w:p>
    <w:p w14:paraId="7393DDE9">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细情况及合同不能履行，或者部分不能履行，或者需要延期履行的理由和有效的证明文件。按不可抗力对</w:t>
      </w:r>
    </w:p>
    <w:p w14:paraId="4B69FFFA">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3"/>
          <w:sz w:val="21"/>
          <w:szCs w:val="22"/>
          <w:highlight w:val="none"/>
          <w:lang w:val="en-US" w:eastAsia="en-US" w:bidi="ar-SA"/>
        </w:rPr>
        <w:t>履行合同影响的程度，由双方协商决定是否解除合同，或者部分免除履行合同的义务，或者延期履行合同。</w:t>
      </w:r>
    </w:p>
    <w:p w14:paraId="22478CA3">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一方迟延履行本合同时发生不可抗力的，迟延方的合同义务不能免除。</w:t>
      </w:r>
    </w:p>
    <w:p w14:paraId="71A8FD8B">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2、受到不可抗力影响的一方，应尽可能地采取合理的行为和适当的措施减轻不可抗力对本合同的履</w:t>
      </w:r>
    </w:p>
    <w:p w14:paraId="1438FB36">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行所造成的影响。没有采取适当措施致使损失扩大的，该方不得就扩大损失的部分要求免责或赔偿。</w:t>
      </w:r>
    </w:p>
    <w:p w14:paraId="45347129">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第十一条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合同争议解决</w:t>
      </w:r>
    </w:p>
    <w:p w14:paraId="5AF7C4E3">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1、因履行本合同引起的或与本合同有关的争议，甲乙双方应首先通过友好协商解决，如果协商不能</w:t>
      </w:r>
    </w:p>
    <w:p w14:paraId="783FD3AC">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解决，可向玉林市仲裁委员会申请仲裁或向甲方所在地的人民法院提起诉讼；</w:t>
      </w:r>
    </w:p>
    <w:p w14:paraId="5C3E702B">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2、如对任何争议进行仲裁或向人民法院提起诉讼，除争议事项或争议事项所涉及的条款外，双方应</w:t>
      </w:r>
    </w:p>
    <w:p w14:paraId="18624B2A">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继续履行本合同项下的其它义务。</w:t>
      </w:r>
    </w:p>
    <w:p w14:paraId="32FB8B6D">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3、诉讼期间，本合同继续履行。</w:t>
      </w:r>
    </w:p>
    <w:p w14:paraId="6D646825">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第十二条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z w:val="21"/>
          <w:szCs w:val="22"/>
          <w:highlight w:val="none"/>
          <w:lang w:val="en-US" w:eastAsia="en-US" w:bidi="ar-SA"/>
        </w:rPr>
        <w:t>保</w:t>
      </w:r>
      <w:r>
        <w:rPr>
          <w:rFonts w:hAnsiTheme="minorHAnsi" w:eastAsiaTheme="minorEastAsia" w:cstheme="minorBidi"/>
          <w:color w:val="auto"/>
          <w:spacing w:val="52"/>
          <w:sz w:val="21"/>
          <w:szCs w:val="22"/>
          <w:highlight w:val="none"/>
          <w:lang w:val="en-US" w:eastAsia="en-US" w:bidi="ar-SA"/>
        </w:rPr>
        <w:t xml:space="preserve"> </w:t>
      </w:r>
      <w:r>
        <w:rPr>
          <w:rFonts w:ascii="宋体" w:hAnsi="宋体" w:cs="宋体" w:eastAsiaTheme="minorEastAsia"/>
          <w:color w:val="auto"/>
          <w:sz w:val="21"/>
          <w:szCs w:val="22"/>
          <w:highlight w:val="none"/>
          <w:lang w:val="en-US" w:eastAsia="en-US" w:bidi="ar-SA"/>
        </w:rPr>
        <w:t>密</w:t>
      </w:r>
    </w:p>
    <w:p w14:paraId="23F32055">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乙方应保守在履行本合同中知悉的甲方商业秘密和技术秘密，不得泄露或不正当使用，否则甲方有权</w:t>
      </w:r>
    </w:p>
    <w:p w14:paraId="0D7EF97B">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追究其法律责任。</w:t>
      </w:r>
    </w:p>
    <w:p w14:paraId="50E6CE10">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第十三条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合同生效及其它</w:t>
      </w:r>
    </w:p>
    <w:p w14:paraId="1BB8189C">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1、合同经双方法定代表人或授权代表签字并加盖单位公章后生效。</w:t>
      </w:r>
    </w:p>
    <w:p w14:paraId="0D3F07E3">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2、合同执行中涉及采购资金和采购内容修改或补充的，须经财政部门审批，并签书面补充协议报财</w:t>
      </w:r>
    </w:p>
    <w:p w14:paraId="77F5B9DD">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政部门备案，方可作为主合同不可分割的一部分。</w:t>
      </w:r>
    </w:p>
    <w:p w14:paraId="59B30DAA">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3、本合同未尽事宜，遵照《民典法》有关条文执行。</w:t>
      </w:r>
    </w:p>
    <w:p w14:paraId="26BEC87D">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第十四条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合同的变更、终止与转让</w:t>
      </w:r>
    </w:p>
    <w:p w14:paraId="5141B4C9">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1、除《中华人民共和国政府采购法》第五十条规定的情形外，本合同一经签订，甲乙双方不得擅自</w:t>
      </w:r>
    </w:p>
    <w:p w14:paraId="3ED795A0">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变更、中止或终止。</w:t>
      </w:r>
    </w:p>
    <w:p w14:paraId="524AFA33">
      <w:pPr>
        <w:spacing w:before="184"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2、乙方不得擅自转让其应履行的合同义务。</w:t>
      </w:r>
    </w:p>
    <w:p w14:paraId="0830987C">
      <w:pPr>
        <w:spacing w:before="189"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3、合同经双方法定代表人或授权代表签字并加盖单位公章后生效。</w:t>
      </w:r>
    </w:p>
    <w:p w14:paraId="45CF4F1D">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2"/>
          <w:sz w:val="21"/>
          <w:szCs w:val="22"/>
          <w:highlight w:val="none"/>
          <w:lang w:val="en-US" w:eastAsia="en-US" w:bidi="ar-SA"/>
        </w:rPr>
        <w:t>4、合同执行中涉及采购资金和采购内容修改或补充的，须经财政部门审批，并签书面补充协议报财</w:t>
      </w:r>
    </w:p>
    <w:p w14:paraId="3649A825">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政部门备案，方可作为主合同不可分割的一部分。</w:t>
      </w:r>
    </w:p>
    <w:p w14:paraId="62555074">
      <w:pPr>
        <w:keepNext w:val="0"/>
        <w:keepLines w:val="0"/>
        <w:pageBreakBefore w:val="0"/>
        <w:widowControl w:val="0"/>
        <w:kinsoku/>
        <w:wordWrap/>
        <w:overflowPunct/>
        <w:topLinePunct w:val="0"/>
        <w:autoSpaceDE/>
        <w:autoSpaceDN/>
        <w:bidi w:val="0"/>
        <w:adjustRightInd/>
        <w:snapToGrid/>
        <w:spacing w:before="187" w:after="0" w:line="360" w:lineRule="auto"/>
        <w:ind w:left="420" w:right="0" w:firstLine="0"/>
        <w:jc w:val="left"/>
        <w:textAlignment w:val="auto"/>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5、本合同未尽事宜，遵照《民典法》有关条文执行。</w:t>
      </w:r>
    </w:p>
    <w:p w14:paraId="2796CEBD">
      <w:pPr>
        <w:keepNext w:val="0"/>
        <w:keepLines w:val="0"/>
        <w:pageBreakBefore w:val="0"/>
        <w:widowControl w:val="0"/>
        <w:kinsoku/>
        <w:wordWrap/>
        <w:overflowPunct/>
        <w:topLinePunct w:val="0"/>
        <w:autoSpaceDE/>
        <w:autoSpaceDN/>
        <w:bidi w:val="0"/>
        <w:adjustRightInd/>
        <w:snapToGrid/>
        <w:spacing w:before="0" w:after="0" w:line="360" w:lineRule="auto"/>
        <w:ind w:left="420" w:right="0" w:firstLine="0"/>
        <w:jc w:val="left"/>
        <w:textAlignment w:val="auto"/>
        <w:rPr>
          <w:rFonts w:hAnsiTheme="minorHAnsi" w:eastAsiaTheme="minorEastAsia" w:cstheme="minorBidi"/>
          <w:color w:val="auto"/>
          <w:sz w:val="21"/>
          <w:szCs w:val="22"/>
          <w:highlight w:val="none"/>
          <w:lang w:val="en-US" w:eastAsia="en-US" w:bidi="ar-SA"/>
        </w:rPr>
      </w:pPr>
      <w:bookmarkStart w:id="28" w:name="br1_8_0"/>
      <w:bookmarkEnd w:id="28"/>
      <w:bookmarkStart w:id="29" w:name="br1_9_0"/>
      <w:bookmarkEnd w:id="29"/>
      <w:r>
        <w:rPr>
          <w:rFonts w:ascii="宋体" w:hAnsi="宋体" w:cs="宋体" w:eastAsiaTheme="minorEastAsia"/>
          <w:color w:val="auto"/>
          <w:spacing w:val="1"/>
          <w:sz w:val="21"/>
          <w:szCs w:val="22"/>
          <w:highlight w:val="none"/>
          <w:lang w:val="en-US" w:eastAsia="en-US" w:bidi="ar-SA"/>
        </w:rPr>
        <w:t>第十五条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签订本合同依据</w:t>
      </w:r>
    </w:p>
    <w:p w14:paraId="192077DB">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1、采购文件；</w:t>
      </w:r>
    </w:p>
    <w:p w14:paraId="28005C5A">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2、乙方提供的响应文件；</w:t>
      </w:r>
    </w:p>
    <w:p w14:paraId="4546EA98">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3、投标承诺书；</w:t>
      </w:r>
    </w:p>
    <w:p w14:paraId="00B6EC11">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4、中标通知书。</w:t>
      </w:r>
    </w:p>
    <w:p w14:paraId="11D4CA22">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pacing w:val="1"/>
          <w:sz w:val="21"/>
          <w:szCs w:val="22"/>
          <w:highlight w:val="none"/>
          <w:lang w:val="en-US" w:eastAsia="en-US" w:bidi="ar-SA"/>
        </w:rPr>
        <w:t>第十六条</w:t>
      </w:r>
      <w:r>
        <w:rPr>
          <w:rFonts w:hAnsiTheme="minorHAnsi" w:eastAsiaTheme="minorEastAsia" w:cstheme="minorBidi"/>
          <w:color w:val="auto"/>
          <w:spacing w:val="159"/>
          <w:sz w:val="21"/>
          <w:szCs w:val="22"/>
          <w:highlight w:val="none"/>
          <w:lang w:val="en-US" w:eastAsia="en-US" w:bidi="ar-SA"/>
        </w:rPr>
        <w:t xml:space="preserve"> </w:t>
      </w:r>
      <w:r>
        <w:rPr>
          <w:rFonts w:ascii="宋体" w:hAnsi="宋体" w:cs="宋体" w:eastAsiaTheme="minorEastAsia"/>
          <w:color w:val="auto"/>
          <w:spacing w:val="-1"/>
          <w:sz w:val="21"/>
          <w:szCs w:val="22"/>
          <w:highlight w:val="none"/>
          <w:lang w:val="en-US" w:eastAsia="en-US" w:bidi="ar-SA"/>
        </w:rPr>
        <w:t>本合同一式五份，具有同等法律效力，采购代理机构一份，甲方两份，乙方两份（可根据</w:t>
      </w:r>
    </w:p>
    <w:p w14:paraId="28E9C4AD">
      <w:pPr>
        <w:spacing w:before="187" w:after="0" w:line="219" w:lineRule="exact"/>
        <w:ind w:left="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需要另增加）。</w:t>
      </w:r>
    </w:p>
    <w:p w14:paraId="2FDB4597">
      <w:pPr>
        <w:spacing w:before="187" w:after="0" w:line="219" w:lineRule="exact"/>
        <w:ind w:left="420" w:right="0" w:firstLine="0"/>
        <w:jc w:val="left"/>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本合同甲乙双方签字盖章后生效。</w:t>
      </w:r>
    </w:p>
    <w:p w14:paraId="1BDDDDA8">
      <w:pPr>
        <w:spacing w:before="305" w:line="360" w:lineRule="auto"/>
        <w:ind w:left="394"/>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9"/>
          <w:sz w:val="21"/>
          <w:szCs w:val="21"/>
          <w:highlight w:val="none"/>
        </w:rPr>
        <w:t xml:space="preserve">甲方（盖章）：                                                                                              </w:t>
      </w:r>
      <w:r>
        <w:rPr>
          <w:rFonts w:hint="default" w:ascii="Times New Roman" w:hAnsi="Times New Roman" w:eastAsia="宋体" w:cs="Times New Roman"/>
          <w:color w:val="auto"/>
          <w:spacing w:val="-1"/>
          <w:sz w:val="21"/>
          <w:szCs w:val="21"/>
          <w:highlight w:val="none"/>
        </w:rPr>
        <w:t>乙方（盖章）</w:t>
      </w:r>
    </w:p>
    <w:p w14:paraId="157F92F7">
      <w:pPr>
        <w:spacing w:before="751" w:line="219" w:lineRule="exact"/>
        <w:ind w:firstLine="456" w:firstLineChars="3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9"/>
          <w:sz w:val="21"/>
          <w:szCs w:val="21"/>
          <w:highlight w:val="none"/>
        </w:rPr>
        <w:t>代表（签字）：                                                                                             代表（签字）：</w:t>
      </w:r>
    </w:p>
    <w:p w14:paraId="0C3AD9CD">
      <w:pPr>
        <w:spacing w:before="1149" w:line="219" w:lineRule="exact"/>
        <w:ind w:left="394"/>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pacing w:val="-16"/>
          <w:sz w:val="21"/>
          <w:szCs w:val="21"/>
          <w:highlight w:val="none"/>
        </w:rPr>
        <w:t xml:space="preserve">日 期：   </w:t>
      </w:r>
      <w:r>
        <w:rPr>
          <w:rFonts w:hint="default" w:ascii="Times New Roman" w:hAnsi="Times New Roman" w:eastAsia="宋体" w:cs="Times New Roman"/>
          <w:color w:val="auto"/>
          <w:sz w:val="21"/>
          <w:szCs w:val="21"/>
          <w:highlight w:val="none"/>
        </w:rPr>
        <w:t xml:space="preserve">年  月    日                                  </w:t>
      </w:r>
      <w:r>
        <w:rPr>
          <w:rFonts w:hint="default" w:ascii="Times New Roman" w:hAnsi="Times New Roman" w:eastAsia="宋体" w:cs="Times New Roman"/>
          <w:color w:val="auto"/>
          <w:spacing w:val="-16"/>
          <w:sz w:val="21"/>
          <w:szCs w:val="21"/>
          <w:highlight w:val="none"/>
        </w:rPr>
        <w:t xml:space="preserve">日 期：   </w:t>
      </w:r>
      <w:r>
        <w:rPr>
          <w:rFonts w:hint="default" w:ascii="Times New Roman" w:hAnsi="Times New Roman" w:eastAsia="宋体" w:cs="Times New Roman"/>
          <w:color w:val="auto"/>
          <w:sz w:val="21"/>
          <w:szCs w:val="21"/>
          <w:highlight w:val="none"/>
        </w:rPr>
        <w:t>年   月</w:t>
      </w:r>
      <w:r>
        <w:rPr>
          <w:rFonts w:hint="default" w:ascii="Times New Roman" w:hAnsi="Times New Roman" w:cs="Times New Roman"/>
          <w:color w:val="auto"/>
          <w:sz w:val="21"/>
          <w:szCs w:val="21"/>
          <w:highlight w:val="none"/>
        </w:rPr>
        <w:t xml:space="preserve">    日</w:t>
      </w:r>
    </w:p>
    <w:p w14:paraId="7B73AA8C">
      <w:pPr>
        <w:spacing w:before="155" w:after="0" w:line="219" w:lineRule="exact"/>
        <w:ind w:left="410" w:right="0" w:firstLine="0"/>
        <w:jc w:val="left"/>
        <w:rPr>
          <w:rFonts w:hAnsiTheme="minorHAnsi" w:eastAsiaTheme="minorEastAsia" w:cstheme="minorBidi"/>
          <w:color w:val="auto"/>
          <w:sz w:val="21"/>
          <w:szCs w:val="22"/>
          <w:highlight w:val="none"/>
          <w:lang w:val="en-US" w:eastAsia="en-US" w:bidi="ar-SA"/>
        </w:rPr>
      </w:pPr>
    </w:p>
    <w:p w14:paraId="71F08BB2">
      <w:pPr>
        <w:snapToGrid w:val="0"/>
        <w:spacing w:line="360" w:lineRule="auto"/>
        <w:jc w:val="left"/>
        <w:rPr>
          <w:rFonts w:hint="default" w:ascii="Times New Roman" w:hAnsi="Times New Roman" w:eastAsia="宋体" w:cs="Times New Roman"/>
          <w:color w:val="auto"/>
          <w:sz w:val="21"/>
          <w:szCs w:val="21"/>
          <w:highlight w:val="none"/>
          <w:u w:val="single"/>
          <w:lang w:val="en-US" w:eastAsia="zh-CN"/>
        </w:rPr>
      </w:pPr>
      <w:r>
        <w:rPr>
          <w:rFonts w:hint="eastAsia" w:cs="Times New Roman"/>
          <w:color w:val="auto"/>
          <w:sz w:val="21"/>
          <w:szCs w:val="21"/>
          <w:highlight w:val="none"/>
          <w:u w:val="single"/>
          <w:lang w:val="en-US" w:eastAsia="zh-CN"/>
        </w:rPr>
        <w:t xml:space="preserve">        </w:t>
      </w:r>
    </w:p>
    <w:p w14:paraId="58C35BD5">
      <w:pPr>
        <w:pStyle w:val="6"/>
        <w:ind w:left="0" w:leftChars="0" w:firstLine="0" w:firstLineChars="0"/>
        <w:rPr>
          <w:rFonts w:hint="default" w:ascii="Times New Roman" w:hAnsi="Times New Roman" w:cs="Times New Roman"/>
          <w:b/>
          <w:color w:val="auto"/>
          <w:highlight w:val="none"/>
        </w:rPr>
      </w:pPr>
    </w:p>
    <w:p w14:paraId="1FB6A612">
      <w:pPr>
        <w:pStyle w:val="6"/>
        <w:ind w:left="0" w:leftChars="0" w:firstLine="0" w:firstLineChars="0"/>
        <w:rPr>
          <w:rFonts w:hint="default" w:ascii="Times New Roman" w:hAnsi="Times New Roman" w:cs="Times New Roman"/>
          <w:b/>
          <w:color w:val="auto"/>
          <w:highlight w:val="none"/>
        </w:rPr>
      </w:pPr>
    </w:p>
    <w:p w14:paraId="56FC584F">
      <w:pPr>
        <w:pStyle w:val="6"/>
        <w:ind w:left="0" w:leftChars="0" w:firstLine="0" w:firstLineChars="0"/>
        <w:rPr>
          <w:rFonts w:hint="default" w:ascii="Times New Roman" w:hAnsi="Times New Roman" w:cs="Times New Roman"/>
          <w:b/>
          <w:color w:val="auto"/>
          <w:highlight w:val="none"/>
        </w:rPr>
      </w:pPr>
    </w:p>
    <w:p w14:paraId="351113E1">
      <w:pPr>
        <w:pStyle w:val="6"/>
        <w:ind w:left="0" w:leftChars="0" w:firstLine="0" w:firstLineChars="0"/>
        <w:rPr>
          <w:rFonts w:hint="default" w:ascii="Times New Roman" w:hAnsi="Times New Roman" w:cs="Times New Roman"/>
          <w:b/>
          <w:color w:val="auto"/>
          <w:highlight w:val="none"/>
        </w:rPr>
      </w:pPr>
    </w:p>
    <w:p w14:paraId="1B1276BC">
      <w:pPr>
        <w:pStyle w:val="6"/>
        <w:ind w:left="0" w:leftChars="0" w:firstLine="0" w:firstLineChars="0"/>
        <w:rPr>
          <w:rFonts w:hint="default" w:ascii="Times New Roman" w:hAnsi="Times New Roman" w:cs="Times New Roman"/>
          <w:b/>
          <w:color w:val="auto"/>
          <w:highlight w:val="none"/>
        </w:rPr>
      </w:pPr>
    </w:p>
    <w:p w14:paraId="03C848C4">
      <w:pPr>
        <w:pStyle w:val="6"/>
        <w:ind w:left="0" w:leftChars="0" w:firstLine="0" w:firstLineChars="0"/>
        <w:rPr>
          <w:rFonts w:hint="default" w:ascii="Times New Roman" w:hAnsi="Times New Roman" w:cs="Times New Roman"/>
          <w:b/>
          <w:color w:val="auto"/>
          <w:highlight w:val="none"/>
        </w:rPr>
      </w:pPr>
    </w:p>
    <w:p w14:paraId="4058129E">
      <w:pPr>
        <w:pStyle w:val="6"/>
        <w:ind w:left="0" w:leftChars="0" w:firstLine="0" w:firstLineChars="0"/>
        <w:rPr>
          <w:rFonts w:hint="default" w:ascii="Times New Roman" w:hAnsi="Times New Roman" w:cs="Times New Roman"/>
          <w:b/>
          <w:color w:val="auto"/>
          <w:highlight w:val="none"/>
        </w:rPr>
      </w:pPr>
    </w:p>
    <w:p w14:paraId="52F3A6AD">
      <w:pPr>
        <w:pStyle w:val="6"/>
        <w:ind w:left="0" w:leftChars="0" w:firstLine="0" w:firstLineChars="0"/>
        <w:rPr>
          <w:rFonts w:hint="default" w:ascii="Times New Roman" w:hAnsi="Times New Roman" w:cs="Times New Roman"/>
          <w:b/>
          <w:color w:val="auto"/>
          <w:highlight w:val="none"/>
        </w:rPr>
      </w:pPr>
    </w:p>
    <w:p w14:paraId="152B3013">
      <w:pPr>
        <w:pStyle w:val="6"/>
        <w:ind w:left="0" w:leftChars="0" w:firstLine="0" w:firstLineChars="0"/>
        <w:rPr>
          <w:rFonts w:hint="default" w:ascii="Times New Roman" w:hAnsi="Times New Roman" w:eastAsia="隶书" w:cs="Times New Roman"/>
          <w:color w:val="auto"/>
          <w:sz w:val="44"/>
          <w:highlight w:val="none"/>
        </w:rPr>
      </w:pPr>
    </w:p>
    <w:p w14:paraId="15FD2B4D">
      <w:pPr>
        <w:rPr>
          <w:rFonts w:hint="default" w:ascii="Times New Roman" w:hAnsi="Times New Roman" w:eastAsia="隶书" w:cs="Times New Roman"/>
          <w:color w:val="auto"/>
          <w:sz w:val="44"/>
          <w:highlight w:val="none"/>
        </w:rPr>
      </w:pPr>
      <w:bookmarkStart w:id="30" w:name="_Toc21644"/>
      <w:r>
        <w:rPr>
          <w:rFonts w:hint="default" w:ascii="Times New Roman" w:hAnsi="Times New Roman" w:eastAsia="隶书" w:cs="Times New Roman"/>
          <w:color w:val="auto"/>
          <w:sz w:val="44"/>
          <w:highlight w:val="none"/>
        </w:rPr>
        <w:br w:type="page"/>
      </w:r>
    </w:p>
    <w:p w14:paraId="596BF9E0">
      <w:pPr>
        <w:pStyle w:val="17"/>
        <w:jc w:val="center"/>
        <w:outlineLvl w:val="1"/>
        <w:rPr>
          <w:rFonts w:hint="default" w:ascii="Times New Roman" w:hAnsi="Times New Roman" w:eastAsia="隶书" w:cs="Times New Roman"/>
          <w:color w:val="auto"/>
          <w:sz w:val="44"/>
          <w:highlight w:val="none"/>
        </w:rPr>
      </w:pPr>
      <w:r>
        <w:rPr>
          <w:rFonts w:hint="default" w:ascii="Times New Roman" w:hAnsi="Times New Roman" w:eastAsia="隶书" w:cs="Times New Roman"/>
          <w:color w:val="auto"/>
          <w:sz w:val="44"/>
          <w:highlight w:val="none"/>
        </w:rPr>
        <w:t>第四章 磋商响应文件格式</w:t>
      </w:r>
      <w:bookmarkEnd w:id="30"/>
    </w:p>
    <w:p w14:paraId="56CA1984">
      <w:pPr>
        <w:pStyle w:val="17"/>
        <w:jc w:val="center"/>
        <w:rPr>
          <w:rFonts w:hint="default" w:ascii="Times New Roman" w:hAnsi="Times New Roman" w:cs="Times New Roman"/>
          <w:color w:val="auto"/>
          <w:sz w:val="32"/>
          <w:highlight w:val="none"/>
        </w:rPr>
      </w:pPr>
    </w:p>
    <w:p w14:paraId="3A84A42A">
      <w:pPr>
        <w:pStyle w:val="17"/>
        <w:jc w:val="center"/>
        <w:rPr>
          <w:rFonts w:hint="default" w:ascii="Times New Roman" w:hAnsi="Times New Roman" w:cs="Times New Roman"/>
          <w:color w:val="auto"/>
          <w:sz w:val="32"/>
          <w:highlight w:val="none"/>
        </w:rPr>
      </w:pPr>
    </w:p>
    <w:p w14:paraId="08D8DE59">
      <w:pPr>
        <w:pStyle w:val="17"/>
        <w:jc w:val="center"/>
        <w:rPr>
          <w:rFonts w:hint="default" w:ascii="Times New Roman" w:hAnsi="Times New Roman" w:cs="Times New Roman"/>
          <w:color w:val="auto"/>
          <w:sz w:val="32"/>
          <w:highlight w:val="none"/>
        </w:rPr>
      </w:pPr>
    </w:p>
    <w:p w14:paraId="79135E6A">
      <w:pPr>
        <w:pStyle w:val="17"/>
        <w:jc w:val="center"/>
        <w:rPr>
          <w:rFonts w:hint="default" w:ascii="Times New Roman" w:hAnsi="Times New Roman" w:cs="Times New Roman"/>
          <w:color w:val="auto"/>
          <w:sz w:val="32"/>
          <w:highlight w:val="none"/>
        </w:rPr>
      </w:pPr>
    </w:p>
    <w:p w14:paraId="7417A9A7">
      <w:pPr>
        <w:pStyle w:val="17"/>
        <w:jc w:val="center"/>
        <w:rPr>
          <w:rFonts w:hint="default" w:ascii="Times New Roman" w:hAnsi="Times New Roman" w:cs="Times New Roman"/>
          <w:color w:val="auto"/>
          <w:sz w:val="32"/>
          <w:highlight w:val="none"/>
        </w:rPr>
      </w:pPr>
    </w:p>
    <w:p w14:paraId="74393FB2">
      <w:pPr>
        <w:pStyle w:val="17"/>
        <w:jc w:val="center"/>
        <w:rPr>
          <w:rFonts w:hint="default" w:ascii="Times New Roman" w:hAnsi="Times New Roman" w:cs="Times New Roman"/>
          <w:color w:val="auto"/>
          <w:sz w:val="32"/>
          <w:highlight w:val="none"/>
        </w:rPr>
      </w:pPr>
    </w:p>
    <w:p w14:paraId="711EE9D6">
      <w:pPr>
        <w:pStyle w:val="17"/>
        <w:jc w:val="center"/>
        <w:rPr>
          <w:rFonts w:hint="default" w:ascii="Times New Roman" w:hAnsi="Times New Roman" w:cs="Times New Roman"/>
          <w:color w:val="auto"/>
          <w:sz w:val="32"/>
          <w:highlight w:val="none"/>
        </w:rPr>
      </w:pPr>
    </w:p>
    <w:p w14:paraId="107D2AF3">
      <w:pPr>
        <w:pStyle w:val="17"/>
        <w:jc w:val="center"/>
        <w:rPr>
          <w:rFonts w:hint="default" w:ascii="Times New Roman" w:hAnsi="Times New Roman" w:cs="Times New Roman"/>
          <w:color w:val="auto"/>
          <w:sz w:val="32"/>
          <w:highlight w:val="none"/>
        </w:rPr>
      </w:pPr>
    </w:p>
    <w:p w14:paraId="4D84CBB8">
      <w:pPr>
        <w:pStyle w:val="17"/>
        <w:jc w:val="center"/>
        <w:rPr>
          <w:rFonts w:hint="default" w:ascii="Times New Roman" w:hAnsi="Times New Roman" w:cs="Times New Roman"/>
          <w:color w:val="auto"/>
          <w:sz w:val="32"/>
          <w:highlight w:val="none"/>
        </w:rPr>
      </w:pPr>
    </w:p>
    <w:p w14:paraId="115A6017">
      <w:pPr>
        <w:rPr>
          <w:rFonts w:hint="default" w:ascii="Times New Roman" w:hAnsi="Times New Roman" w:cs="Times New Roman"/>
          <w:color w:val="auto"/>
          <w:sz w:val="32"/>
          <w:highlight w:val="none"/>
        </w:rPr>
      </w:pPr>
    </w:p>
    <w:p w14:paraId="3B306556">
      <w:pPr>
        <w:pStyle w:val="23"/>
        <w:rPr>
          <w:rFonts w:hint="default" w:ascii="Times New Roman" w:hAnsi="Times New Roman" w:cs="Times New Roman"/>
          <w:color w:val="auto"/>
          <w:sz w:val="32"/>
          <w:highlight w:val="none"/>
        </w:rPr>
      </w:pPr>
    </w:p>
    <w:p w14:paraId="426BE061">
      <w:pPr>
        <w:rPr>
          <w:rFonts w:hint="default" w:ascii="Times New Roman" w:hAnsi="Times New Roman" w:cs="Times New Roman"/>
          <w:color w:val="auto"/>
          <w:sz w:val="32"/>
          <w:highlight w:val="none"/>
        </w:rPr>
      </w:pPr>
    </w:p>
    <w:p w14:paraId="5D0936A3">
      <w:pPr>
        <w:pStyle w:val="23"/>
        <w:rPr>
          <w:rFonts w:hint="default" w:ascii="Times New Roman" w:hAnsi="Times New Roman" w:cs="Times New Roman"/>
          <w:color w:val="auto"/>
          <w:highlight w:val="none"/>
        </w:rPr>
      </w:pPr>
    </w:p>
    <w:p w14:paraId="4C6E49E2">
      <w:pPr>
        <w:rPr>
          <w:rFonts w:hint="default" w:ascii="Times New Roman" w:hAnsi="Times New Roman" w:cs="Times New Roman"/>
          <w:color w:val="auto"/>
          <w:highlight w:val="none"/>
        </w:rPr>
      </w:pPr>
    </w:p>
    <w:p w14:paraId="6F9EABF5">
      <w:pPr>
        <w:pStyle w:val="23"/>
        <w:rPr>
          <w:rFonts w:hint="default" w:ascii="Times New Roman" w:hAnsi="Times New Roman" w:cs="Times New Roman"/>
          <w:color w:val="auto"/>
          <w:highlight w:val="none"/>
        </w:rPr>
      </w:pPr>
    </w:p>
    <w:p w14:paraId="34160454">
      <w:pPr>
        <w:rPr>
          <w:rFonts w:hint="default" w:ascii="Times New Roman" w:hAnsi="Times New Roman" w:cs="Times New Roman"/>
          <w:color w:val="auto"/>
          <w:highlight w:val="none"/>
        </w:rPr>
      </w:pPr>
    </w:p>
    <w:p w14:paraId="5BCC5E86">
      <w:pPr>
        <w:rPr>
          <w:rFonts w:hint="default" w:ascii="Times New Roman" w:hAnsi="Times New Roman" w:cs="Times New Roman"/>
          <w:color w:val="auto"/>
          <w:highlight w:val="none"/>
        </w:rPr>
      </w:pPr>
    </w:p>
    <w:p w14:paraId="71BD20AC">
      <w:pPr>
        <w:pStyle w:val="23"/>
        <w:rPr>
          <w:rFonts w:hint="default" w:ascii="Times New Roman" w:hAnsi="Times New Roman" w:cs="Times New Roman"/>
          <w:color w:val="auto"/>
          <w:highlight w:val="none"/>
        </w:rPr>
      </w:pPr>
    </w:p>
    <w:p w14:paraId="0719800C">
      <w:pPr>
        <w:rPr>
          <w:rFonts w:hint="default" w:ascii="Times New Roman" w:hAnsi="Times New Roman" w:cs="Times New Roman"/>
          <w:color w:val="auto"/>
          <w:highlight w:val="none"/>
        </w:rPr>
      </w:pPr>
    </w:p>
    <w:p w14:paraId="1A1D3E22">
      <w:pPr>
        <w:pStyle w:val="6"/>
        <w:ind w:left="0" w:leftChars="0" w:firstLine="0" w:firstLineChars="0"/>
        <w:rPr>
          <w:rFonts w:hint="default" w:ascii="Times New Roman" w:hAnsi="Times New Roman" w:cs="Times New Roman"/>
          <w:color w:val="auto"/>
          <w:highlight w:val="none"/>
        </w:rPr>
      </w:pPr>
    </w:p>
    <w:p w14:paraId="662DB694">
      <w:pPr>
        <w:rPr>
          <w:rFonts w:hint="default" w:ascii="Times New Roman" w:hAnsi="Times New Roman" w:cs="Times New Roman"/>
          <w:b/>
          <w:color w:val="auto"/>
          <w:sz w:val="32"/>
          <w:highlight w:val="none"/>
        </w:rPr>
      </w:pPr>
      <w:bookmarkStart w:id="31" w:name="_Toc26188"/>
      <w:r>
        <w:rPr>
          <w:rFonts w:hint="default" w:ascii="Times New Roman" w:hAnsi="Times New Roman" w:cs="Times New Roman"/>
          <w:b/>
          <w:color w:val="auto"/>
          <w:sz w:val="32"/>
          <w:highlight w:val="none"/>
        </w:rPr>
        <w:br w:type="page"/>
      </w:r>
    </w:p>
    <w:p w14:paraId="4E393FED">
      <w:pPr>
        <w:pStyle w:val="17"/>
        <w:ind w:firstLine="3518" w:firstLineChars="1095"/>
        <w:outlineLvl w:val="2"/>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磋商响应文件封面（格式）</w:t>
      </w:r>
      <w:bookmarkEnd w:id="31"/>
    </w:p>
    <w:p w14:paraId="5A4EDF5C">
      <w:pPr>
        <w:pStyle w:val="17"/>
        <w:jc w:val="left"/>
        <w:rPr>
          <w:rFonts w:hint="default" w:ascii="Times New Roman" w:hAnsi="Times New Roman" w:cs="Times New Roman"/>
          <w:b/>
          <w:color w:val="auto"/>
          <w:sz w:val="36"/>
          <w:szCs w:val="36"/>
          <w:highlight w:val="none"/>
        </w:rPr>
      </w:pPr>
    </w:p>
    <w:p w14:paraId="6BF47FCA">
      <w:pPr>
        <w:pStyle w:val="17"/>
        <w:jc w:val="left"/>
        <w:rPr>
          <w:rFonts w:hint="default" w:ascii="Times New Roman" w:hAnsi="Times New Roman" w:cs="Times New Roman"/>
          <w:b/>
          <w:color w:val="auto"/>
          <w:sz w:val="32"/>
          <w:highlight w:val="none"/>
        </w:rPr>
      </w:pPr>
    </w:p>
    <w:p w14:paraId="27D97D63">
      <w:pPr>
        <w:pStyle w:val="17"/>
        <w:jc w:val="left"/>
        <w:rPr>
          <w:rFonts w:hint="default" w:ascii="Times New Roman" w:hAnsi="Times New Roman" w:cs="Times New Roman"/>
          <w:b/>
          <w:color w:val="auto"/>
          <w:sz w:val="32"/>
          <w:highlight w:val="none"/>
        </w:rPr>
      </w:pPr>
    </w:p>
    <w:p w14:paraId="33036548">
      <w:pPr>
        <w:pStyle w:val="17"/>
        <w:jc w:val="left"/>
        <w:rPr>
          <w:rFonts w:hint="default" w:ascii="Times New Roman" w:hAnsi="Times New Roman" w:cs="Times New Roman"/>
          <w:b/>
          <w:color w:val="auto"/>
          <w:sz w:val="32"/>
          <w:highlight w:val="none"/>
        </w:rPr>
      </w:pPr>
    </w:p>
    <w:p w14:paraId="3103DCC9">
      <w:pPr>
        <w:pStyle w:val="17"/>
        <w:jc w:val="left"/>
        <w:rPr>
          <w:rFonts w:hint="default" w:ascii="Times New Roman" w:hAnsi="Times New Roman" w:cs="Times New Roman"/>
          <w:b/>
          <w:color w:val="auto"/>
          <w:sz w:val="32"/>
          <w:highlight w:val="none"/>
        </w:rPr>
      </w:pPr>
    </w:p>
    <w:p w14:paraId="7B8A3FA8">
      <w:pPr>
        <w:pStyle w:val="17"/>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磋商响应文件</w:t>
      </w:r>
    </w:p>
    <w:p w14:paraId="0ED3EC1E">
      <w:pPr>
        <w:pStyle w:val="17"/>
        <w:jc w:val="center"/>
        <w:rPr>
          <w:rFonts w:hint="default" w:ascii="Times New Roman" w:hAnsi="Times New Roman" w:cs="Times New Roman"/>
          <w:b/>
          <w:color w:val="auto"/>
          <w:sz w:val="32"/>
          <w:szCs w:val="32"/>
          <w:highlight w:val="none"/>
          <w:lang w:val="en-US" w:eastAsia="zh-CN"/>
        </w:rPr>
      </w:pPr>
    </w:p>
    <w:p w14:paraId="63AA5067">
      <w:pPr>
        <w:pStyle w:val="17"/>
        <w:ind w:firstLine="1285" w:firstLineChars="400"/>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项目名称：</w:t>
      </w:r>
    </w:p>
    <w:p w14:paraId="2C6E9F29">
      <w:pPr>
        <w:pStyle w:val="17"/>
        <w:ind w:firstLine="1285" w:firstLineChars="400"/>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项目编号：</w:t>
      </w:r>
    </w:p>
    <w:p w14:paraId="3C02AEDE">
      <w:pPr>
        <w:pStyle w:val="17"/>
        <w:ind w:firstLine="1430" w:firstLineChars="445"/>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磋商人（盖公章）：</w:t>
      </w:r>
    </w:p>
    <w:p w14:paraId="14986C08">
      <w:pPr>
        <w:pStyle w:val="17"/>
        <w:ind w:firstLine="1430" w:firstLineChars="445"/>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地  址：</w:t>
      </w:r>
    </w:p>
    <w:p w14:paraId="21D599FD">
      <w:pPr>
        <w:pStyle w:val="17"/>
        <w:ind w:firstLine="1430" w:firstLineChars="445"/>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 xml:space="preserve">法定代表人(或负责人)（或委托代理人）： </w:t>
      </w:r>
    </w:p>
    <w:p w14:paraId="1CE1CEFF">
      <w:pPr>
        <w:pStyle w:val="17"/>
        <w:jc w:val="center"/>
        <w:rPr>
          <w:rFonts w:hint="default" w:ascii="Times New Roman" w:hAnsi="Times New Roman" w:cs="Times New Roman"/>
          <w:b/>
          <w:color w:val="auto"/>
          <w:sz w:val="32"/>
          <w:highlight w:val="none"/>
        </w:rPr>
      </w:pPr>
    </w:p>
    <w:p w14:paraId="76CD66A5">
      <w:pPr>
        <w:pStyle w:val="17"/>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 xml:space="preserve">日期：  </w:t>
      </w:r>
      <w:r>
        <w:rPr>
          <w:rFonts w:hint="eastAsia" w:ascii="Times New Roman" w:hAnsi="Times New Roman" w:cs="Times New Roman"/>
          <w:b/>
          <w:color w:val="auto"/>
          <w:sz w:val="32"/>
          <w:highlight w:val="none"/>
          <w:lang w:val="en-US" w:eastAsia="zh-CN"/>
        </w:rPr>
        <w:t xml:space="preserve">  </w:t>
      </w:r>
      <w:r>
        <w:rPr>
          <w:rFonts w:hint="default" w:ascii="Times New Roman" w:hAnsi="Times New Roman" w:cs="Times New Roman"/>
          <w:b/>
          <w:color w:val="auto"/>
          <w:sz w:val="32"/>
          <w:highlight w:val="none"/>
        </w:rPr>
        <w:t xml:space="preserve">年   月  </w:t>
      </w:r>
      <w:r>
        <w:rPr>
          <w:rFonts w:hint="eastAsia" w:ascii="Times New Roman" w:hAnsi="Times New Roman" w:cs="Times New Roman"/>
          <w:b/>
          <w:color w:val="auto"/>
          <w:sz w:val="32"/>
          <w:highlight w:val="none"/>
          <w:lang w:val="en-US" w:eastAsia="zh-CN"/>
        </w:rPr>
        <w:t xml:space="preserve"> </w:t>
      </w:r>
      <w:r>
        <w:rPr>
          <w:rFonts w:hint="default" w:ascii="Times New Roman" w:hAnsi="Times New Roman" w:cs="Times New Roman"/>
          <w:b/>
          <w:color w:val="auto"/>
          <w:sz w:val="32"/>
          <w:highlight w:val="none"/>
        </w:rPr>
        <w:t>日</w:t>
      </w:r>
    </w:p>
    <w:p w14:paraId="608FBD04">
      <w:pPr>
        <w:pStyle w:val="17"/>
        <w:rPr>
          <w:rFonts w:hint="default" w:ascii="Times New Roman" w:hAnsi="Times New Roman" w:cs="Times New Roman"/>
          <w:b/>
          <w:color w:val="auto"/>
          <w:sz w:val="32"/>
          <w:highlight w:val="none"/>
        </w:rPr>
      </w:pPr>
    </w:p>
    <w:p w14:paraId="63700FD9">
      <w:pPr>
        <w:rPr>
          <w:rFonts w:hint="default" w:ascii="Times New Roman" w:hAnsi="Times New Roman" w:cs="Times New Roman"/>
          <w:b/>
          <w:color w:val="auto"/>
          <w:sz w:val="32"/>
          <w:highlight w:val="none"/>
        </w:rPr>
      </w:pPr>
    </w:p>
    <w:p w14:paraId="3C34B42A">
      <w:pP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br w:type="page"/>
      </w:r>
    </w:p>
    <w:p w14:paraId="76904E59">
      <w:pPr>
        <w:rPr>
          <w:rFonts w:hint="default"/>
          <w:color w:val="auto"/>
          <w:highlight w:val="none"/>
        </w:rPr>
      </w:pPr>
    </w:p>
    <w:p w14:paraId="6A8C542E">
      <w:pPr>
        <w:pStyle w:val="14"/>
        <w:rPr>
          <w:rFonts w:hint="default" w:ascii="Times New Roman" w:hAnsi="Times New Roman" w:cs="Times New Roman"/>
          <w:b/>
          <w:color w:val="auto"/>
          <w:sz w:val="32"/>
          <w:highlight w:val="none"/>
        </w:rPr>
      </w:pPr>
    </w:p>
    <w:p w14:paraId="2CA9F958">
      <w:pPr>
        <w:pStyle w:val="17"/>
        <w:jc w:val="center"/>
        <w:outlineLvl w:val="2"/>
        <w:rPr>
          <w:rFonts w:hint="default" w:ascii="Times New Roman" w:hAnsi="Times New Roman" w:cs="Times New Roman"/>
          <w:b/>
          <w:bCs/>
          <w:color w:val="auto"/>
          <w:sz w:val="32"/>
          <w:highlight w:val="none"/>
        </w:rPr>
      </w:pPr>
      <w:bookmarkStart w:id="32" w:name="_Toc5360"/>
      <w:r>
        <w:rPr>
          <w:rFonts w:hint="default" w:ascii="Times New Roman" w:hAnsi="Times New Roman" w:cs="Times New Roman"/>
          <w:color w:val="auto"/>
          <w:sz w:val="32"/>
          <w:highlight w:val="none"/>
        </w:rPr>
        <w:t>一、</w:t>
      </w:r>
      <w:r>
        <w:rPr>
          <w:rFonts w:hint="default" w:ascii="Times New Roman" w:hAnsi="Times New Roman" w:cs="Times New Roman"/>
          <w:b/>
          <w:bCs/>
          <w:color w:val="auto"/>
          <w:sz w:val="32"/>
          <w:highlight w:val="none"/>
        </w:rPr>
        <w:t>商务部分</w:t>
      </w:r>
      <w:bookmarkEnd w:id="32"/>
    </w:p>
    <w:p w14:paraId="57D19652">
      <w:pPr>
        <w:pStyle w:val="17"/>
        <w:jc w:val="center"/>
        <w:outlineLvl w:val="3"/>
        <w:rPr>
          <w:rFonts w:hint="default" w:ascii="Times New Roman" w:hAnsi="Times New Roman" w:cs="Times New Roman"/>
          <w:b/>
          <w:color w:val="auto"/>
          <w:sz w:val="32"/>
          <w:highlight w:val="none"/>
        </w:rPr>
      </w:pPr>
      <w:bookmarkStart w:id="33" w:name="_Toc29965"/>
      <w:r>
        <w:rPr>
          <w:rFonts w:hint="default" w:ascii="Times New Roman" w:hAnsi="Times New Roman" w:cs="Times New Roman"/>
          <w:b/>
          <w:color w:val="auto"/>
          <w:sz w:val="32"/>
          <w:highlight w:val="none"/>
        </w:rPr>
        <w:t>1．磋 商 函 (格 式)</w:t>
      </w:r>
      <w:bookmarkEnd w:id="33"/>
    </w:p>
    <w:p w14:paraId="293E0597">
      <w:pPr>
        <w:pStyle w:val="17"/>
        <w:rPr>
          <w:rFonts w:hint="default" w:ascii="Times New Roman" w:hAnsi="Times New Roman" w:cs="Times New Roman"/>
          <w:color w:val="auto"/>
          <w:highlight w:val="none"/>
        </w:rPr>
      </w:pPr>
    </w:p>
    <w:p w14:paraId="62655A53">
      <w:pPr>
        <w:pStyle w:val="17"/>
        <w:spacing w:line="420" w:lineRule="exact"/>
        <w:ind w:firstLine="42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致：（</w:t>
      </w:r>
      <w:r>
        <w:rPr>
          <w:rFonts w:hint="default" w:ascii="Times New Roman" w:hAnsi="Times New Roman" w:cs="Times New Roman"/>
          <w:color w:val="auto"/>
          <w:highlight w:val="none"/>
          <w:u w:val="single"/>
        </w:rPr>
        <w:t>采购人名称）</w:t>
      </w:r>
    </w:p>
    <w:p w14:paraId="1A3210E2">
      <w:pPr>
        <w:pStyle w:val="17"/>
        <w:spacing w:line="280" w:lineRule="exact"/>
        <w:rPr>
          <w:rFonts w:hint="default" w:ascii="Times New Roman" w:hAnsi="Times New Roman" w:cs="Times New Roman"/>
          <w:color w:val="auto"/>
          <w:highlight w:val="none"/>
        </w:rPr>
      </w:pPr>
    </w:p>
    <w:p w14:paraId="221894C3">
      <w:pPr>
        <w:pStyle w:val="17"/>
        <w:spacing w:line="44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根据贵方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（项目名称）</w:t>
      </w:r>
      <w:r>
        <w:rPr>
          <w:rFonts w:hint="default" w:ascii="Times New Roman" w:hAnsi="Times New Roman" w:cs="Times New Roman"/>
          <w:color w:val="auto"/>
          <w:highlight w:val="none"/>
          <w:lang w:eastAsia="zh-CN"/>
        </w:rPr>
        <w:t>服务，</w:t>
      </w:r>
      <w:r>
        <w:rPr>
          <w:rFonts w:hint="default" w:ascii="Times New Roman" w:hAnsi="Times New Roman" w:cs="Times New Roman"/>
          <w:color w:val="auto"/>
          <w:highlight w:val="none"/>
        </w:rPr>
        <w:t xml:space="preserve">磋商响应文件，项目编号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，正式授权下述签字人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（姓名和职务）代表磋商人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磋商人名称）。</w:t>
      </w:r>
    </w:p>
    <w:p w14:paraId="0AE559C6">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一、商务部分</w:t>
      </w:r>
    </w:p>
    <w:p w14:paraId="57356E9B">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（1）磋商函；</w:t>
      </w:r>
    </w:p>
    <w:p w14:paraId="20AB59FD">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（2）磋商报价表；</w:t>
      </w:r>
    </w:p>
    <w:p w14:paraId="2BB79A8C">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（3）磋商保证金缴纳证明；</w:t>
      </w:r>
    </w:p>
    <w:p w14:paraId="11C70030">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（4）磋商人资格证明文件。</w:t>
      </w:r>
    </w:p>
    <w:p w14:paraId="5B2196F5">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二、技术部分</w:t>
      </w:r>
    </w:p>
    <w:p w14:paraId="1A640E71">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据此函，签字人兹宣布同意如下：</w:t>
      </w:r>
    </w:p>
    <w:p w14:paraId="10A1F757">
      <w:pPr>
        <w:numPr>
          <w:ilvl w:val="0"/>
          <w:numId w:val="4"/>
        </w:numPr>
        <w:spacing w:line="440" w:lineRule="exact"/>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按磋商响应文件采购项目内容及要求，</w:t>
      </w:r>
      <w:r>
        <w:rPr>
          <w:rFonts w:hint="default" w:ascii="Times New Roman" w:hAnsi="Times New Roman" w:cs="Times New Roman"/>
          <w:color w:val="auto"/>
          <w:highlight w:val="none"/>
          <w:u w:val="single"/>
          <w:lang w:val="en-US" w:eastAsia="zh-CN"/>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eastAsia" w:cs="Times New Roman"/>
          <w:color w:val="auto"/>
          <w:highlight w:val="none"/>
          <w:lang w:val="en-US" w:eastAsia="zh-CN"/>
        </w:rPr>
        <w:t>（项目名称）</w:t>
      </w:r>
      <w:r>
        <w:rPr>
          <w:rFonts w:hint="default" w:ascii="Times New Roman" w:hAnsi="Times New Roman" w:cs="Times New Roman"/>
          <w:color w:val="auto"/>
          <w:highlight w:val="none"/>
          <w:lang w:val="en-US" w:eastAsia="zh-CN"/>
        </w:rPr>
        <w:t>，投标人报价</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none"/>
          <w:lang w:val="en-US" w:eastAsia="zh-CN"/>
        </w:rPr>
        <w:t>，</w:t>
      </w:r>
      <w:r>
        <w:rPr>
          <w:rFonts w:hint="default" w:ascii="Times New Roman" w:hAnsi="Times New Roman" w:cs="Times New Roman"/>
          <w:color w:val="auto"/>
          <w:szCs w:val="21"/>
          <w:highlight w:val="none"/>
        </w:rPr>
        <w:t>合同履约期限：</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default" w:ascii="Times New Roman" w:hAnsi="Times New Roman" w:eastAsia="宋体" w:cs="Times New Roman"/>
          <w:color w:val="auto"/>
          <w:kern w:val="2"/>
          <w:sz w:val="21"/>
          <w:szCs w:val="24"/>
          <w:highlight w:val="none"/>
          <w:lang w:val="en-US" w:eastAsia="zh-CN" w:bidi="ar-SA"/>
        </w:rPr>
        <w:t>磋商有效期：</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E02A6B2">
      <w:pPr>
        <w:pStyle w:val="23"/>
        <w:ind w:firstLine="420" w:firstLineChars="200"/>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2、我方同意在磋商人须知规定的开标日期起遵循本磋商响应文件，并在磋商人须知第13条规定的磋商有效期满之前均具有约束力，并有可能成交。</w:t>
      </w:r>
    </w:p>
    <w:p w14:paraId="31BE93FB">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3、我方承诺已经具备《中华人民共和国政府采购法》中规定的参加采购活动的供应商应当具备的条件：</w:t>
      </w:r>
    </w:p>
    <w:p w14:paraId="489AF7AB">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（1）具有独立承担民事责任的能力；</w:t>
      </w:r>
    </w:p>
    <w:p w14:paraId="62B714B3">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（2）具有良好的商业信誉和健全的财务会计制度；</w:t>
      </w:r>
    </w:p>
    <w:p w14:paraId="75622435">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（3）具有履行合同所必需的设备和专业技术能力；</w:t>
      </w:r>
    </w:p>
    <w:p w14:paraId="0645DA8E">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（4）有依法缴纳税收和社会保障资金的良好记录；</w:t>
      </w:r>
    </w:p>
    <w:p w14:paraId="2AD7173D">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（5）参加此项采购活动前三年内，在经营活动中没有重大违法记录。</w:t>
      </w:r>
    </w:p>
    <w:p w14:paraId="5B4189E9">
      <w:pPr>
        <w:pStyle w:val="17"/>
        <w:spacing w:line="440" w:lineRule="exact"/>
        <w:ind w:firstLine="360"/>
        <w:rPr>
          <w:rFonts w:hint="default" w:ascii="Times New Roman" w:hAnsi="Times New Roman" w:cs="Times New Roman"/>
          <w:color w:val="auto"/>
          <w:highlight w:val="none"/>
        </w:rPr>
      </w:pPr>
      <w:r>
        <w:rPr>
          <w:rFonts w:hint="default" w:ascii="Times New Roman" w:hAnsi="Times New Roman" w:cs="Times New Roman"/>
          <w:color w:val="auto"/>
          <w:highlight w:val="none"/>
        </w:rPr>
        <w:t>4、我方根据磋商响应文件的规定，承担完成合同的责任和义务。</w:t>
      </w:r>
    </w:p>
    <w:p w14:paraId="7FB91531">
      <w:pPr>
        <w:pStyle w:val="17"/>
        <w:spacing w:line="440" w:lineRule="exact"/>
        <w:ind w:firstLine="360"/>
        <w:rPr>
          <w:rFonts w:hint="default" w:ascii="Times New Roman" w:hAnsi="Times New Roman" w:cs="Times New Roman"/>
          <w:color w:val="auto"/>
          <w:highlight w:val="none"/>
        </w:rPr>
      </w:pPr>
      <w:r>
        <w:rPr>
          <w:rFonts w:hint="default" w:ascii="Times New Roman" w:hAnsi="Times New Roman" w:cs="Times New Roman"/>
          <w:color w:val="auto"/>
          <w:highlight w:val="none"/>
        </w:rPr>
        <w:t>5、我方承诺完全接受磋商响应文件中合同基本条款的规定要求。</w:t>
      </w:r>
    </w:p>
    <w:p w14:paraId="13902660">
      <w:pPr>
        <w:pStyle w:val="17"/>
        <w:spacing w:line="440" w:lineRule="exact"/>
        <w:ind w:firstLine="360"/>
        <w:rPr>
          <w:rFonts w:hint="default" w:ascii="Times New Roman" w:hAnsi="Times New Roman" w:cs="Times New Roman"/>
          <w:color w:val="auto"/>
          <w:highlight w:val="none"/>
        </w:rPr>
      </w:pPr>
      <w:r>
        <w:rPr>
          <w:rFonts w:hint="default" w:ascii="Times New Roman" w:hAnsi="Times New Roman" w:cs="Times New Roman"/>
          <w:color w:val="auto"/>
          <w:highlight w:val="none"/>
        </w:rPr>
        <w:t>6、我方已详细审核磋商响应文件，我方知道必须放弃提出含糊不清或误解问题的权利。</w:t>
      </w:r>
    </w:p>
    <w:p w14:paraId="451268D0">
      <w:pPr>
        <w:pStyle w:val="17"/>
        <w:spacing w:line="440" w:lineRule="exact"/>
        <w:ind w:firstLine="360"/>
        <w:rPr>
          <w:rFonts w:hint="default" w:ascii="Times New Roman" w:hAnsi="Times New Roman" w:cs="Times New Roman"/>
          <w:color w:val="auto"/>
          <w:highlight w:val="none"/>
        </w:rPr>
      </w:pPr>
      <w:r>
        <w:rPr>
          <w:rFonts w:hint="default" w:ascii="Times New Roman" w:hAnsi="Times New Roman" w:cs="Times New Roman"/>
          <w:color w:val="auto"/>
          <w:highlight w:val="none"/>
        </w:rPr>
        <w:t>7、如果在磋商截止时间后的磋商有效期内撤回竞标或者有其他违约行为，我方的磋商保证金可被贵方全部没收。</w:t>
      </w:r>
    </w:p>
    <w:p w14:paraId="208C4717">
      <w:pPr>
        <w:pStyle w:val="17"/>
        <w:spacing w:line="440" w:lineRule="exact"/>
        <w:ind w:firstLine="360"/>
        <w:rPr>
          <w:rFonts w:hint="default" w:ascii="Times New Roman" w:hAnsi="Times New Roman" w:cs="Times New Roman"/>
          <w:color w:val="auto"/>
          <w:highlight w:val="none"/>
        </w:rPr>
      </w:pPr>
      <w:r>
        <w:rPr>
          <w:rFonts w:hint="default" w:ascii="Times New Roman" w:hAnsi="Times New Roman" w:cs="Times New Roman"/>
          <w:color w:val="auto"/>
          <w:highlight w:val="none"/>
        </w:rPr>
        <w:t>8、同意向贵方提供贵方可能要求的与本竞标有关的任何数据或资料。</w:t>
      </w:r>
    </w:p>
    <w:p w14:paraId="5A539B65">
      <w:pPr>
        <w:pStyle w:val="17"/>
        <w:spacing w:line="440" w:lineRule="exact"/>
        <w:ind w:firstLine="359" w:firstLineChars="171"/>
        <w:rPr>
          <w:rFonts w:hint="default" w:ascii="Times New Roman" w:hAnsi="Times New Roman" w:cs="Times New Roman"/>
          <w:color w:val="auto"/>
          <w:highlight w:val="none"/>
        </w:rPr>
      </w:pPr>
      <w:r>
        <w:rPr>
          <w:rFonts w:hint="default" w:ascii="Times New Roman" w:hAnsi="Times New Roman" w:cs="Times New Roman"/>
          <w:color w:val="auto"/>
          <w:highlight w:val="none"/>
        </w:rPr>
        <w:t>9、我方完全理解贵方不一定要接受最低报价的磋商人为成交人。</w:t>
      </w:r>
    </w:p>
    <w:p w14:paraId="174F21AB">
      <w:pPr>
        <w:pStyle w:val="17"/>
        <w:spacing w:line="440" w:lineRule="exact"/>
        <w:ind w:firstLine="359" w:firstLineChars="171"/>
        <w:rPr>
          <w:rFonts w:hint="default" w:ascii="Times New Roman" w:hAnsi="Times New Roman" w:cs="Times New Roman"/>
          <w:color w:val="auto"/>
          <w:highlight w:val="none"/>
        </w:rPr>
      </w:pPr>
      <w:r>
        <w:rPr>
          <w:rFonts w:hint="default" w:ascii="Times New Roman" w:hAnsi="Times New Roman" w:cs="Times New Roman"/>
          <w:color w:val="auto"/>
          <w:highlight w:val="none"/>
        </w:rPr>
        <w:t>10、若贵方需要，我方愿意提供我方作出的一切承诺的证明材料。</w:t>
      </w:r>
    </w:p>
    <w:p w14:paraId="78630C02">
      <w:pPr>
        <w:pStyle w:val="17"/>
        <w:spacing w:line="440" w:lineRule="exact"/>
        <w:ind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11、完全同意贵方按《中华人民共和国政府采购法》中规定的废标情况给予废标的决定。</w:t>
      </w:r>
    </w:p>
    <w:p w14:paraId="641FDE99">
      <w:pPr>
        <w:pStyle w:val="17"/>
        <w:spacing w:line="440" w:lineRule="exact"/>
        <w:ind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12、我方将严格遵守《中华人民共和国政府采购法》规定，供应商有下列情形之一的，处以采购金额5‰以上10‰以下的罚款，列入不良行为记录名单，在一至三年内禁止参加贵单位采购活动，有违法所得的，并处没收违法所得，情节严重的，由工商行政管理机关吊销营业执照；构成犯罪的，依法追究刑事责任：</w:t>
      </w:r>
    </w:p>
    <w:p w14:paraId="775A4BFA">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（1）提供虚假材料谋取中标、成交的；</w:t>
      </w:r>
    </w:p>
    <w:p w14:paraId="192E11E6">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（2）采取不正当手段诋毁、排挤其他供应商的；</w:t>
      </w:r>
    </w:p>
    <w:p w14:paraId="4E657FA0">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（3）与采购人、其他供应商或者招标代理机构恶意串通的；</w:t>
      </w:r>
    </w:p>
    <w:p w14:paraId="144A3A9D">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（4）向采购人、招标代理机构行贿或者提供其他不正当利益的；</w:t>
      </w:r>
    </w:p>
    <w:p w14:paraId="79BAAB3E">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（5）未经采购人同意，在采购过程中与采购人进行协商磋商的；</w:t>
      </w:r>
    </w:p>
    <w:p w14:paraId="155FF6DD">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（6）拒绝有关部门监督检查或提供虚假情况的。</w:t>
      </w:r>
    </w:p>
    <w:p w14:paraId="2DDF1C88">
      <w:pPr>
        <w:pStyle w:val="17"/>
        <w:spacing w:line="440" w:lineRule="exact"/>
        <w:rPr>
          <w:rFonts w:hint="default" w:ascii="Times New Roman" w:hAnsi="Times New Roman" w:cs="Times New Roman"/>
          <w:color w:val="auto"/>
          <w:highlight w:val="none"/>
        </w:rPr>
      </w:pPr>
    </w:p>
    <w:p w14:paraId="29473344">
      <w:pPr>
        <w:pStyle w:val="17"/>
        <w:spacing w:line="440" w:lineRule="exact"/>
        <w:rPr>
          <w:rFonts w:hint="default" w:ascii="Times New Roman" w:hAnsi="Times New Roman" w:cs="Times New Roman"/>
          <w:color w:val="auto"/>
          <w:highlight w:val="none"/>
        </w:rPr>
      </w:pPr>
    </w:p>
    <w:p w14:paraId="3E45C07B">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与本竞标有关的正式通讯地址为： </w:t>
      </w:r>
    </w:p>
    <w:p w14:paraId="79894BB7">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地址：                            邮政编码：</w:t>
      </w:r>
      <w:r>
        <w:rPr>
          <w:rFonts w:hint="default" w:ascii="Times New Roman" w:hAnsi="Times New Roman" w:cs="Times New Roman"/>
          <w:color w:val="auto"/>
          <w:highlight w:val="none"/>
          <w:u w:val="single"/>
        </w:rPr>
        <w:t xml:space="preserve">             </w:t>
      </w:r>
    </w:p>
    <w:p w14:paraId="20F25464">
      <w:pPr>
        <w:pStyle w:val="17"/>
        <w:spacing w:line="440" w:lineRule="exact"/>
        <w:ind w:left="100" w:firstLine="42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电话、电报、传真或电传：</w:t>
      </w:r>
      <w:r>
        <w:rPr>
          <w:rFonts w:hint="default" w:ascii="Times New Roman" w:hAnsi="Times New Roman" w:cs="Times New Roman"/>
          <w:color w:val="auto"/>
          <w:highlight w:val="none"/>
          <w:u w:val="single"/>
        </w:rPr>
        <w:t xml:space="preserve">                                      </w:t>
      </w:r>
    </w:p>
    <w:p w14:paraId="4E18970B">
      <w:pPr>
        <w:pStyle w:val="17"/>
        <w:spacing w:line="440" w:lineRule="exact"/>
        <w:ind w:left="100" w:firstLine="42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开户名称：</w:t>
      </w:r>
      <w:r>
        <w:rPr>
          <w:rFonts w:hint="default" w:ascii="Times New Roman" w:hAnsi="Times New Roman" w:cs="Times New Roman"/>
          <w:color w:val="auto"/>
          <w:highlight w:val="none"/>
          <w:u w:val="single"/>
        </w:rPr>
        <w:t xml:space="preserve">                                                    </w:t>
      </w:r>
    </w:p>
    <w:p w14:paraId="4F0ED4F6">
      <w:pPr>
        <w:pStyle w:val="17"/>
        <w:spacing w:line="440" w:lineRule="exact"/>
        <w:ind w:left="100" w:firstLine="42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银行帐号：</w:t>
      </w:r>
      <w:r>
        <w:rPr>
          <w:rFonts w:hint="default" w:ascii="Times New Roman" w:hAnsi="Times New Roman" w:cs="Times New Roman"/>
          <w:color w:val="auto"/>
          <w:highlight w:val="none"/>
          <w:u w:val="single"/>
        </w:rPr>
        <w:t xml:space="preserve">                                                    </w:t>
      </w:r>
    </w:p>
    <w:p w14:paraId="3AC49CE7">
      <w:pPr>
        <w:pStyle w:val="17"/>
        <w:spacing w:line="440" w:lineRule="exact"/>
        <w:ind w:left="100" w:firstLine="42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开户银行：</w:t>
      </w:r>
      <w:r>
        <w:rPr>
          <w:rFonts w:hint="default" w:ascii="Times New Roman" w:hAnsi="Times New Roman" w:cs="Times New Roman"/>
          <w:color w:val="auto"/>
          <w:highlight w:val="none"/>
          <w:u w:val="single"/>
        </w:rPr>
        <w:t xml:space="preserve">                                                    </w:t>
      </w:r>
    </w:p>
    <w:p w14:paraId="629F17BE">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法定代表人(或负责人)或委托代理人</w:t>
      </w:r>
      <w:r>
        <w:rPr>
          <w:rFonts w:hint="default" w:ascii="Times New Roman" w:hAnsi="Times New Roman" w:cs="Times New Roman"/>
          <w:b/>
          <w:bCs/>
          <w:color w:val="auto"/>
          <w:highlight w:val="none"/>
        </w:rPr>
        <w:t>签名</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p>
    <w:p w14:paraId="4F16D669">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磋商人（</w:t>
      </w:r>
      <w:r>
        <w:rPr>
          <w:rFonts w:hint="default" w:ascii="Times New Roman" w:hAnsi="Times New Roman" w:cs="Times New Roman"/>
          <w:b/>
          <w:bCs/>
          <w:color w:val="auto"/>
          <w:highlight w:val="none"/>
        </w:rPr>
        <w:t>公章</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p>
    <w:p w14:paraId="21BD9F17">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磋商</w:t>
      </w:r>
      <w:r>
        <w:rPr>
          <w:rFonts w:hint="default" w:ascii="Times New Roman" w:hAnsi="Times New Roman" w:cs="Times New Roman"/>
          <w:color w:val="auto"/>
          <w:highlight w:val="none"/>
        </w:rPr>
        <w:t>日期：</w:t>
      </w:r>
      <w:r>
        <w:rPr>
          <w:rFonts w:hint="default" w:ascii="Times New Roman" w:hAnsi="Times New Roman" w:cs="Times New Roman"/>
          <w:color w:val="auto"/>
          <w:highlight w:val="none"/>
          <w:u w:val="single"/>
        </w:rPr>
        <w:t xml:space="preserve">                                                    </w:t>
      </w:r>
    </w:p>
    <w:p w14:paraId="04117C84">
      <w:pPr>
        <w:pStyle w:val="17"/>
        <w:spacing w:line="420" w:lineRule="exact"/>
        <w:ind w:left="100"/>
        <w:rPr>
          <w:rFonts w:hint="default" w:ascii="Times New Roman" w:hAnsi="Times New Roman" w:cs="Times New Roman"/>
          <w:color w:val="auto"/>
          <w:highlight w:val="none"/>
        </w:rPr>
      </w:pPr>
    </w:p>
    <w:p w14:paraId="5B343C2B">
      <w:pPr>
        <w:pStyle w:val="17"/>
        <w:spacing w:line="420" w:lineRule="exact"/>
        <w:ind w:left="100"/>
        <w:rPr>
          <w:rFonts w:hint="default" w:ascii="Times New Roman" w:hAnsi="Times New Roman" w:cs="Times New Roman"/>
          <w:color w:val="auto"/>
          <w:highlight w:val="none"/>
        </w:rPr>
      </w:pPr>
    </w:p>
    <w:p w14:paraId="532C5FF6">
      <w:pPr>
        <w:pStyle w:val="17"/>
        <w:ind w:left="3"/>
        <w:jc w:val="center"/>
        <w:rPr>
          <w:rFonts w:hint="default" w:ascii="Times New Roman" w:hAnsi="Times New Roman" w:eastAsia="隶书" w:cs="Times New Roman"/>
          <w:color w:val="auto"/>
          <w:sz w:val="44"/>
          <w:highlight w:val="none"/>
        </w:rPr>
      </w:pPr>
      <w:r>
        <w:rPr>
          <w:rFonts w:hint="default" w:ascii="Times New Roman" w:hAnsi="Times New Roman" w:eastAsia="黑体" w:cs="Times New Roman"/>
          <w:color w:val="auto"/>
          <w:highlight w:val="none"/>
        </w:rPr>
        <w:t>注：未按照本磋商函要求及格式填报的将被视为非实质性响应竞标，从而</w:t>
      </w:r>
      <w:r>
        <w:rPr>
          <w:rFonts w:hint="default" w:ascii="Times New Roman" w:hAnsi="Times New Roman" w:eastAsia="黑体" w:cs="Times New Roman"/>
          <w:color w:val="auto"/>
          <w:spacing w:val="-2"/>
          <w:highlight w:val="none"/>
        </w:rPr>
        <w:t>将导致该竞标无效</w:t>
      </w:r>
      <w:r>
        <w:rPr>
          <w:rFonts w:hint="default" w:ascii="Times New Roman" w:hAnsi="Times New Roman" w:eastAsia="黑体" w:cs="Times New Roman"/>
          <w:color w:val="auto"/>
          <w:highlight w:val="none"/>
        </w:rPr>
        <w:t>。</w:t>
      </w:r>
    </w:p>
    <w:p w14:paraId="457ECA99">
      <w:pPr>
        <w:pStyle w:val="17"/>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68341CF">
      <w:pPr>
        <w:pStyle w:val="17"/>
        <w:jc w:val="center"/>
        <w:outlineLvl w:val="3"/>
        <w:rPr>
          <w:rFonts w:hint="default" w:ascii="Times New Roman" w:hAnsi="Times New Roman" w:cs="Times New Roman"/>
          <w:color w:val="auto"/>
          <w:sz w:val="28"/>
          <w:szCs w:val="28"/>
          <w:highlight w:val="none"/>
        </w:rPr>
      </w:pPr>
      <w:bookmarkStart w:id="34" w:name="_Toc367092250"/>
      <w:bookmarkStart w:id="35" w:name="_Toc2441"/>
      <w:r>
        <w:rPr>
          <w:rFonts w:hint="default" w:ascii="Times New Roman" w:hAnsi="Times New Roman" w:cs="Times New Roman"/>
          <w:b/>
          <w:color w:val="auto"/>
          <w:sz w:val="32"/>
          <w:highlight w:val="none"/>
        </w:rPr>
        <w:t>2、磋商报价表</w:t>
      </w:r>
      <w:bookmarkEnd w:id="34"/>
      <w:bookmarkEnd w:id="35"/>
    </w:p>
    <w:tbl>
      <w:tblPr>
        <w:tblStyle w:val="33"/>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603"/>
        <w:gridCol w:w="2235"/>
        <w:gridCol w:w="1254"/>
        <w:gridCol w:w="2057"/>
        <w:gridCol w:w="2934"/>
      </w:tblGrid>
      <w:tr w14:paraId="79B5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14:paraId="1936D3BB">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项号</w:t>
            </w:r>
          </w:p>
        </w:tc>
        <w:tc>
          <w:tcPr>
            <w:tcW w:w="1603" w:type="dxa"/>
            <w:tcBorders>
              <w:top w:val="single" w:color="auto" w:sz="4" w:space="0"/>
              <w:left w:val="single" w:color="auto" w:sz="4" w:space="0"/>
              <w:bottom w:val="single" w:color="auto" w:sz="4" w:space="0"/>
              <w:right w:val="single" w:color="auto" w:sz="4" w:space="0"/>
            </w:tcBorders>
            <w:vAlign w:val="center"/>
          </w:tcPr>
          <w:p w14:paraId="75837EAF">
            <w:pPr>
              <w:spacing w:line="2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lang w:val="en-US" w:eastAsia="zh-CN"/>
              </w:rPr>
              <w:t>单位名称</w:t>
            </w:r>
          </w:p>
        </w:tc>
        <w:tc>
          <w:tcPr>
            <w:tcW w:w="2235" w:type="dxa"/>
            <w:tcBorders>
              <w:top w:val="single" w:color="auto" w:sz="4" w:space="0"/>
              <w:left w:val="single" w:color="auto" w:sz="4" w:space="0"/>
              <w:bottom w:val="single" w:color="auto" w:sz="4" w:space="0"/>
              <w:right w:val="single" w:color="auto" w:sz="4" w:space="0"/>
            </w:tcBorders>
            <w:vAlign w:val="center"/>
          </w:tcPr>
          <w:p w14:paraId="3083C5CE">
            <w:pPr>
              <w:spacing w:line="2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监测事项或任务名称</w:t>
            </w:r>
          </w:p>
        </w:tc>
        <w:tc>
          <w:tcPr>
            <w:tcW w:w="1254" w:type="dxa"/>
            <w:tcBorders>
              <w:top w:val="single" w:color="auto" w:sz="4" w:space="0"/>
              <w:left w:val="single" w:color="auto" w:sz="4" w:space="0"/>
              <w:bottom w:val="single" w:color="auto" w:sz="4" w:space="0"/>
              <w:right w:val="single" w:color="auto" w:sz="4" w:space="0"/>
            </w:tcBorders>
            <w:vAlign w:val="center"/>
          </w:tcPr>
          <w:p w14:paraId="7835E8B1">
            <w:pPr>
              <w:spacing w:line="2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监测项目</w:t>
            </w:r>
          </w:p>
        </w:tc>
        <w:tc>
          <w:tcPr>
            <w:tcW w:w="2057" w:type="dxa"/>
            <w:tcBorders>
              <w:top w:val="single" w:color="auto" w:sz="4" w:space="0"/>
              <w:left w:val="single" w:color="auto" w:sz="4" w:space="0"/>
              <w:bottom w:val="single" w:color="auto" w:sz="4" w:space="0"/>
              <w:right w:val="single" w:color="auto" w:sz="4" w:space="0"/>
            </w:tcBorders>
            <w:vAlign w:val="center"/>
          </w:tcPr>
          <w:p w14:paraId="639DCD63">
            <w:pPr>
              <w:spacing w:line="2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监测频次</w:t>
            </w:r>
          </w:p>
        </w:tc>
        <w:tc>
          <w:tcPr>
            <w:tcW w:w="2934" w:type="dxa"/>
            <w:tcBorders>
              <w:top w:val="single" w:color="auto" w:sz="4" w:space="0"/>
              <w:left w:val="single" w:color="auto" w:sz="4" w:space="0"/>
              <w:bottom w:val="single" w:color="auto" w:sz="4" w:space="0"/>
              <w:right w:val="single" w:color="auto" w:sz="4" w:space="0"/>
            </w:tcBorders>
            <w:vAlign w:val="center"/>
          </w:tcPr>
          <w:p w14:paraId="10C92DA3">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备注</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lang w:val="en-US" w:eastAsia="zh-CN"/>
              </w:rPr>
              <w:t>是否响应）</w:t>
            </w:r>
          </w:p>
        </w:tc>
      </w:tr>
      <w:tr w14:paraId="3358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14:paraId="462C2C5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603" w:type="dxa"/>
            <w:tcBorders>
              <w:top w:val="single" w:color="auto" w:sz="4" w:space="0"/>
              <w:left w:val="single" w:color="auto" w:sz="4" w:space="0"/>
              <w:bottom w:val="single" w:color="auto" w:sz="4" w:space="0"/>
              <w:right w:val="single" w:color="auto" w:sz="4" w:space="0"/>
            </w:tcBorders>
            <w:vAlign w:val="center"/>
          </w:tcPr>
          <w:p w14:paraId="1AC46507">
            <w:pPr>
              <w:spacing w:line="360" w:lineRule="auto"/>
              <w:jc w:val="center"/>
              <w:rPr>
                <w:rFonts w:hint="default" w:ascii="Times New Roman" w:hAnsi="Times New Roman" w:eastAsia="宋体" w:cs="Times New Roman"/>
                <w:color w:val="auto"/>
                <w:sz w:val="21"/>
                <w:szCs w:val="21"/>
                <w:highlight w:val="none"/>
              </w:rPr>
            </w:pPr>
          </w:p>
        </w:tc>
        <w:tc>
          <w:tcPr>
            <w:tcW w:w="2235" w:type="dxa"/>
            <w:tcBorders>
              <w:top w:val="single" w:color="auto" w:sz="4" w:space="0"/>
              <w:left w:val="single" w:color="auto" w:sz="4" w:space="0"/>
              <w:bottom w:val="single" w:color="auto" w:sz="4" w:space="0"/>
              <w:right w:val="single" w:color="auto" w:sz="4" w:space="0"/>
            </w:tcBorders>
            <w:vAlign w:val="center"/>
          </w:tcPr>
          <w:p w14:paraId="14CF2433">
            <w:pPr>
              <w:spacing w:line="360" w:lineRule="auto"/>
              <w:jc w:val="center"/>
              <w:rPr>
                <w:rFonts w:hint="default" w:ascii="Times New Roman" w:hAnsi="Times New Roman" w:eastAsia="宋体" w:cs="Times New Roman"/>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3CEFF2EA">
            <w:pPr>
              <w:spacing w:line="360" w:lineRule="auto"/>
              <w:jc w:val="center"/>
              <w:rPr>
                <w:rFonts w:hint="default" w:ascii="Times New Roman" w:hAnsi="Times New Roman" w:eastAsia="宋体" w:cs="Times New Roman"/>
                <w:color w:val="auto"/>
                <w:sz w:val="21"/>
                <w:szCs w:val="21"/>
                <w:highlight w:val="none"/>
              </w:rPr>
            </w:pPr>
          </w:p>
        </w:tc>
        <w:tc>
          <w:tcPr>
            <w:tcW w:w="2057" w:type="dxa"/>
            <w:tcBorders>
              <w:top w:val="single" w:color="auto" w:sz="4" w:space="0"/>
              <w:left w:val="single" w:color="auto" w:sz="4" w:space="0"/>
              <w:bottom w:val="single" w:color="auto" w:sz="4" w:space="0"/>
              <w:right w:val="single" w:color="auto" w:sz="4" w:space="0"/>
            </w:tcBorders>
            <w:vAlign w:val="center"/>
          </w:tcPr>
          <w:p w14:paraId="47B70BE0">
            <w:pPr>
              <w:widowControl/>
              <w:jc w:val="center"/>
              <w:rPr>
                <w:rFonts w:hint="default" w:ascii="Times New Roman" w:hAnsi="Times New Roman" w:eastAsia="宋体" w:cs="Times New Roman"/>
                <w:color w:val="auto"/>
                <w:sz w:val="21"/>
                <w:szCs w:val="21"/>
                <w:highlight w:val="none"/>
              </w:rPr>
            </w:pPr>
          </w:p>
        </w:tc>
        <w:tc>
          <w:tcPr>
            <w:tcW w:w="2934" w:type="dxa"/>
            <w:tcBorders>
              <w:top w:val="single" w:color="auto" w:sz="4" w:space="0"/>
              <w:left w:val="single" w:color="auto" w:sz="4" w:space="0"/>
              <w:bottom w:val="single" w:color="auto" w:sz="4" w:space="0"/>
              <w:right w:val="single" w:color="auto" w:sz="4" w:space="0"/>
            </w:tcBorders>
            <w:vAlign w:val="center"/>
          </w:tcPr>
          <w:p w14:paraId="47C5464B">
            <w:pPr>
              <w:widowControl/>
              <w:jc w:val="left"/>
              <w:rPr>
                <w:rFonts w:hint="default" w:ascii="Times New Roman" w:hAnsi="Times New Roman" w:eastAsia="宋体" w:cs="Times New Roman"/>
                <w:color w:val="auto"/>
                <w:sz w:val="21"/>
                <w:szCs w:val="21"/>
                <w:highlight w:val="none"/>
              </w:rPr>
            </w:pPr>
          </w:p>
        </w:tc>
      </w:tr>
      <w:tr w14:paraId="0D03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15" w:type="dxa"/>
            <w:gridSpan w:val="6"/>
            <w:tcBorders>
              <w:top w:val="single" w:color="auto" w:sz="4" w:space="0"/>
              <w:left w:val="single" w:color="auto" w:sz="4" w:space="0"/>
              <w:bottom w:val="single" w:color="auto" w:sz="4" w:space="0"/>
              <w:right w:val="single" w:color="auto" w:sz="4" w:space="0"/>
            </w:tcBorders>
            <w:vAlign w:val="top"/>
          </w:tcPr>
          <w:p w14:paraId="798286B1">
            <w:pPr>
              <w:widowControl/>
              <w:jc w:val="left"/>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投标人报价（          ）</w:t>
            </w:r>
          </w:p>
        </w:tc>
      </w:tr>
      <w:tr w14:paraId="1EFB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15" w:type="dxa"/>
            <w:gridSpan w:val="6"/>
            <w:tcBorders>
              <w:top w:val="single" w:color="auto" w:sz="4" w:space="0"/>
              <w:left w:val="single" w:color="auto" w:sz="4" w:space="0"/>
              <w:bottom w:val="single" w:color="auto" w:sz="4" w:space="0"/>
              <w:right w:val="single" w:color="auto" w:sz="4" w:space="0"/>
            </w:tcBorders>
            <w:vAlign w:val="top"/>
          </w:tcPr>
          <w:p w14:paraId="101953A4">
            <w:pPr>
              <w:widowControl/>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合同履约期限</w:t>
            </w:r>
            <w:r>
              <w:rPr>
                <w:rFonts w:hint="default" w:ascii="Times New Roman" w:hAnsi="Times New Roman" w:eastAsia="宋体" w:cs="Times New Roman"/>
                <w:color w:val="auto"/>
                <w:sz w:val="21"/>
                <w:szCs w:val="21"/>
                <w:highlight w:val="none"/>
              </w:rPr>
              <w:t>：</w:t>
            </w:r>
          </w:p>
        </w:tc>
      </w:tr>
      <w:tr w14:paraId="3A2C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15" w:type="dxa"/>
            <w:gridSpan w:val="6"/>
            <w:tcBorders>
              <w:top w:val="single" w:color="auto" w:sz="4" w:space="0"/>
              <w:left w:val="single" w:color="auto" w:sz="4" w:space="0"/>
              <w:bottom w:val="single" w:color="auto" w:sz="4" w:space="0"/>
              <w:right w:val="single" w:color="auto" w:sz="4" w:space="0"/>
            </w:tcBorders>
            <w:vAlign w:val="center"/>
          </w:tcPr>
          <w:p w14:paraId="1605C96E">
            <w:pPr>
              <w:widowControl/>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本项目竞标有效期为竞标截止时间之日起90天。</w:t>
            </w:r>
          </w:p>
        </w:tc>
      </w:tr>
    </w:tbl>
    <w:p w14:paraId="1E5D6671">
      <w:pPr>
        <w:pStyle w:val="17"/>
        <w:jc w:val="left"/>
        <w:rPr>
          <w:rFonts w:hint="default" w:ascii="Times New Roman" w:hAnsi="Times New Roman" w:cs="Times New Roman"/>
          <w:color w:val="auto"/>
          <w:highlight w:val="none"/>
        </w:rPr>
      </w:pPr>
    </w:p>
    <w:p w14:paraId="1819BB48">
      <w:pPr>
        <w:pStyle w:val="17"/>
        <w:jc w:val="left"/>
        <w:rPr>
          <w:rFonts w:hint="default" w:ascii="Times New Roman" w:hAnsi="Times New Roman" w:cs="Times New Roman"/>
          <w:color w:val="auto"/>
          <w:highlight w:val="none"/>
        </w:rPr>
      </w:pPr>
    </w:p>
    <w:p w14:paraId="7EEA0D6A">
      <w:pPr>
        <w:pStyle w:val="17"/>
        <w:jc w:val="left"/>
        <w:rPr>
          <w:rFonts w:hint="default" w:ascii="Times New Roman" w:hAnsi="Times New Roman" w:cs="Times New Roman"/>
          <w:color w:val="auto"/>
          <w:highlight w:val="none"/>
        </w:rPr>
      </w:pPr>
    </w:p>
    <w:p w14:paraId="620D42C7">
      <w:pPr>
        <w:pStyle w:val="17"/>
        <w:jc w:val="left"/>
        <w:rPr>
          <w:rFonts w:hint="default" w:ascii="Times New Roman" w:hAnsi="Times New Roman" w:cs="Times New Roman"/>
          <w:color w:val="auto"/>
          <w:highlight w:val="none"/>
        </w:rPr>
      </w:pPr>
    </w:p>
    <w:p w14:paraId="23B60CF9">
      <w:pPr>
        <w:pStyle w:val="17"/>
        <w:jc w:val="left"/>
        <w:rPr>
          <w:rFonts w:hint="default" w:ascii="Times New Roman" w:hAnsi="Times New Roman" w:cs="Times New Roman"/>
          <w:color w:val="auto"/>
          <w:highlight w:val="none"/>
        </w:rPr>
      </w:pPr>
    </w:p>
    <w:p w14:paraId="5980A657">
      <w:pPr>
        <w:pStyle w:val="17"/>
        <w:jc w:val="left"/>
        <w:rPr>
          <w:rFonts w:hint="default" w:ascii="Times New Roman" w:hAnsi="Times New Roman" w:cs="Times New Roman"/>
          <w:color w:val="auto"/>
          <w:highlight w:val="none"/>
        </w:rPr>
      </w:pPr>
    </w:p>
    <w:p w14:paraId="59B8D955">
      <w:pPr>
        <w:pStyle w:val="17"/>
        <w:ind w:firstLine="543" w:firstLineChars="25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磋</w:t>
      </w:r>
      <w:r>
        <w:rPr>
          <w:rFonts w:hint="default" w:ascii="Times New Roman" w:hAnsi="Times New Roman" w:cs="Times New Roman"/>
          <w:color w:val="auto"/>
          <w:highlight w:val="none"/>
        </w:rPr>
        <w:t>商人（盖单位公章）：</w:t>
      </w:r>
      <w:r>
        <w:rPr>
          <w:rFonts w:hint="default" w:ascii="Times New Roman" w:hAnsi="Times New Roman" w:cs="Times New Roman"/>
          <w:color w:val="auto"/>
          <w:highlight w:val="none"/>
          <w:u w:val="single"/>
        </w:rPr>
        <w:t xml:space="preserve">                                 </w:t>
      </w:r>
    </w:p>
    <w:p w14:paraId="679523A8">
      <w:pPr>
        <w:pStyle w:val="17"/>
        <w:rPr>
          <w:rFonts w:hint="default" w:ascii="Times New Roman" w:hAnsi="Times New Roman" w:cs="Times New Roman"/>
          <w:color w:val="auto"/>
          <w:highlight w:val="none"/>
        </w:rPr>
      </w:pPr>
    </w:p>
    <w:p w14:paraId="45A3C648">
      <w:pPr>
        <w:pStyle w:val="17"/>
        <w:ind w:firstLine="543" w:firstLineChars="259"/>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法定代表人(或负责人)或委托代理人签名：</w:t>
      </w:r>
      <w:r>
        <w:rPr>
          <w:rFonts w:hint="default" w:ascii="Times New Roman" w:hAnsi="Times New Roman" w:cs="Times New Roman"/>
          <w:color w:val="auto"/>
          <w:highlight w:val="none"/>
          <w:u w:val="single"/>
        </w:rPr>
        <w:t xml:space="preserve">                          </w:t>
      </w:r>
    </w:p>
    <w:p w14:paraId="312A0513">
      <w:pPr>
        <w:pStyle w:val="17"/>
        <w:rPr>
          <w:rFonts w:hint="default" w:ascii="Times New Roman" w:hAnsi="Times New Roman" w:cs="Times New Roman"/>
          <w:color w:val="auto"/>
          <w:highlight w:val="none"/>
          <w:u w:val="single"/>
        </w:rPr>
      </w:pPr>
    </w:p>
    <w:p w14:paraId="65AAE7F8">
      <w:pPr>
        <w:pStyle w:val="17"/>
        <w:ind w:firstLine="525" w:firstLineChars="250"/>
        <w:rPr>
          <w:rFonts w:hint="default" w:ascii="Times New Roman" w:hAnsi="Times New Roman" w:cs="Times New Roman"/>
          <w:b/>
          <w:bCs/>
          <w:color w:val="auto"/>
          <w:highlight w:val="none"/>
        </w:rPr>
      </w:pPr>
      <w:r>
        <w:rPr>
          <w:rFonts w:hint="default" w:ascii="Times New Roman" w:hAnsi="Times New Roman" w:cs="Times New Roman"/>
          <w:color w:val="auto"/>
          <w:highlight w:val="none"/>
        </w:rPr>
        <w:t>日期：</w:t>
      </w:r>
      <w:r>
        <w:rPr>
          <w:rFonts w:hint="default" w:ascii="Times New Roman" w:hAnsi="Times New Roman" w:cs="Times New Roman"/>
          <w:color w:val="auto"/>
          <w:highlight w:val="none"/>
          <w:u w:val="single"/>
        </w:rPr>
        <w:t xml:space="preserve">                                                </w:t>
      </w:r>
    </w:p>
    <w:p w14:paraId="2BB37288">
      <w:pPr>
        <w:pStyle w:val="17"/>
        <w:rPr>
          <w:rFonts w:hint="default" w:ascii="Times New Roman" w:hAnsi="Times New Roman" w:cs="Times New Roman"/>
          <w:b/>
          <w:bCs/>
          <w:color w:val="auto"/>
          <w:highlight w:val="none"/>
        </w:rPr>
      </w:pPr>
    </w:p>
    <w:p w14:paraId="25D2CF19">
      <w:pPr>
        <w:pStyle w:val="17"/>
        <w:spacing w:line="40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磋商说明：</w:t>
      </w:r>
    </w:p>
    <w:p w14:paraId="57F1F378">
      <w:pPr>
        <w:snapToGrid w:val="0"/>
        <w:spacing w:before="50" w:after="50" w:line="36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磋商</w:t>
      </w:r>
      <w:r>
        <w:rPr>
          <w:rFonts w:hint="default" w:ascii="Times New Roman" w:hAnsi="Times New Roman" w:cs="Times New Roman"/>
          <w:color w:val="auto"/>
          <w:szCs w:val="21"/>
          <w:highlight w:val="none"/>
        </w:rPr>
        <w:t>报价表必须加盖单位公章，否则其投标作无效标处理。</w:t>
      </w:r>
    </w:p>
    <w:p w14:paraId="17CB62B8">
      <w:pPr>
        <w:snapToGrid w:val="0"/>
        <w:spacing w:before="50" w:after="50" w:line="36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2、报价一经涂改，应在涂改处加盖单位公章或者由</w:t>
      </w:r>
      <w:r>
        <w:rPr>
          <w:rFonts w:hint="default" w:ascii="Times New Roman" w:hAnsi="Times New Roman" w:cs="Times New Roman"/>
          <w:color w:val="auto"/>
          <w:szCs w:val="21"/>
          <w:highlight w:val="none"/>
          <w:lang w:eastAsia="zh-CN"/>
        </w:rPr>
        <w:t>法定代表人（负责人）</w:t>
      </w:r>
      <w:r>
        <w:rPr>
          <w:rFonts w:hint="default" w:ascii="Times New Roman" w:hAnsi="Times New Roman" w:cs="Times New Roman"/>
          <w:color w:val="auto"/>
          <w:szCs w:val="21"/>
          <w:highlight w:val="none"/>
        </w:rPr>
        <w:t>或授权委托人签字，否则其投标作无效标处理。</w:t>
      </w:r>
    </w:p>
    <w:p w14:paraId="637EEF40">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highlight w:val="none"/>
        </w:rPr>
        <w:t>投标</w:t>
      </w:r>
      <w:r>
        <w:rPr>
          <w:rFonts w:hint="default" w:ascii="Times New Roman" w:hAnsi="Times New Roman" w:cs="Times New Roman"/>
          <w:color w:val="auto"/>
          <w:highlight w:val="none"/>
          <w:lang w:eastAsia="zh-CN"/>
        </w:rPr>
        <w:t>费率</w:t>
      </w:r>
      <w:r>
        <w:rPr>
          <w:rFonts w:hint="default" w:ascii="Times New Roman" w:hAnsi="Times New Roman" w:cs="Times New Roman"/>
          <w:color w:val="auto"/>
          <w:highlight w:val="none"/>
        </w:rPr>
        <w:t>是履行合同的最终价格，</w:t>
      </w:r>
      <w:r>
        <w:rPr>
          <w:rFonts w:hint="default" w:ascii="Times New Roman" w:hAnsi="Times New Roman" w:cs="Times New Roman"/>
          <w:color w:val="auto"/>
          <w:szCs w:val="21"/>
          <w:highlight w:val="none"/>
          <w:lang w:eastAsia="zh-CN"/>
        </w:rPr>
        <w:t>应包括货物及服务、标准附件、备品备件、专用工具、辅料、耗材、运输、保管、安装、验收、等各种费用和售后服务</w:t>
      </w:r>
      <w:r>
        <w:rPr>
          <w:rFonts w:hint="default" w:ascii="Times New Roman" w:hAnsi="Times New Roman" w:cs="Times New Roman"/>
          <w:color w:val="auto"/>
          <w:highlight w:val="none"/>
        </w:rPr>
        <w:t>的一切费用。</w:t>
      </w:r>
    </w:p>
    <w:p w14:paraId="1433C42C">
      <w:pPr>
        <w:snapToGrid w:val="0"/>
        <w:spacing w:before="50" w:after="50" w:line="360" w:lineRule="exact"/>
        <w:jc w:val="left"/>
        <w:rPr>
          <w:rFonts w:hint="default" w:ascii="Times New Roman" w:hAnsi="Times New Roman" w:cs="Times New Roman"/>
          <w:color w:val="auto"/>
          <w:szCs w:val="21"/>
          <w:highlight w:val="none"/>
        </w:rPr>
      </w:pPr>
    </w:p>
    <w:p w14:paraId="672C2CC5">
      <w:pPr>
        <w:pStyle w:val="17"/>
        <w:spacing w:line="360" w:lineRule="auto"/>
        <w:jc w:val="both"/>
        <w:outlineLvl w:val="2"/>
        <w:rPr>
          <w:rFonts w:hint="default" w:ascii="Times New Roman" w:hAnsi="Times New Roman" w:cs="Times New Roman"/>
          <w:b/>
          <w:bCs/>
          <w:color w:val="auto"/>
          <w:sz w:val="32"/>
          <w:szCs w:val="32"/>
          <w:highlight w:val="none"/>
        </w:rPr>
      </w:pPr>
      <w:bookmarkStart w:id="36" w:name="_Toc433709050"/>
    </w:p>
    <w:p w14:paraId="52DBE1F0">
      <w:pPr>
        <w:pStyle w:val="17"/>
        <w:spacing w:line="360" w:lineRule="auto"/>
        <w:jc w:val="both"/>
        <w:outlineLvl w:val="2"/>
        <w:rPr>
          <w:rFonts w:hint="default" w:ascii="Times New Roman" w:hAnsi="Times New Roman" w:cs="Times New Roman"/>
          <w:b/>
          <w:bCs/>
          <w:color w:val="auto"/>
          <w:sz w:val="32"/>
          <w:szCs w:val="32"/>
          <w:highlight w:val="none"/>
          <w:lang w:val="en-US" w:eastAsia="zh-CN"/>
        </w:rPr>
      </w:pPr>
    </w:p>
    <w:p w14:paraId="38D11B18">
      <w:pPr>
        <w:rPr>
          <w:rFonts w:hint="default" w:ascii="Times New Roman" w:hAnsi="Times New Roman" w:cs="Times New Roman"/>
          <w:b/>
          <w:bCs/>
          <w:color w:val="auto"/>
          <w:sz w:val="32"/>
          <w:szCs w:val="32"/>
          <w:highlight w:val="none"/>
          <w:lang w:val="en-US" w:eastAsia="zh-CN"/>
        </w:rPr>
      </w:pPr>
    </w:p>
    <w:p w14:paraId="7872DB15">
      <w:pPr>
        <w:pStyle w:val="14"/>
        <w:rPr>
          <w:rFonts w:hint="default" w:ascii="Times New Roman" w:hAnsi="Times New Roman" w:cs="Times New Roman"/>
          <w:b/>
          <w:bCs/>
          <w:color w:val="auto"/>
          <w:sz w:val="32"/>
          <w:szCs w:val="32"/>
          <w:highlight w:val="none"/>
          <w:lang w:val="en-US" w:eastAsia="zh-CN"/>
        </w:rPr>
      </w:pPr>
    </w:p>
    <w:p w14:paraId="499C79C7">
      <w:pPr>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br w:type="page"/>
      </w:r>
    </w:p>
    <w:p w14:paraId="38376757">
      <w:pPr>
        <w:rPr>
          <w:rFonts w:hint="default"/>
          <w:color w:val="auto"/>
          <w:highlight w:val="none"/>
          <w:lang w:val="en-US" w:eastAsia="zh-CN"/>
        </w:rPr>
      </w:pPr>
    </w:p>
    <w:p w14:paraId="37FEDDB1">
      <w:pPr>
        <w:rPr>
          <w:rFonts w:hint="default"/>
          <w:color w:val="auto"/>
          <w:highlight w:val="none"/>
          <w:lang w:val="en-US" w:eastAsia="zh-CN"/>
        </w:rPr>
      </w:pPr>
    </w:p>
    <w:p w14:paraId="106977CC">
      <w:pPr>
        <w:pStyle w:val="17"/>
        <w:spacing w:line="360" w:lineRule="auto"/>
        <w:jc w:val="center"/>
        <w:outlineLvl w:val="2"/>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lang w:val="en-US" w:eastAsia="zh-CN"/>
        </w:rPr>
        <w:t>3、</w:t>
      </w:r>
      <w:r>
        <w:rPr>
          <w:rFonts w:hint="default" w:ascii="Times New Roman" w:hAnsi="Times New Roman" w:cs="Times New Roman"/>
          <w:b/>
          <w:bCs/>
          <w:color w:val="auto"/>
          <w:sz w:val="32"/>
          <w:szCs w:val="32"/>
          <w:highlight w:val="none"/>
        </w:rPr>
        <w:t>技术规格偏离表（格式）</w:t>
      </w:r>
      <w:bookmarkEnd w:id="36"/>
    </w:p>
    <w:p w14:paraId="4625657C">
      <w:pPr>
        <w:pStyle w:val="17"/>
        <w:spacing w:line="360" w:lineRule="auto"/>
        <w:jc w:val="center"/>
        <w:rPr>
          <w:rFonts w:hint="default" w:ascii="Times New Roman" w:hAnsi="Times New Roman" w:cs="Times New Roman"/>
          <w:b/>
          <w:bCs/>
          <w:color w:val="auto"/>
          <w:sz w:val="32"/>
          <w:szCs w:val="32"/>
          <w:highlight w:val="none"/>
        </w:rPr>
      </w:pPr>
    </w:p>
    <w:p w14:paraId="3CD36C88">
      <w:pPr>
        <w:pStyle w:val="17"/>
        <w:spacing w:line="360" w:lineRule="auto"/>
        <w:ind w:firstLine="425"/>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rPr>
        <w:t>请按所投标产品的实际品牌型号及其技术参数性能（配置），逐条对应招标文件《</w:t>
      </w:r>
      <w:r>
        <w:rPr>
          <w:rFonts w:hint="default" w:ascii="Times New Roman" w:hAnsi="Times New Roman" w:cs="Times New Roman"/>
          <w:b/>
          <w:bCs/>
          <w:color w:val="auto"/>
          <w:highlight w:val="none"/>
          <w:lang w:eastAsia="zh-CN"/>
        </w:rPr>
        <w:t>服务</w:t>
      </w:r>
      <w:r>
        <w:rPr>
          <w:rFonts w:hint="default" w:ascii="Times New Roman" w:hAnsi="Times New Roman" w:cs="Times New Roman"/>
          <w:b/>
          <w:bCs/>
          <w:color w:val="auto"/>
          <w:highlight w:val="none"/>
        </w:rPr>
        <w:t>需求</w:t>
      </w:r>
      <w:r>
        <w:rPr>
          <w:rFonts w:hint="default" w:ascii="Times New Roman" w:hAnsi="Times New Roman" w:cs="Times New Roman"/>
          <w:b/>
          <w:bCs/>
          <w:color w:val="auto"/>
          <w:highlight w:val="none"/>
          <w:lang w:eastAsia="zh-CN"/>
        </w:rPr>
        <w:t>一览表</w:t>
      </w:r>
      <w:r>
        <w:rPr>
          <w:rFonts w:hint="default" w:ascii="Times New Roman" w:hAnsi="Times New Roman" w:cs="Times New Roman"/>
          <w:b/>
          <w:bCs/>
          <w:color w:val="auto"/>
          <w:highlight w:val="none"/>
        </w:rPr>
        <w:t xml:space="preserve">》中的要求认真填写本表 </w:t>
      </w:r>
      <w:r>
        <w:rPr>
          <w:rFonts w:hint="default" w:ascii="Times New Roman" w:hAnsi="Times New Roman" w:cs="Times New Roman"/>
          <w:b/>
          <w:bCs/>
          <w:color w:val="auto"/>
          <w:highlight w:val="none"/>
          <w:lang w:eastAsia="zh-CN"/>
        </w:rPr>
        <w:t>。</w:t>
      </w:r>
    </w:p>
    <w:tbl>
      <w:tblPr>
        <w:tblStyle w:val="33"/>
        <w:tblW w:w="9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28"/>
        <w:gridCol w:w="3100"/>
        <w:gridCol w:w="2525"/>
      </w:tblGrid>
      <w:tr w14:paraId="1791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5" w:type="dxa"/>
            <w:tcBorders>
              <w:top w:val="single" w:color="auto" w:sz="4" w:space="0"/>
              <w:left w:val="single" w:color="auto" w:sz="4" w:space="0"/>
              <w:bottom w:val="single" w:color="auto" w:sz="4" w:space="0"/>
              <w:right w:val="single" w:color="auto" w:sz="4" w:space="0"/>
            </w:tcBorders>
            <w:vAlign w:val="center"/>
          </w:tcPr>
          <w:p w14:paraId="42B45ADD">
            <w:pPr>
              <w:pStyle w:val="17"/>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序号</w:t>
            </w:r>
          </w:p>
        </w:tc>
        <w:tc>
          <w:tcPr>
            <w:tcW w:w="3028" w:type="dxa"/>
            <w:tcBorders>
              <w:top w:val="single" w:color="auto" w:sz="4" w:space="0"/>
              <w:left w:val="single" w:color="auto" w:sz="4" w:space="0"/>
              <w:bottom w:val="single" w:color="auto" w:sz="4" w:space="0"/>
              <w:right w:val="single" w:color="auto" w:sz="4" w:space="0"/>
            </w:tcBorders>
            <w:vAlign w:val="center"/>
          </w:tcPr>
          <w:p w14:paraId="24A1CD02">
            <w:pPr>
              <w:pStyle w:val="17"/>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招标要求</w:t>
            </w:r>
          </w:p>
        </w:tc>
        <w:tc>
          <w:tcPr>
            <w:tcW w:w="3100" w:type="dxa"/>
            <w:tcBorders>
              <w:top w:val="single" w:color="auto" w:sz="4" w:space="0"/>
              <w:left w:val="single" w:color="auto" w:sz="4" w:space="0"/>
              <w:bottom w:val="single" w:color="auto" w:sz="4" w:space="0"/>
              <w:right w:val="single" w:color="auto" w:sz="4" w:space="0"/>
            </w:tcBorders>
            <w:vAlign w:val="center"/>
          </w:tcPr>
          <w:p w14:paraId="102E68BC">
            <w:pPr>
              <w:pStyle w:val="17"/>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投标规格</w:t>
            </w:r>
          </w:p>
        </w:tc>
        <w:tc>
          <w:tcPr>
            <w:tcW w:w="2525" w:type="dxa"/>
            <w:tcBorders>
              <w:top w:val="single" w:color="auto" w:sz="4" w:space="0"/>
              <w:left w:val="single" w:color="auto" w:sz="4" w:space="0"/>
              <w:bottom w:val="single" w:color="auto" w:sz="4" w:space="0"/>
              <w:right w:val="single" w:color="auto" w:sz="4" w:space="0"/>
            </w:tcBorders>
            <w:vAlign w:val="center"/>
          </w:tcPr>
          <w:p w14:paraId="07F3CF3D">
            <w:pPr>
              <w:pStyle w:val="17"/>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偏离说明</w:t>
            </w:r>
          </w:p>
        </w:tc>
      </w:tr>
      <w:tr w14:paraId="3247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5" w:type="dxa"/>
            <w:tcBorders>
              <w:top w:val="single" w:color="auto" w:sz="4" w:space="0"/>
              <w:left w:val="single" w:color="auto" w:sz="4" w:space="0"/>
              <w:bottom w:val="single" w:color="auto" w:sz="4" w:space="0"/>
              <w:right w:val="single" w:color="auto" w:sz="4" w:space="0"/>
            </w:tcBorders>
            <w:vAlign w:val="center"/>
          </w:tcPr>
          <w:p w14:paraId="5B98FD62">
            <w:pPr>
              <w:pStyle w:val="17"/>
              <w:spacing w:line="360" w:lineRule="auto"/>
              <w:jc w:val="center"/>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center"/>
          </w:tcPr>
          <w:p w14:paraId="0B07F393">
            <w:pPr>
              <w:pStyle w:val="17"/>
              <w:spacing w:line="360" w:lineRule="auto"/>
              <w:jc w:val="center"/>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14:paraId="5EF28296">
            <w:pPr>
              <w:pStyle w:val="17"/>
              <w:spacing w:line="360" w:lineRule="auto"/>
              <w:jc w:val="center"/>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center"/>
          </w:tcPr>
          <w:p w14:paraId="35D0F2AD">
            <w:pPr>
              <w:pStyle w:val="17"/>
              <w:spacing w:line="360" w:lineRule="auto"/>
              <w:jc w:val="center"/>
              <w:rPr>
                <w:rFonts w:hint="default" w:ascii="Times New Roman" w:hAnsi="Times New Roman" w:eastAsia="宋体" w:cs="Times New Roman"/>
                <w:color w:val="auto"/>
                <w:highlight w:val="none"/>
              </w:rPr>
            </w:pPr>
          </w:p>
        </w:tc>
      </w:tr>
      <w:tr w14:paraId="6A58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53CBF2B2">
            <w:pPr>
              <w:pStyle w:val="17"/>
              <w:spacing w:line="360" w:lineRule="auto"/>
              <w:jc w:val="center"/>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center"/>
          </w:tcPr>
          <w:p w14:paraId="3EEB92A6">
            <w:pPr>
              <w:pStyle w:val="17"/>
              <w:spacing w:line="360" w:lineRule="auto"/>
              <w:jc w:val="center"/>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14:paraId="1F3B4905">
            <w:pPr>
              <w:pStyle w:val="17"/>
              <w:spacing w:line="360" w:lineRule="auto"/>
              <w:jc w:val="center"/>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center"/>
          </w:tcPr>
          <w:p w14:paraId="34344387">
            <w:pPr>
              <w:pStyle w:val="17"/>
              <w:spacing w:line="360" w:lineRule="auto"/>
              <w:jc w:val="center"/>
              <w:rPr>
                <w:rFonts w:hint="default" w:ascii="Times New Roman" w:hAnsi="Times New Roman" w:eastAsia="宋体" w:cs="Times New Roman"/>
                <w:color w:val="auto"/>
                <w:highlight w:val="none"/>
              </w:rPr>
            </w:pPr>
          </w:p>
        </w:tc>
      </w:tr>
      <w:tr w14:paraId="5616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05CE086B">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498D05C5">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3B8A5655">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48EBE441">
            <w:pPr>
              <w:pStyle w:val="17"/>
              <w:spacing w:line="360" w:lineRule="auto"/>
              <w:rPr>
                <w:rFonts w:hint="default" w:ascii="Times New Roman" w:hAnsi="Times New Roman" w:eastAsia="宋体" w:cs="Times New Roman"/>
                <w:color w:val="auto"/>
                <w:highlight w:val="none"/>
              </w:rPr>
            </w:pPr>
          </w:p>
        </w:tc>
      </w:tr>
      <w:tr w14:paraId="0296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2405AD01">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3FA4BEF6">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78B3B653">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621C92E9">
            <w:pPr>
              <w:pStyle w:val="17"/>
              <w:spacing w:line="360" w:lineRule="auto"/>
              <w:rPr>
                <w:rFonts w:hint="default" w:ascii="Times New Roman" w:hAnsi="Times New Roman" w:eastAsia="宋体" w:cs="Times New Roman"/>
                <w:color w:val="auto"/>
                <w:highlight w:val="none"/>
              </w:rPr>
            </w:pPr>
          </w:p>
        </w:tc>
      </w:tr>
      <w:tr w14:paraId="3ABA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0E50AEB8">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214823BD">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2AFD977F">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3030E5DE">
            <w:pPr>
              <w:pStyle w:val="17"/>
              <w:spacing w:line="360" w:lineRule="auto"/>
              <w:rPr>
                <w:rFonts w:hint="default" w:ascii="Times New Roman" w:hAnsi="Times New Roman" w:eastAsia="宋体" w:cs="Times New Roman"/>
                <w:color w:val="auto"/>
                <w:highlight w:val="none"/>
              </w:rPr>
            </w:pPr>
          </w:p>
        </w:tc>
      </w:tr>
      <w:tr w14:paraId="4C97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595A9CD2">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499FD300">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6D61CD01">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662D7A46">
            <w:pPr>
              <w:pStyle w:val="17"/>
              <w:spacing w:line="360" w:lineRule="auto"/>
              <w:rPr>
                <w:rFonts w:hint="default" w:ascii="Times New Roman" w:hAnsi="Times New Roman" w:eastAsia="宋体" w:cs="Times New Roman"/>
                <w:color w:val="auto"/>
                <w:highlight w:val="none"/>
              </w:rPr>
            </w:pPr>
          </w:p>
        </w:tc>
      </w:tr>
      <w:tr w14:paraId="11BB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03D80047">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11E76CF8">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3C35A022">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236603C0">
            <w:pPr>
              <w:pStyle w:val="17"/>
              <w:spacing w:line="360" w:lineRule="auto"/>
              <w:rPr>
                <w:rFonts w:hint="default" w:ascii="Times New Roman" w:hAnsi="Times New Roman" w:eastAsia="宋体" w:cs="Times New Roman"/>
                <w:color w:val="auto"/>
                <w:highlight w:val="none"/>
              </w:rPr>
            </w:pPr>
          </w:p>
        </w:tc>
      </w:tr>
      <w:tr w14:paraId="5685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2BC72342">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194B2F78">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0C195D63">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0E701E06">
            <w:pPr>
              <w:pStyle w:val="17"/>
              <w:spacing w:line="360" w:lineRule="auto"/>
              <w:rPr>
                <w:rFonts w:hint="default" w:ascii="Times New Roman" w:hAnsi="Times New Roman" w:eastAsia="宋体" w:cs="Times New Roman"/>
                <w:color w:val="auto"/>
                <w:highlight w:val="none"/>
              </w:rPr>
            </w:pPr>
          </w:p>
        </w:tc>
      </w:tr>
      <w:tr w14:paraId="2225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1C61642A">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4498B582">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48775140">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063EB0D5">
            <w:pPr>
              <w:pStyle w:val="17"/>
              <w:spacing w:line="360" w:lineRule="auto"/>
              <w:rPr>
                <w:rFonts w:hint="default" w:ascii="Times New Roman" w:hAnsi="Times New Roman" w:eastAsia="宋体" w:cs="Times New Roman"/>
                <w:color w:val="auto"/>
                <w:highlight w:val="none"/>
              </w:rPr>
            </w:pPr>
          </w:p>
        </w:tc>
      </w:tr>
    </w:tbl>
    <w:p w14:paraId="469FA43A">
      <w:pPr>
        <w:pStyle w:val="17"/>
        <w:spacing w:line="360" w:lineRule="auto"/>
        <w:rPr>
          <w:rFonts w:hint="default" w:ascii="Times New Roman" w:hAnsi="Times New Roman" w:cs="Times New Roman"/>
          <w:color w:val="auto"/>
          <w:highlight w:val="none"/>
          <w:u w:val="single"/>
        </w:rPr>
      </w:pPr>
    </w:p>
    <w:p w14:paraId="3FFAD345">
      <w:pPr>
        <w:pStyle w:val="17"/>
        <w:spacing w:line="360" w:lineRule="auto"/>
        <w:rPr>
          <w:rFonts w:hint="default" w:ascii="Times New Roman" w:hAnsi="Times New Roman" w:cs="Times New Roman"/>
          <w:color w:val="auto"/>
          <w:highlight w:val="none"/>
        </w:rPr>
      </w:pPr>
    </w:p>
    <w:p w14:paraId="68BE1B90">
      <w:pPr>
        <w:pStyle w:val="17"/>
        <w:spacing w:line="360" w:lineRule="auto"/>
        <w:rPr>
          <w:rFonts w:hint="default" w:ascii="Times New Roman" w:hAnsi="Times New Roman" w:cs="Times New Roman"/>
          <w:color w:val="auto"/>
          <w:highlight w:val="none"/>
        </w:rPr>
      </w:pPr>
    </w:p>
    <w:p w14:paraId="18DDDF16">
      <w:pPr>
        <w:pStyle w:val="17"/>
        <w:spacing w:line="360" w:lineRule="auto"/>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lang w:eastAsia="zh-CN"/>
        </w:rPr>
        <w:t>磋商</w:t>
      </w:r>
      <w:r>
        <w:rPr>
          <w:rFonts w:hint="default" w:ascii="Times New Roman" w:hAnsi="Times New Roman" w:cs="Times New Roman"/>
          <w:color w:val="auto"/>
          <w:highlight w:val="none"/>
        </w:rPr>
        <w:t>人盖公章</w:t>
      </w:r>
      <w:r>
        <w:rPr>
          <w:rFonts w:hint="default" w:ascii="Times New Roman" w:hAnsi="Times New Roman" w:cs="Times New Roman"/>
          <w:color w:val="auto"/>
          <w:highlight w:val="none"/>
          <w:lang w:eastAsia="zh-CN"/>
        </w:rPr>
        <w:t>：</w:t>
      </w:r>
    </w:p>
    <w:p w14:paraId="51BC3563">
      <w:pPr>
        <w:pStyle w:val="17"/>
        <w:spacing w:line="360" w:lineRule="auto"/>
        <w:rPr>
          <w:rFonts w:hint="default" w:ascii="Times New Roman" w:hAnsi="Times New Roman" w:cs="Times New Roman"/>
          <w:color w:val="auto"/>
          <w:highlight w:val="none"/>
        </w:rPr>
      </w:pPr>
    </w:p>
    <w:p w14:paraId="3BBD69F0">
      <w:pPr>
        <w:pStyle w:val="17"/>
        <w:spacing w:line="360" w:lineRule="auto"/>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法定代表人(或负责人)或委托代理人签字</w:t>
      </w:r>
      <w:r>
        <w:rPr>
          <w:rFonts w:hint="default" w:ascii="Times New Roman" w:hAnsi="Times New Roman" w:cs="Times New Roman"/>
          <w:color w:val="auto"/>
          <w:highlight w:val="none"/>
          <w:lang w:eastAsia="zh-CN"/>
        </w:rPr>
        <w:t>：</w:t>
      </w:r>
    </w:p>
    <w:p w14:paraId="79645B87">
      <w:pPr>
        <w:pStyle w:val="17"/>
        <w:spacing w:line="360" w:lineRule="auto"/>
        <w:rPr>
          <w:rFonts w:hint="default" w:ascii="Times New Roman" w:hAnsi="Times New Roman" w:cs="Times New Roman"/>
          <w:color w:val="auto"/>
          <w:highlight w:val="none"/>
          <w:u w:val="single"/>
        </w:rPr>
      </w:pPr>
    </w:p>
    <w:p w14:paraId="111A0E2A">
      <w:pPr>
        <w:pStyle w:val="17"/>
        <w:spacing w:line="360" w:lineRule="auto"/>
        <w:rPr>
          <w:rFonts w:hint="default" w:ascii="Times New Roman" w:hAnsi="Times New Roman" w:cs="Times New Roman"/>
          <w:color w:val="auto"/>
          <w:highlight w:val="none"/>
          <w:u w:val="single"/>
        </w:rPr>
      </w:pPr>
    </w:p>
    <w:p w14:paraId="7AD0DCB1">
      <w:pPr>
        <w:pStyle w:val="17"/>
        <w:spacing w:line="360" w:lineRule="auto"/>
        <w:rPr>
          <w:rFonts w:hint="default" w:ascii="Times New Roman" w:hAnsi="Times New Roman" w:cs="Times New Roman"/>
          <w:color w:val="auto"/>
          <w:highlight w:val="none"/>
          <w:u w:val="single"/>
        </w:rPr>
      </w:pPr>
    </w:p>
    <w:p w14:paraId="6B536B05">
      <w:pPr>
        <w:pStyle w:val="17"/>
        <w:spacing w:line="360" w:lineRule="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说明：若投标产品与招标要求无偏离时，请在偏离表中填写“无偏离”</w:t>
      </w:r>
    </w:p>
    <w:p w14:paraId="1E945A7C">
      <w:pPr>
        <w:pStyle w:val="17"/>
        <w:spacing w:line="360" w:lineRule="auto"/>
        <w:rPr>
          <w:rFonts w:hint="default" w:ascii="Times New Roman" w:hAnsi="Times New Roman" w:cs="Times New Roman"/>
          <w:color w:val="auto"/>
          <w:highlight w:val="none"/>
        </w:rPr>
      </w:pPr>
    </w:p>
    <w:p w14:paraId="27F0D5A1">
      <w:pPr>
        <w:pStyle w:val="17"/>
        <w:spacing w:line="360" w:lineRule="auto"/>
        <w:rPr>
          <w:rFonts w:hint="default" w:ascii="Times New Roman" w:hAnsi="Times New Roman" w:cs="Times New Roman"/>
          <w:color w:val="auto"/>
          <w:highlight w:val="none"/>
        </w:rPr>
      </w:pPr>
    </w:p>
    <w:p w14:paraId="1685D684">
      <w:pPr>
        <w:pStyle w:val="23"/>
        <w:rPr>
          <w:rFonts w:hint="default" w:ascii="Times New Roman" w:hAnsi="Times New Roman" w:cs="Times New Roman"/>
          <w:b/>
          <w:color w:val="auto"/>
          <w:sz w:val="32"/>
          <w:highlight w:val="none"/>
        </w:rPr>
      </w:pPr>
    </w:p>
    <w:p w14:paraId="55DDE662">
      <w:pPr>
        <w:rPr>
          <w:rFonts w:hint="default" w:ascii="Times New Roman" w:hAnsi="Times New Roman" w:cs="Times New Roman"/>
          <w:color w:val="auto"/>
          <w:highlight w:val="none"/>
        </w:rPr>
      </w:pPr>
    </w:p>
    <w:p w14:paraId="2506E0C8">
      <w:pPr>
        <w:rPr>
          <w:rFonts w:hint="default" w:ascii="Times New Roman" w:hAnsi="Times New Roman" w:cs="Times New Roman"/>
          <w:color w:val="auto"/>
          <w:highlight w:val="none"/>
        </w:rPr>
      </w:pPr>
    </w:p>
    <w:p w14:paraId="085FD3E6">
      <w:pPr>
        <w:pStyle w:val="17"/>
        <w:jc w:val="center"/>
        <w:outlineLvl w:val="3"/>
        <w:rPr>
          <w:rFonts w:hint="default" w:ascii="Times New Roman" w:hAnsi="Times New Roman" w:cs="Times New Roman"/>
          <w:b/>
          <w:color w:val="auto"/>
          <w:sz w:val="32"/>
          <w:highlight w:val="none"/>
        </w:rPr>
      </w:pPr>
      <w:bookmarkStart w:id="37" w:name="_Toc714"/>
      <w:r>
        <w:rPr>
          <w:rFonts w:hint="default" w:ascii="Times New Roman" w:hAnsi="Times New Roman" w:cs="Times New Roman"/>
          <w:b/>
          <w:color w:val="auto"/>
          <w:sz w:val="32"/>
          <w:highlight w:val="none"/>
          <w:lang w:val="en-US" w:eastAsia="zh-CN"/>
        </w:rPr>
        <w:t>4</w:t>
      </w:r>
      <w:r>
        <w:rPr>
          <w:rFonts w:hint="default" w:ascii="Times New Roman" w:hAnsi="Times New Roman" w:cs="Times New Roman"/>
          <w:b/>
          <w:color w:val="auto"/>
          <w:sz w:val="32"/>
          <w:highlight w:val="none"/>
        </w:rPr>
        <w:t>.磋商保证金缴纳证明格式</w:t>
      </w:r>
      <w:bookmarkEnd w:id="37"/>
    </w:p>
    <w:p w14:paraId="2AD38DE3">
      <w:pPr>
        <w:spacing w:line="540" w:lineRule="exact"/>
        <w:jc w:val="center"/>
        <w:rPr>
          <w:rFonts w:hint="default" w:ascii="Times New Roman" w:hAnsi="Times New Roman" w:eastAsia="隶书" w:cs="Times New Roman"/>
          <w:color w:val="auto"/>
          <w:sz w:val="30"/>
          <w:highlight w:val="none"/>
        </w:rPr>
      </w:pPr>
      <w:r>
        <w:rPr>
          <w:rFonts w:hint="default" w:ascii="Times New Roman" w:hAnsi="Times New Roman" w:cs="Times New Roman"/>
          <w:b/>
          <w:color w:val="auto"/>
          <w:sz w:val="30"/>
          <w:highlight w:val="none"/>
        </w:rPr>
        <w:t>（复印件）</w:t>
      </w:r>
    </w:p>
    <w:p w14:paraId="1C9B22EE">
      <w:pPr>
        <w:spacing w:line="540" w:lineRule="exact"/>
        <w:jc w:val="center"/>
        <w:rPr>
          <w:rFonts w:hint="default" w:ascii="Times New Roman" w:hAnsi="Times New Roman" w:cs="Times New Roman"/>
          <w:color w:val="auto"/>
          <w:sz w:val="32"/>
          <w:szCs w:val="32"/>
          <w:highlight w:val="none"/>
        </w:rPr>
      </w:pPr>
    </w:p>
    <w:tbl>
      <w:tblPr>
        <w:tblStyle w:val="33"/>
        <w:tblW w:w="97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02EF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9720" w:type="dxa"/>
            <w:vAlign w:val="center"/>
          </w:tcPr>
          <w:p w14:paraId="192CFFD9">
            <w:pPr>
              <w:pStyle w:val="17"/>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（磋商保证金证明材料【采用保函</w:t>
            </w:r>
            <w:r>
              <w:rPr>
                <w:rFonts w:hint="default" w:ascii="Times New Roman" w:hAnsi="Times New Roman" w:eastAsia="宋体" w:cs="Times New Roman"/>
                <w:color w:val="auto"/>
                <w:szCs w:val="21"/>
                <w:highlight w:val="none"/>
                <w:lang w:eastAsia="zh-CN"/>
              </w:rPr>
              <w:t>、保险</w:t>
            </w:r>
            <w:r>
              <w:rPr>
                <w:rFonts w:hint="default" w:ascii="Times New Roman" w:hAnsi="Times New Roman" w:eastAsia="宋体" w:cs="Times New Roman"/>
                <w:color w:val="auto"/>
                <w:szCs w:val="21"/>
                <w:highlight w:val="none"/>
              </w:rPr>
              <w:t>或支票方式提交复印件或投标保证金收据（如有）的复印件、银行</w:t>
            </w:r>
          </w:p>
          <w:p w14:paraId="04DC9C09">
            <w:pPr>
              <w:pStyle w:val="17"/>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1"/>
                <w:highlight w:val="none"/>
              </w:rPr>
              <w:t>转帐（或电汇）底单复印件】）</w:t>
            </w:r>
          </w:p>
        </w:tc>
      </w:tr>
    </w:tbl>
    <w:p w14:paraId="10189037">
      <w:pPr>
        <w:pStyle w:val="17"/>
        <w:rPr>
          <w:rFonts w:hint="default" w:ascii="Times New Roman" w:hAnsi="Times New Roman" w:cs="Times New Roman"/>
          <w:color w:val="auto"/>
          <w:highlight w:val="none"/>
        </w:rPr>
      </w:pPr>
    </w:p>
    <w:p w14:paraId="02A61B71">
      <w:pPr>
        <w:pStyle w:val="17"/>
        <w:rPr>
          <w:rFonts w:hint="default" w:ascii="Times New Roman" w:hAnsi="Times New Roman" w:cs="Times New Roman"/>
          <w:color w:val="auto"/>
          <w:highlight w:val="none"/>
        </w:rPr>
      </w:pPr>
    </w:p>
    <w:p w14:paraId="50D7243C">
      <w:pPr>
        <w:pStyle w:val="17"/>
        <w:jc w:val="cente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磋商人盖公章：</w:t>
      </w:r>
      <w:r>
        <w:rPr>
          <w:rFonts w:hint="default" w:ascii="Times New Roman" w:hAnsi="Times New Roman" w:cs="Times New Roman"/>
          <w:color w:val="auto"/>
          <w:highlight w:val="none"/>
          <w:u w:val="single"/>
        </w:rPr>
        <w:t xml:space="preserve">              </w:t>
      </w:r>
    </w:p>
    <w:p w14:paraId="3501C75C">
      <w:pPr>
        <w:pStyle w:val="17"/>
        <w:jc w:val="center"/>
        <w:rPr>
          <w:rFonts w:hint="default" w:ascii="Times New Roman" w:hAnsi="Times New Roman" w:cs="Times New Roman"/>
          <w:color w:val="auto"/>
          <w:highlight w:val="none"/>
        </w:rPr>
      </w:pPr>
    </w:p>
    <w:p w14:paraId="19E5C528">
      <w:pPr>
        <w:pStyle w:val="17"/>
        <w:jc w:val="cente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 xml:space="preserve">              法定代表人(或负责人)或委托代理人签字：</w:t>
      </w:r>
      <w:r>
        <w:rPr>
          <w:rFonts w:hint="default" w:ascii="Times New Roman" w:hAnsi="Times New Roman" w:cs="Times New Roman"/>
          <w:color w:val="auto"/>
          <w:highlight w:val="none"/>
          <w:u w:val="single"/>
        </w:rPr>
        <w:t xml:space="preserve">               </w:t>
      </w:r>
    </w:p>
    <w:p w14:paraId="2626AD8D">
      <w:pPr>
        <w:pStyle w:val="17"/>
        <w:jc w:val="center"/>
        <w:rPr>
          <w:rFonts w:hint="default" w:ascii="Times New Roman" w:hAnsi="Times New Roman" w:cs="Times New Roman"/>
          <w:color w:val="auto"/>
          <w:highlight w:val="none"/>
          <w:u w:val="single"/>
        </w:rPr>
      </w:pPr>
    </w:p>
    <w:p w14:paraId="6FDCF5FD">
      <w:pPr>
        <w:pStyle w:val="17"/>
        <w:ind w:firstLine="4095" w:firstLineChars="195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日期：</w:t>
      </w:r>
      <w:r>
        <w:rPr>
          <w:rFonts w:hint="default" w:ascii="Times New Roman" w:hAnsi="Times New Roman" w:cs="Times New Roman"/>
          <w:color w:val="auto"/>
          <w:highlight w:val="none"/>
          <w:u w:val="single"/>
        </w:rPr>
        <w:t xml:space="preserve">                 </w:t>
      </w:r>
    </w:p>
    <w:p w14:paraId="5CA0E744">
      <w:pPr>
        <w:pStyle w:val="17"/>
        <w:rPr>
          <w:rFonts w:hint="default" w:ascii="Times New Roman" w:hAnsi="Times New Roman" w:cs="Times New Roman"/>
          <w:color w:val="auto"/>
          <w:highlight w:val="none"/>
        </w:rPr>
      </w:pPr>
    </w:p>
    <w:p w14:paraId="7BA3A722">
      <w:pPr>
        <w:pStyle w:val="17"/>
        <w:rPr>
          <w:rFonts w:hint="default" w:ascii="Times New Roman" w:hAnsi="Times New Roman" w:cs="Times New Roman"/>
          <w:color w:val="auto"/>
          <w:highlight w:val="none"/>
        </w:rPr>
      </w:pPr>
    </w:p>
    <w:p w14:paraId="7B53A239">
      <w:pPr>
        <w:pStyle w:val="17"/>
        <w:rPr>
          <w:rFonts w:hint="default" w:ascii="Times New Roman" w:hAnsi="Times New Roman" w:cs="Times New Roman"/>
          <w:color w:val="auto"/>
          <w:highlight w:val="none"/>
        </w:rPr>
      </w:pPr>
    </w:p>
    <w:p w14:paraId="67104759">
      <w:pPr>
        <w:pStyle w:val="17"/>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p>
    <w:p w14:paraId="5A5A1D56">
      <w:pPr>
        <w:pStyle w:val="17"/>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磋商</w:t>
      </w:r>
      <w:r>
        <w:rPr>
          <w:rFonts w:hint="default" w:ascii="Times New Roman" w:hAnsi="Times New Roman" w:cs="Times New Roman"/>
          <w:color w:val="auto"/>
          <w:szCs w:val="21"/>
          <w:highlight w:val="none"/>
        </w:rPr>
        <w:t>人应将投标保证金以支票、汇票、本票、转账、电汇或者金融机构出具的保函</w:t>
      </w:r>
      <w:r>
        <w:rPr>
          <w:rFonts w:hint="default" w:ascii="Times New Roman" w:hAnsi="Times New Roman" w:cs="Times New Roman"/>
          <w:color w:val="auto"/>
          <w:szCs w:val="21"/>
          <w:highlight w:val="none"/>
          <w:lang w:eastAsia="zh-CN"/>
        </w:rPr>
        <w:t>、保险</w:t>
      </w:r>
      <w:r>
        <w:rPr>
          <w:rFonts w:hint="default" w:ascii="Times New Roman" w:hAnsi="Times New Roman" w:cs="Times New Roman"/>
          <w:color w:val="auto"/>
          <w:szCs w:val="21"/>
          <w:highlight w:val="none"/>
        </w:rPr>
        <w:t>等非现金形式提交至以下账户，并于投标截止时间前到账，到账时间以银行确认的到账时间为准(注：若以支票、汇票、本票、保函</w:t>
      </w:r>
      <w:r>
        <w:rPr>
          <w:rFonts w:hint="default" w:ascii="Times New Roman" w:hAnsi="Times New Roman" w:cs="Times New Roman"/>
          <w:color w:val="auto"/>
          <w:szCs w:val="21"/>
          <w:highlight w:val="none"/>
          <w:lang w:eastAsia="zh-CN"/>
        </w:rPr>
        <w:t>、保险</w:t>
      </w:r>
      <w:r>
        <w:rPr>
          <w:rFonts w:hint="default" w:ascii="Times New Roman" w:hAnsi="Times New Roman" w:cs="Times New Roman"/>
          <w:color w:val="auto"/>
          <w:szCs w:val="21"/>
          <w:highlight w:val="none"/>
        </w:rPr>
        <w:t>方式提交的，交款人必须是磋商人；若以转账、电汇方式提交的，必须从磋商人银行账户转出；若以现金方式交纳或者没有足额交纳的视为无效投标。</w:t>
      </w:r>
      <w:r>
        <w:rPr>
          <w:rFonts w:hint="default" w:ascii="Times New Roman" w:hAnsi="Times New Roman" w:cs="Times New Roman"/>
          <w:bCs/>
          <w:color w:val="auto"/>
          <w:kern w:val="0"/>
          <w:szCs w:val="21"/>
          <w:highlight w:val="none"/>
        </w:rPr>
        <w:t>采用金融机构、担保机构出具的保函（担保）形式的，保函（担保）必须为无条件保函（担保），保函（担保）有效期不得低于投标有效期，否则视为无效投标。</w:t>
      </w:r>
      <w:r>
        <w:rPr>
          <w:rFonts w:hint="default" w:ascii="Times New Roman" w:hAnsi="Times New Roman" w:cs="Times New Roman"/>
          <w:color w:val="auto"/>
          <w:szCs w:val="21"/>
          <w:highlight w:val="none"/>
        </w:rPr>
        <w:t>办理投标保证金手续时，需在交纳凭据上注明项目名称或项目编号，</w:t>
      </w:r>
      <w:r>
        <w:rPr>
          <w:rFonts w:hint="default" w:ascii="Times New Roman" w:hAnsi="Times New Roman" w:cs="Times New Roman"/>
          <w:color w:val="auto"/>
          <w:kern w:val="48"/>
          <w:szCs w:val="21"/>
          <w:highlight w:val="none"/>
        </w:rPr>
        <w:t>否则投标无效</w:t>
      </w:r>
      <w:r>
        <w:rPr>
          <w:rFonts w:hint="default" w:ascii="Times New Roman" w:hAnsi="Times New Roman" w:cs="Times New Roman"/>
          <w:color w:val="auto"/>
          <w:szCs w:val="21"/>
          <w:highlight w:val="none"/>
        </w:rPr>
        <w:t>)</w:t>
      </w:r>
      <w:r>
        <w:rPr>
          <w:rFonts w:hint="default" w:ascii="Times New Roman" w:hAnsi="Times New Roman" w:cs="Times New Roman"/>
          <w:color w:val="auto"/>
          <w:highlight w:val="none"/>
        </w:rPr>
        <w:t>。</w:t>
      </w:r>
    </w:p>
    <w:p w14:paraId="1947D582">
      <w:pPr>
        <w:pStyle w:val="17"/>
        <w:spacing w:line="420" w:lineRule="exact"/>
        <w:ind w:firstLine="420"/>
        <w:rPr>
          <w:rFonts w:hint="default" w:ascii="Times New Roman" w:hAnsi="Times New Roman" w:cs="Times New Roman"/>
          <w:b/>
          <w:color w:val="auto"/>
          <w:sz w:val="32"/>
          <w:highlight w:val="none"/>
        </w:rPr>
      </w:pPr>
      <w:r>
        <w:rPr>
          <w:rFonts w:hint="default" w:ascii="Times New Roman" w:hAnsi="Times New Roman" w:cs="Times New Roman"/>
          <w:color w:val="auto"/>
          <w:highlight w:val="none"/>
        </w:rPr>
        <w:br w:type="page"/>
      </w:r>
    </w:p>
    <w:p w14:paraId="1626EE33">
      <w:pPr>
        <w:pStyle w:val="17"/>
        <w:jc w:val="center"/>
        <w:outlineLvl w:val="3"/>
        <w:rPr>
          <w:rFonts w:hint="default" w:ascii="Times New Roman" w:hAnsi="Times New Roman" w:cs="Times New Roman"/>
          <w:b/>
          <w:color w:val="auto"/>
          <w:sz w:val="32"/>
          <w:highlight w:val="none"/>
        </w:rPr>
      </w:pPr>
      <w:bookmarkStart w:id="38" w:name="_Toc13143"/>
      <w:r>
        <w:rPr>
          <w:rFonts w:hint="default" w:ascii="Times New Roman" w:hAnsi="Times New Roman" w:cs="Times New Roman"/>
          <w:b/>
          <w:color w:val="auto"/>
          <w:sz w:val="32"/>
          <w:highlight w:val="none"/>
          <w:lang w:val="en-US" w:eastAsia="zh-CN"/>
        </w:rPr>
        <w:t>5</w:t>
      </w:r>
      <w:r>
        <w:rPr>
          <w:rFonts w:hint="default" w:ascii="Times New Roman" w:hAnsi="Times New Roman" w:cs="Times New Roman"/>
          <w:b/>
          <w:color w:val="auto"/>
          <w:sz w:val="32"/>
          <w:highlight w:val="none"/>
        </w:rPr>
        <w:t>.磋商人资格证明文件格式</w:t>
      </w:r>
      <w:bookmarkEnd w:id="38"/>
    </w:p>
    <w:p w14:paraId="7B77DBA3">
      <w:pPr>
        <w:pStyle w:val="17"/>
        <w:spacing w:before="240" w:line="560" w:lineRule="exact"/>
        <w:ind w:firstLine="2760" w:firstLineChars="115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（磋商人按竞标须知第12条要求提供）</w:t>
      </w:r>
    </w:p>
    <w:p w14:paraId="1BFAB19A">
      <w:pPr>
        <w:rPr>
          <w:rFonts w:hint="default" w:ascii="Times New Roman" w:hAnsi="Times New Roman" w:cs="Times New Roman"/>
          <w:bCs/>
          <w:color w:val="auto"/>
          <w:sz w:val="24"/>
          <w:highlight w:val="none"/>
        </w:rPr>
      </w:pPr>
    </w:p>
    <w:p w14:paraId="6EFF949F">
      <w:pPr>
        <w:pStyle w:val="14"/>
        <w:rPr>
          <w:rFonts w:hint="default" w:ascii="Times New Roman" w:hAnsi="Times New Roman" w:cs="Times New Roman"/>
          <w:bCs/>
          <w:color w:val="auto"/>
          <w:sz w:val="24"/>
          <w:highlight w:val="none"/>
        </w:rPr>
      </w:pPr>
    </w:p>
    <w:p w14:paraId="342C9197">
      <w:pPr>
        <w:widowControl/>
        <w:spacing w:line="440" w:lineRule="exact"/>
        <w:ind w:right="218" w:rightChars="104"/>
        <w:jc w:val="left"/>
        <w:rPr>
          <w:rFonts w:hint="eastAsia" w:ascii="宋体" w:hAnsi="宋体" w:cs="宋体"/>
          <w:color w:val="auto"/>
          <w:kern w:val="0"/>
          <w:sz w:val="32"/>
          <w:szCs w:val="32"/>
          <w:highlight w:val="none"/>
          <w:lang w:bidi="ar"/>
        </w:rPr>
      </w:pPr>
    </w:p>
    <w:p w14:paraId="5B611BDA">
      <w:pPr>
        <w:numPr>
          <w:ilvl w:val="0"/>
          <w:numId w:val="5"/>
        </w:numPr>
        <w:snapToGrid w:val="0"/>
        <w:spacing w:before="50" w:after="120" w:afterLines="50"/>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lang w:val="en-US" w:eastAsia="zh-CN"/>
        </w:rPr>
        <w:t>贺</w:t>
      </w:r>
      <w:r>
        <w:rPr>
          <w:rFonts w:hint="eastAsia" w:ascii="宋体" w:hAnsi="宋体" w:cs="宋体"/>
          <w:b/>
          <w:bCs/>
          <w:color w:val="auto"/>
          <w:sz w:val="28"/>
          <w:szCs w:val="28"/>
          <w:highlight w:val="none"/>
        </w:rPr>
        <w:t>州市政府采购供应商信用承诺函(格式)</w:t>
      </w:r>
    </w:p>
    <w:p w14:paraId="0AA5F612">
      <w:pPr>
        <w:rPr>
          <w:rFonts w:hint="eastAsia" w:ascii="宋体" w:hAnsi="宋体" w:cs="宋体"/>
          <w:color w:val="auto"/>
          <w:szCs w:val="21"/>
          <w:highlight w:val="none"/>
        </w:rPr>
      </w:pPr>
      <w:r>
        <w:rPr>
          <w:rFonts w:hint="eastAsia" w:ascii="宋体" w:hAnsi="宋体" w:cs="宋体"/>
          <w:color w:val="auto"/>
          <w:szCs w:val="21"/>
          <w:highlight w:val="none"/>
        </w:rPr>
        <w:t>致广西朗亿工程咨询有限公司:</w:t>
      </w:r>
    </w:p>
    <w:p w14:paraId="3551033B">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供应商名称:</w:t>
      </w:r>
    </w:p>
    <w:p w14:paraId="21F4DB6C">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p>
    <w:p w14:paraId="27039CD4">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供应商地址:</w:t>
      </w:r>
    </w:p>
    <w:p w14:paraId="48FC569C">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812A368">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1.我单位具有符合采购文件资格要求独立承担民事责任的能力。</w:t>
      </w:r>
    </w:p>
    <w:p w14:paraId="35CC73A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2.我单位具有符合采购文件资格要求的财务状况报告。</w:t>
      </w:r>
    </w:p>
    <w:p w14:paraId="4676A47C">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3.我单位具有符合采购文件资格要求的依法缴纳税收和社会保障记录的良好记录。</w:t>
      </w:r>
    </w:p>
    <w:p w14:paraId="17B83D1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4.我单位具有符合采购文件资格要求履行合同所必需的设备和专业技术能力。</w:t>
      </w:r>
    </w:p>
    <w:p w14:paraId="35DEA47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00DEA94">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若我单位承诺不实，自愿承担提供虚假材料谋取中标、成交的法律责任。</w:t>
      </w:r>
    </w:p>
    <w:p w14:paraId="1B28E70A">
      <w:pPr>
        <w:rPr>
          <w:rFonts w:hint="eastAsia" w:ascii="宋体" w:hAnsi="宋体" w:cs="宋体"/>
          <w:color w:val="auto"/>
          <w:szCs w:val="21"/>
          <w:highlight w:val="none"/>
        </w:rPr>
      </w:pPr>
    </w:p>
    <w:p w14:paraId="618A432B">
      <w:pPr>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供应商名称(公章):</w:t>
      </w:r>
    </w:p>
    <w:p w14:paraId="79901E89">
      <w:pPr>
        <w:ind w:firstLine="2100" w:firstLineChars="1000"/>
        <w:rPr>
          <w:rFonts w:hint="eastAsia" w:ascii="宋体" w:hAnsi="宋体" w:cs="宋体"/>
          <w:color w:val="auto"/>
          <w:szCs w:val="21"/>
          <w:highlight w:val="none"/>
        </w:rPr>
      </w:pPr>
      <w:r>
        <w:rPr>
          <w:rFonts w:hint="eastAsia" w:ascii="宋体" w:hAnsi="宋体" w:cs="宋体"/>
          <w:color w:val="auto"/>
          <w:szCs w:val="21"/>
          <w:highlight w:val="none"/>
        </w:rPr>
        <w:t>法定代表人或授权代表(签名):</w:t>
      </w:r>
    </w:p>
    <w:p w14:paraId="6986601C">
      <w:pPr>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E68697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 1.供应商须在投标(响应)文件中按此模板提供承诺函，未提供视为未实质性响应招标(采购)文件要求，按无效投标(响应)处理。</w:t>
      </w:r>
    </w:p>
    <w:p w14:paraId="51712FDA">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2.供应商的法定代表人(其他组织的为负责人)或者授权代表的签名或盖章应真实、有效，如由授权代表签名或盖章的，应提供“法定代表人授权书”。</w:t>
      </w:r>
    </w:p>
    <w:p w14:paraId="418CED33">
      <w:pPr>
        <w:rPr>
          <w:rFonts w:hint="default"/>
          <w:color w:val="auto"/>
          <w:highlight w:val="none"/>
        </w:rPr>
      </w:pPr>
      <w:r>
        <w:rPr>
          <w:rFonts w:hint="eastAsia" w:ascii="宋体" w:hAnsi="宋体" w:cs="宋体"/>
          <w:b/>
          <w:color w:val="auto"/>
          <w:kern w:val="0"/>
          <w:sz w:val="32"/>
          <w:szCs w:val="32"/>
          <w:highlight w:val="none"/>
          <w:lang w:val="zh-CN"/>
        </w:rPr>
        <w:br w:type="page"/>
      </w:r>
    </w:p>
    <w:p w14:paraId="46882BF5">
      <w:pPr>
        <w:pStyle w:val="17"/>
        <w:spacing w:before="240" w:line="560" w:lineRule="exact"/>
        <w:ind w:firstLine="480" w:firstLineChars="200"/>
        <w:rPr>
          <w:rFonts w:hint="default" w:ascii="Times New Roman" w:hAnsi="Times New Roman" w:cs="Times New Roman"/>
          <w:bCs/>
          <w:color w:val="auto"/>
          <w:sz w:val="24"/>
          <w:highlight w:val="none"/>
        </w:rPr>
      </w:pPr>
    </w:p>
    <w:p w14:paraId="6CCB8200">
      <w:pPr>
        <w:pStyle w:val="17"/>
        <w:spacing w:line="420" w:lineRule="exact"/>
        <w:ind w:firstLine="420"/>
        <w:rPr>
          <w:rFonts w:hint="default" w:ascii="Times New Roman" w:hAnsi="Times New Roman" w:cs="Times New Roman"/>
          <w:b/>
          <w:color w:val="auto"/>
          <w:sz w:val="32"/>
          <w:highlight w:val="none"/>
        </w:rPr>
      </w:pPr>
    </w:p>
    <w:p w14:paraId="71FEE4F0">
      <w:pPr>
        <w:pStyle w:val="17"/>
        <w:spacing w:line="420" w:lineRule="exact"/>
        <w:ind w:firstLine="420"/>
        <w:rPr>
          <w:rFonts w:hint="default" w:ascii="Times New Roman" w:hAnsi="Times New Roman" w:cs="Times New Roman"/>
          <w:b/>
          <w:color w:val="auto"/>
          <w:sz w:val="32"/>
          <w:highlight w:val="none"/>
        </w:rPr>
      </w:pPr>
    </w:p>
    <w:p w14:paraId="087E0E91">
      <w:pPr>
        <w:pStyle w:val="17"/>
        <w:spacing w:line="420" w:lineRule="exact"/>
        <w:ind w:firstLine="420"/>
        <w:rPr>
          <w:rFonts w:hint="default" w:ascii="Times New Roman" w:hAnsi="Times New Roman" w:cs="Times New Roman"/>
          <w:b/>
          <w:color w:val="auto"/>
          <w:sz w:val="32"/>
          <w:highlight w:val="none"/>
        </w:rPr>
      </w:pPr>
    </w:p>
    <w:p w14:paraId="2A76D1C5">
      <w:pPr>
        <w:pStyle w:val="17"/>
        <w:jc w:val="center"/>
        <w:outlineLvl w:val="3"/>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lang w:val="en-US" w:eastAsia="zh-CN"/>
        </w:rPr>
        <w:t>6</w:t>
      </w:r>
      <w:r>
        <w:rPr>
          <w:rFonts w:hint="default" w:ascii="Times New Roman" w:hAnsi="Times New Roman" w:cs="Times New Roman"/>
          <w:b/>
          <w:color w:val="auto"/>
          <w:sz w:val="32"/>
          <w:highlight w:val="none"/>
        </w:rPr>
        <w:t>.磋商人认为必要提供的声明及文件资料。</w:t>
      </w:r>
    </w:p>
    <w:p w14:paraId="39FF96CD">
      <w:pPr>
        <w:pStyle w:val="17"/>
        <w:spacing w:line="420" w:lineRule="exact"/>
        <w:ind w:firstLine="420"/>
        <w:rPr>
          <w:rFonts w:hint="default" w:ascii="Times New Roman" w:hAnsi="Times New Roman" w:cs="Times New Roman"/>
          <w:b/>
          <w:color w:val="auto"/>
          <w:sz w:val="32"/>
          <w:highlight w:val="none"/>
        </w:rPr>
      </w:pPr>
    </w:p>
    <w:p w14:paraId="55B974BD">
      <w:pPr>
        <w:pStyle w:val="17"/>
        <w:spacing w:line="420" w:lineRule="exact"/>
        <w:ind w:firstLine="420"/>
        <w:rPr>
          <w:rFonts w:hint="default" w:ascii="Times New Roman" w:hAnsi="Times New Roman" w:cs="Times New Roman"/>
          <w:b/>
          <w:color w:val="auto"/>
          <w:sz w:val="32"/>
          <w:highlight w:val="none"/>
        </w:rPr>
      </w:pPr>
    </w:p>
    <w:p w14:paraId="508B56EF">
      <w:pPr>
        <w:pStyle w:val="17"/>
        <w:spacing w:line="420" w:lineRule="exact"/>
        <w:ind w:firstLine="420"/>
        <w:rPr>
          <w:rFonts w:hint="default" w:ascii="Times New Roman" w:hAnsi="Times New Roman" w:cs="Times New Roman"/>
          <w:b/>
          <w:color w:val="auto"/>
          <w:sz w:val="32"/>
          <w:highlight w:val="none"/>
        </w:rPr>
      </w:pPr>
    </w:p>
    <w:p w14:paraId="130B0701">
      <w:pPr>
        <w:pStyle w:val="17"/>
        <w:spacing w:line="420" w:lineRule="exact"/>
        <w:ind w:firstLine="420"/>
        <w:rPr>
          <w:rFonts w:hint="default" w:ascii="Times New Roman" w:hAnsi="Times New Roman" w:cs="Times New Roman"/>
          <w:b/>
          <w:color w:val="auto"/>
          <w:sz w:val="32"/>
          <w:highlight w:val="none"/>
        </w:rPr>
      </w:pPr>
    </w:p>
    <w:p w14:paraId="13F9BC41">
      <w:pPr>
        <w:pStyle w:val="17"/>
        <w:spacing w:line="420" w:lineRule="exact"/>
        <w:ind w:firstLine="420"/>
        <w:rPr>
          <w:rFonts w:hint="default" w:ascii="Times New Roman" w:hAnsi="Times New Roman" w:cs="Times New Roman"/>
          <w:b/>
          <w:color w:val="auto"/>
          <w:sz w:val="32"/>
          <w:highlight w:val="none"/>
        </w:rPr>
      </w:pPr>
    </w:p>
    <w:p w14:paraId="4573B1D9">
      <w:pPr>
        <w:pStyle w:val="17"/>
        <w:spacing w:line="420" w:lineRule="exact"/>
        <w:ind w:firstLine="420"/>
        <w:rPr>
          <w:rFonts w:hint="default" w:ascii="Times New Roman" w:hAnsi="Times New Roman" w:cs="Times New Roman"/>
          <w:b/>
          <w:color w:val="auto"/>
          <w:sz w:val="32"/>
          <w:highlight w:val="none"/>
        </w:rPr>
      </w:pPr>
    </w:p>
    <w:p w14:paraId="15989DC7">
      <w:pPr>
        <w:pStyle w:val="17"/>
        <w:spacing w:line="420" w:lineRule="exact"/>
        <w:ind w:firstLine="420"/>
        <w:rPr>
          <w:rFonts w:hint="default" w:ascii="Times New Roman" w:hAnsi="Times New Roman" w:cs="Times New Roman"/>
          <w:b/>
          <w:color w:val="auto"/>
          <w:sz w:val="32"/>
          <w:highlight w:val="none"/>
        </w:rPr>
      </w:pPr>
    </w:p>
    <w:p w14:paraId="1C4D1FB1">
      <w:pPr>
        <w:pStyle w:val="17"/>
        <w:spacing w:line="420" w:lineRule="exact"/>
        <w:ind w:firstLine="420"/>
        <w:rPr>
          <w:rFonts w:hint="default" w:ascii="Times New Roman" w:hAnsi="Times New Roman" w:cs="Times New Roman"/>
          <w:b/>
          <w:color w:val="auto"/>
          <w:sz w:val="32"/>
          <w:highlight w:val="none"/>
        </w:rPr>
      </w:pPr>
    </w:p>
    <w:p w14:paraId="176A9345">
      <w:pPr>
        <w:pStyle w:val="17"/>
        <w:spacing w:line="420" w:lineRule="exact"/>
        <w:ind w:firstLine="420"/>
        <w:rPr>
          <w:rFonts w:hint="default" w:ascii="Times New Roman" w:hAnsi="Times New Roman" w:cs="Times New Roman"/>
          <w:b/>
          <w:color w:val="auto"/>
          <w:sz w:val="32"/>
          <w:highlight w:val="none"/>
        </w:rPr>
      </w:pPr>
    </w:p>
    <w:p w14:paraId="114E6351">
      <w:pPr>
        <w:pStyle w:val="17"/>
        <w:spacing w:line="420" w:lineRule="exact"/>
        <w:ind w:firstLine="420"/>
        <w:rPr>
          <w:rFonts w:hint="default" w:ascii="Times New Roman" w:hAnsi="Times New Roman" w:cs="Times New Roman"/>
          <w:b/>
          <w:color w:val="auto"/>
          <w:sz w:val="32"/>
          <w:highlight w:val="none"/>
        </w:rPr>
      </w:pPr>
    </w:p>
    <w:p w14:paraId="125169A6">
      <w:pPr>
        <w:pStyle w:val="17"/>
        <w:spacing w:line="420" w:lineRule="exact"/>
        <w:ind w:firstLine="420"/>
        <w:rPr>
          <w:rFonts w:hint="default" w:ascii="Times New Roman" w:hAnsi="Times New Roman" w:cs="Times New Roman"/>
          <w:b/>
          <w:color w:val="auto"/>
          <w:sz w:val="32"/>
          <w:highlight w:val="none"/>
        </w:rPr>
      </w:pPr>
    </w:p>
    <w:p w14:paraId="2A035F2A">
      <w:pPr>
        <w:pStyle w:val="17"/>
        <w:spacing w:line="420" w:lineRule="exact"/>
        <w:ind w:firstLine="420"/>
        <w:rPr>
          <w:rFonts w:hint="default" w:ascii="Times New Roman" w:hAnsi="Times New Roman" w:cs="Times New Roman"/>
          <w:b/>
          <w:color w:val="auto"/>
          <w:sz w:val="32"/>
          <w:highlight w:val="none"/>
        </w:rPr>
      </w:pPr>
    </w:p>
    <w:p w14:paraId="3917344D">
      <w:pPr>
        <w:pStyle w:val="17"/>
        <w:spacing w:line="420" w:lineRule="exact"/>
        <w:ind w:firstLine="420"/>
        <w:rPr>
          <w:rFonts w:hint="default" w:ascii="Times New Roman" w:hAnsi="Times New Roman" w:cs="Times New Roman"/>
          <w:b/>
          <w:color w:val="auto"/>
          <w:sz w:val="32"/>
          <w:highlight w:val="none"/>
        </w:rPr>
      </w:pPr>
    </w:p>
    <w:p w14:paraId="6D0BC4AF">
      <w:pPr>
        <w:pStyle w:val="17"/>
        <w:spacing w:line="420" w:lineRule="exact"/>
        <w:ind w:firstLine="420"/>
        <w:rPr>
          <w:rFonts w:hint="default" w:ascii="Times New Roman" w:hAnsi="Times New Roman" w:cs="Times New Roman"/>
          <w:b/>
          <w:color w:val="auto"/>
          <w:sz w:val="32"/>
          <w:highlight w:val="none"/>
        </w:rPr>
      </w:pPr>
    </w:p>
    <w:p w14:paraId="7F3CE963">
      <w:pPr>
        <w:pStyle w:val="17"/>
        <w:spacing w:line="420" w:lineRule="exact"/>
        <w:ind w:firstLine="420"/>
        <w:rPr>
          <w:rFonts w:hint="default" w:ascii="Times New Roman" w:hAnsi="Times New Roman" w:cs="Times New Roman"/>
          <w:b/>
          <w:color w:val="auto"/>
          <w:sz w:val="32"/>
          <w:highlight w:val="none"/>
        </w:rPr>
      </w:pPr>
    </w:p>
    <w:p w14:paraId="5E34C470">
      <w:pPr>
        <w:pStyle w:val="17"/>
        <w:spacing w:line="420" w:lineRule="exact"/>
        <w:ind w:firstLine="420"/>
        <w:rPr>
          <w:rFonts w:hint="default" w:ascii="Times New Roman" w:hAnsi="Times New Roman" w:cs="Times New Roman"/>
          <w:b/>
          <w:color w:val="auto"/>
          <w:sz w:val="32"/>
          <w:highlight w:val="none"/>
        </w:rPr>
      </w:pPr>
    </w:p>
    <w:p w14:paraId="77806E68">
      <w:pPr>
        <w:pStyle w:val="17"/>
        <w:spacing w:line="420" w:lineRule="exact"/>
        <w:ind w:firstLine="420"/>
        <w:rPr>
          <w:rFonts w:hint="default" w:ascii="Times New Roman" w:hAnsi="Times New Roman" w:cs="Times New Roman"/>
          <w:b/>
          <w:color w:val="auto"/>
          <w:sz w:val="32"/>
          <w:highlight w:val="none"/>
        </w:rPr>
      </w:pPr>
    </w:p>
    <w:p w14:paraId="5B9DD1B7">
      <w:pPr>
        <w:pStyle w:val="17"/>
        <w:spacing w:line="420" w:lineRule="exact"/>
        <w:ind w:firstLine="420"/>
        <w:rPr>
          <w:rFonts w:hint="default" w:ascii="Times New Roman" w:hAnsi="Times New Roman" w:cs="Times New Roman"/>
          <w:b/>
          <w:color w:val="auto"/>
          <w:sz w:val="32"/>
          <w:highlight w:val="none"/>
        </w:rPr>
      </w:pPr>
    </w:p>
    <w:p w14:paraId="58ACB58E">
      <w:pPr>
        <w:pStyle w:val="17"/>
        <w:spacing w:line="420" w:lineRule="exact"/>
        <w:ind w:firstLine="420"/>
        <w:rPr>
          <w:rFonts w:hint="default" w:ascii="Times New Roman" w:hAnsi="Times New Roman" w:cs="Times New Roman"/>
          <w:b/>
          <w:color w:val="auto"/>
          <w:sz w:val="32"/>
          <w:highlight w:val="none"/>
        </w:rPr>
      </w:pPr>
    </w:p>
    <w:p w14:paraId="1724D775">
      <w:pPr>
        <w:pStyle w:val="17"/>
        <w:spacing w:line="420" w:lineRule="exact"/>
        <w:ind w:firstLine="420"/>
        <w:rPr>
          <w:rFonts w:hint="default" w:ascii="Times New Roman" w:hAnsi="Times New Roman" w:cs="Times New Roman"/>
          <w:b/>
          <w:color w:val="auto"/>
          <w:sz w:val="32"/>
          <w:highlight w:val="none"/>
        </w:rPr>
      </w:pPr>
    </w:p>
    <w:p w14:paraId="0378291D">
      <w:pPr>
        <w:pStyle w:val="17"/>
        <w:spacing w:line="420" w:lineRule="exact"/>
        <w:ind w:firstLine="420"/>
        <w:rPr>
          <w:rFonts w:hint="default" w:ascii="Times New Roman" w:hAnsi="Times New Roman" w:cs="Times New Roman"/>
          <w:b/>
          <w:color w:val="auto"/>
          <w:sz w:val="32"/>
          <w:highlight w:val="none"/>
        </w:rPr>
      </w:pPr>
    </w:p>
    <w:p w14:paraId="480E098D">
      <w:pPr>
        <w:pStyle w:val="17"/>
        <w:spacing w:line="420" w:lineRule="exact"/>
        <w:ind w:firstLine="420"/>
        <w:rPr>
          <w:rFonts w:hint="default" w:ascii="Times New Roman" w:hAnsi="Times New Roman" w:cs="Times New Roman"/>
          <w:b/>
          <w:color w:val="auto"/>
          <w:sz w:val="32"/>
          <w:highlight w:val="none"/>
        </w:rPr>
      </w:pPr>
    </w:p>
    <w:p w14:paraId="7E0B10C2">
      <w:pPr>
        <w:pStyle w:val="17"/>
        <w:spacing w:line="420" w:lineRule="exact"/>
        <w:ind w:firstLine="420"/>
        <w:rPr>
          <w:rFonts w:hint="default" w:ascii="Times New Roman" w:hAnsi="Times New Roman" w:cs="Times New Roman"/>
          <w:b/>
          <w:color w:val="auto"/>
          <w:sz w:val="32"/>
          <w:highlight w:val="none"/>
        </w:rPr>
      </w:pPr>
    </w:p>
    <w:p w14:paraId="1C70A648">
      <w:pPr>
        <w:pStyle w:val="17"/>
        <w:spacing w:line="420" w:lineRule="exact"/>
        <w:ind w:firstLine="420"/>
        <w:rPr>
          <w:rFonts w:hint="default" w:ascii="Times New Roman" w:hAnsi="Times New Roman" w:cs="Times New Roman"/>
          <w:b/>
          <w:color w:val="auto"/>
          <w:sz w:val="32"/>
          <w:highlight w:val="none"/>
        </w:rPr>
      </w:pPr>
    </w:p>
    <w:p w14:paraId="3420146B">
      <w:pPr>
        <w:pStyle w:val="17"/>
        <w:spacing w:line="420" w:lineRule="exact"/>
        <w:rPr>
          <w:rFonts w:hint="default" w:ascii="Times New Roman" w:hAnsi="Times New Roman" w:cs="Times New Roman"/>
          <w:b/>
          <w:color w:val="auto"/>
          <w:sz w:val="32"/>
          <w:highlight w:val="none"/>
        </w:rPr>
      </w:pPr>
    </w:p>
    <w:p w14:paraId="0B57B1E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5366D688">
      <w:pPr>
        <w:snapToGrid w:val="0"/>
        <w:spacing w:before="156" w:beforeLines="50" w:after="50"/>
        <w:jc w:val="left"/>
        <w:rPr>
          <w:rFonts w:hint="default" w:ascii="Times New Roman" w:hAnsi="Times New Roman" w:cs="Times New Roman"/>
          <w:color w:val="auto"/>
          <w:szCs w:val="21"/>
          <w:highlight w:val="none"/>
        </w:rPr>
      </w:pPr>
    </w:p>
    <w:p w14:paraId="230A798E">
      <w:pPr>
        <w:spacing w:line="588" w:lineRule="exact"/>
        <w:jc w:val="center"/>
        <w:rPr>
          <w:rFonts w:hint="default" w:ascii="Times New Roman" w:hAnsi="Times New Roman" w:cs="Times New Roman"/>
          <w:b/>
          <w:color w:val="auto"/>
          <w:spacing w:val="6"/>
          <w:szCs w:val="21"/>
          <w:highlight w:val="none"/>
        </w:rPr>
      </w:pPr>
      <w:bookmarkStart w:id="39" w:name="OLE_LINK13"/>
      <w:r>
        <w:rPr>
          <w:rFonts w:hint="default" w:ascii="Times New Roman" w:hAnsi="Times New Roman" w:cs="Times New Roman"/>
          <w:b/>
          <w:color w:val="auto"/>
          <w:spacing w:val="6"/>
          <w:szCs w:val="21"/>
          <w:highlight w:val="none"/>
        </w:rPr>
        <w:t>残疾人福利性单位声明函（格式，如有请提供）</w:t>
      </w:r>
    </w:p>
    <w:bookmarkEnd w:id="39"/>
    <w:p w14:paraId="64D286C0">
      <w:pPr>
        <w:spacing w:line="588" w:lineRule="exact"/>
        <w:rPr>
          <w:rFonts w:hint="default" w:ascii="Times New Roman" w:hAnsi="Times New Roman" w:cs="Times New Roman"/>
          <w:b/>
          <w:color w:val="auto"/>
          <w:spacing w:val="6"/>
          <w:szCs w:val="21"/>
          <w:highlight w:val="none"/>
        </w:rPr>
      </w:pPr>
    </w:p>
    <w:p w14:paraId="104357D7">
      <w:pPr>
        <w:spacing w:line="588" w:lineRule="exact"/>
        <w:ind w:firstLine="444" w:firstLineChars="200"/>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本单位郑重声明，根据《财政部 民政部 中国残疾人联合会关于促进残疾人就业政府采购政策的通知》（财库</w:t>
      </w:r>
      <w:r>
        <w:rPr>
          <w:rFonts w:hint="default" w:ascii="Times New Roman" w:hAnsi="Times New Roman" w:cs="Times New Roman"/>
          <w:color w:val="auto"/>
          <w:szCs w:val="21"/>
          <w:highlight w:val="none"/>
        </w:rPr>
        <w:t>〔2017〕 141</w:t>
      </w:r>
      <w:r>
        <w:rPr>
          <w:rFonts w:hint="default" w:ascii="Times New Roman" w:hAnsi="Times New Roman" w:cs="Times New Roman"/>
          <w:color w:val="auto"/>
          <w:spacing w:val="6"/>
          <w:szCs w:val="21"/>
          <w:highlight w:val="none"/>
        </w:rPr>
        <w:t>号）的规定，本单位为</w:t>
      </w:r>
      <w:r>
        <w:rPr>
          <w:rFonts w:hint="default" w:ascii="Times New Roman" w:hAnsi="Times New Roman" w:cs="Times New Roman"/>
          <w:color w:val="auto"/>
          <w:spacing w:val="6"/>
          <w:szCs w:val="21"/>
          <w:highlight w:val="none"/>
          <w:u w:val="single"/>
        </w:rPr>
        <w:t>(符合/不符合)</w:t>
      </w:r>
      <w:r>
        <w:rPr>
          <w:rFonts w:hint="default" w:ascii="Times New Roman" w:hAnsi="Times New Roman" w:cs="Times New Roman"/>
          <w:color w:val="auto"/>
          <w:spacing w:val="6"/>
          <w:szCs w:val="21"/>
          <w:highlight w:val="none"/>
        </w:rPr>
        <w:t>条件的残疾人福利性单位，且本单位参加</w:t>
      </w:r>
      <w:r>
        <w:rPr>
          <w:rFonts w:hint="default" w:ascii="Times New Roman" w:hAnsi="Times New Roman" w:cs="Times New Roman"/>
          <w:color w:val="auto"/>
          <w:szCs w:val="21"/>
          <w:highlight w:val="none"/>
          <w:u w:val="single"/>
        </w:rPr>
        <w:t>（采购人名称）</w:t>
      </w:r>
      <w:r>
        <w:rPr>
          <w:rFonts w:hint="default" w:ascii="Times New Roman" w:hAnsi="Times New Roman" w:cs="Times New Roman"/>
          <w:color w:val="auto"/>
          <w:spacing w:val="6"/>
          <w:szCs w:val="21"/>
          <w:highlight w:val="none"/>
        </w:rPr>
        <w:t>单位的</w:t>
      </w:r>
      <w:r>
        <w:rPr>
          <w:rFonts w:hint="default" w:ascii="Times New Roman" w:hAnsi="Times New Roman" w:cs="Times New Roman"/>
          <w:color w:val="auto"/>
          <w:szCs w:val="21"/>
          <w:highlight w:val="none"/>
          <w:u w:val="single"/>
        </w:rPr>
        <w:t xml:space="preserve"> （项目名称）</w:t>
      </w:r>
      <w:r>
        <w:rPr>
          <w:rFonts w:hint="default" w:ascii="Times New Roman" w:hAnsi="Times New Roman" w:cs="Times New Roman"/>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14ECAEE9">
      <w:pPr>
        <w:spacing w:line="588" w:lineRule="exact"/>
        <w:ind w:firstLine="444" w:firstLineChars="200"/>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本单位对上述声明的真实性负责。如有虚假，将依法承担相应责任。</w:t>
      </w:r>
    </w:p>
    <w:p w14:paraId="6AB931B0">
      <w:pPr>
        <w:spacing w:line="588" w:lineRule="exact"/>
        <w:ind w:firstLine="444" w:firstLineChars="200"/>
        <w:rPr>
          <w:rFonts w:hint="default" w:ascii="Times New Roman" w:hAnsi="Times New Roman" w:cs="Times New Roman"/>
          <w:color w:val="auto"/>
          <w:spacing w:val="6"/>
          <w:szCs w:val="21"/>
          <w:highlight w:val="none"/>
        </w:rPr>
      </w:pPr>
    </w:p>
    <w:p w14:paraId="063721CF">
      <w:pPr>
        <w:spacing w:line="588" w:lineRule="exact"/>
        <w:ind w:firstLine="444" w:firstLineChars="200"/>
        <w:rPr>
          <w:rFonts w:hint="default" w:ascii="Times New Roman" w:hAnsi="Times New Roman" w:cs="Times New Roman"/>
          <w:color w:val="auto"/>
          <w:spacing w:val="6"/>
          <w:szCs w:val="21"/>
          <w:highlight w:val="none"/>
        </w:rPr>
      </w:pPr>
    </w:p>
    <w:p w14:paraId="6DD7C16E">
      <w:pPr>
        <w:tabs>
          <w:tab w:val="left" w:pos="4860"/>
        </w:tabs>
        <w:spacing w:line="588" w:lineRule="exact"/>
        <w:ind w:right="1560" w:firstLine="444" w:firstLineChars="20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 xml:space="preserve">               单位名称（盖章）：</w:t>
      </w:r>
    </w:p>
    <w:p w14:paraId="57F5C130">
      <w:pPr>
        <w:tabs>
          <w:tab w:val="left" w:pos="4860"/>
        </w:tabs>
        <w:spacing w:line="588" w:lineRule="exact"/>
        <w:ind w:right="1560" w:firstLine="444" w:firstLineChars="20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 xml:space="preserve">       日  期：</w:t>
      </w:r>
    </w:p>
    <w:p w14:paraId="58A2921A">
      <w:pPr>
        <w:spacing w:line="360" w:lineRule="exact"/>
        <w:ind w:firstLine="420" w:firstLineChars="200"/>
        <w:rPr>
          <w:rFonts w:hint="default" w:ascii="Times New Roman" w:hAnsi="Times New Roman" w:cs="Times New Roman"/>
          <w:color w:val="auto"/>
          <w:szCs w:val="21"/>
          <w:highlight w:val="none"/>
        </w:rPr>
      </w:pPr>
    </w:p>
    <w:p w14:paraId="30E63BB1">
      <w:pPr>
        <w:spacing w:line="360" w:lineRule="exact"/>
        <w:ind w:firstLine="420" w:firstLineChars="200"/>
        <w:rPr>
          <w:rFonts w:hint="default" w:ascii="Times New Roman" w:hAnsi="Times New Roman" w:cs="Times New Roman"/>
          <w:color w:val="auto"/>
          <w:szCs w:val="21"/>
          <w:highlight w:val="none"/>
        </w:rPr>
      </w:pPr>
    </w:p>
    <w:p w14:paraId="58455913">
      <w:pPr>
        <w:spacing w:line="360" w:lineRule="exact"/>
        <w:ind w:firstLine="420" w:firstLineChars="200"/>
        <w:rPr>
          <w:rFonts w:hint="default" w:ascii="Times New Roman" w:hAnsi="Times New Roman" w:cs="Times New Roman"/>
          <w:color w:val="auto"/>
          <w:szCs w:val="21"/>
          <w:highlight w:val="none"/>
        </w:rPr>
      </w:pPr>
    </w:p>
    <w:p w14:paraId="599BFC09">
      <w:pPr>
        <w:spacing w:line="360" w:lineRule="exact"/>
        <w:ind w:firstLine="420" w:firstLineChars="200"/>
        <w:rPr>
          <w:rFonts w:hint="default" w:ascii="Times New Roman" w:hAnsi="Times New Roman" w:cs="Times New Roman"/>
          <w:color w:val="auto"/>
          <w:szCs w:val="21"/>
          <w:highlight w:val="none"/>
        </w:rPr>
      </w:pPr>
    </w:p>
    <w:p w14:paraId="6B1FCCBB">
      <w:pPr>
        <w:spacing w:line="360" w:lineRule="exact"/>
        <w:ind w:firstLine="420" w:firstLineChars="200"/>
        <w:rPr>
          <w:rFonts w:hint="default" w:ascii="Times New Roman" w:hAnsi="Times New Roman" w:cs="Times New Roman"/>
          <w:color w:val="auto"/>
          <w:szCs w:val="21"/>
          <w:highlight w:val="none"/>
        </w:rPr>
      </w:pPr>
    </w:p>
    <w:p w14:paraId="21326BD5">
      <w:pPr>
        <w:spacing w:line="360" w:lineRule="exact"/>
        <w:ind w:firstLine="420" w:firstLineChars="200"/>
        <w:rPr>
          <w:rFonts w:hint="default" w:ascii="Times New Roman" w:hAnsi="Times New Roman" w:cs="Times New Roman"/>
          <w:color w:val="auto"/>
          <w:szCs w:val="21"/>
          <w:highlight w:val="none"/>
        </w:rPr>
      </w:pPr>
    </w:p>
    <w:p w14:paraId="191F5F42">
      <w:pPr>
        <w:spacing w:line="360" w:lineRule="exact"/>
        <w:ind w:firstLine="420" w:firstLineChars="200"/>
        <w:rPr>
          <w:rFonts w:hint="default" w:ascii="Times New Roman" w:hAnsi="Times New Roman" w:cs="Times New Roman"/>
          <w:color w:val="auto"/>
          <w:szCs w:val="21"/>
          <w:highlight w:val="none"/>
        </w:rPr>
      </w:pPr>
    </w:p>
    <w:p w14:paraId="0F2BE5A9">
      <w:pPr>
        <w:spacing w:line="360" w:lineRule="exact"/>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注：1、</w:t>
      </w:r>
      <w:r>
        <w:rPr>
          <w:rFonts w:hint="default" w:ascii="Times New Roman" w:hAnsi="Times New Roman" w:cs="Times New Roman"/>
          <w:b/>
          <w:color w:val="auto"/>
          <w:szCs w:val="21"/>
          <w:highlight w:val="none"/>
          <w:u w:val="single"/>
        </w:rPr>
        <w:t>中标供应商为残疾人福利性单位的，中标结果将同时公告其《残疾人福利性单位声明函》，接受社会监督</w:t>
      </w:r>
      <w:r>
        <w:rPr>
          <w:rFonts w:hint="default" w:ascii="Times New Roman" w:hAnsi="Times New Roman" w:cs="Times New Roman"/>
          <w:b/>
          <w:color w:val="auto"/>
          <w:szCs w:val="21"/>
          <w:highlight w:val="none"/>
        </w:rPr>
        <w:t>。</w:t>
      </w:r>
    </w:p>
    <w:p w14:paraId="5F9CCA45">
      <w:pPr>
        <w:spacing w:line="360" w:lineRule="exact"/>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 xml:space="preserve">    2、</w:t>
      </w:r>
      <w:r>
        <w:rPr>
          <w:rFonts w:hint="default" w:ascii="Times New Roman" w:hAnsi="Times New Roman" w:cs="Times New Roman"/>
          <w:b/>
          <w:color w:val="auto"/>
          <w:szCs w:val="21"/>
          <w:highlight w:val="none"/>
          <w:u w:val="single"/>
        </w:rPr>
        <w:t>供应商提供的《残疾人福利性单位声明函》与事实不符的，依照《政府采购法》第七十七条第一款的规定追究法律责任</w:t>
      </w:r>
      <w:r>
        <w:rPr>
          <w:rFonts w:hint="default" w:ascii="Times New Roman" w:hAnsi="Times New Roman" w:cs="Times New Roman"/>
          <w:b/>
          <w:color w:val="auto"/>
          <w:szCs w:val="21"/>
          <w:highlight w:val="none"/>
        </w:rPr>
        <w:t>。</w:t>
      </w:r>
    </w:p>
    <w:p w14:paraId="40DDD926">
      <w:pPr>
        <w:spacing w:line="360" w:lineRule="exact"/>
        <w:ind w:firstLine="444" w:firstLineChars="200"/>
        <w:rPr>
          <w:rFonts w:hint="default" w:ascii="Times New Roman" w:hAnsi="Times New Roman" w:cs="Times New Roman"/>
          <w:color w:val="auto"/>
          <w:spacing w:val="6"/>
          <w:szCs w:val="21"/>
          <w:highlight w:val="none"/>
        </w:rPr>
      </w:pPr>
    </w:p>
    <w:p w14:paraId="71522059">
      <w:pPr>
        <w:spacing w:line="360" w:lineRule="exact"/>
        <w:ind w:firstLine="420" w:firstLineChars="200"/>
        <w:rPr>
          <w:rFonts w:hint="default" w:ascii="Times New Roman" w:hAnsi="Times New Roman" w:cs="Times New Roman"/>
          <w:color w:val="auto"/>
          <w:szCs w:val="21"/>
          <w:highlight w:val="none"/>
          <w:u w:val="single"/>
        </w:rPr>
      </w:pPr>
    </w:p>
    <w:p w14:paraId="4D4AFCD2">
      <w:pPr>
        <w:pStyle w:val="6"/>
        <w:rPr>
          <w:rFonts w:hint="default" w:ascii="Times New Roman" w:hAnsi="Times New Roman" w:cs="Times New Roman"/>
          <w:color w:val="auto"/>
          <w:szCs w:val="21"/>
          <w:highlight w:val="none"/>
          <w:u w:val="single"/>
        </w:rPr>
      </w:pPr>
    </w:p>
    <w:p w14:paraId="34DF1F92">
      <w:pPr>
        <w:pStyle w:val="6"/>
        <w:rPr>
          <w:rFonts w:hint="default" w:ascii="Times New Roman" w:hAnsi="Times New Roman" w:cs="Times New Roman"/>
          <w:color w:val="auto"/>
          <w:szCs w:val="21"/>
          <w:highlight w:val="none"/>
          <w:u w:val="single"/>
        </w:rPr>
      </w:pPr>
    </w:p>
    <w:p w14:paraId="03698ECB">
      <w:pPr>
        <w:rPr>
          <w:rFonts w:hint="default" w:ascii="Times New Roman" w:hAnsi="Times New Roman" w:cs="Times New Roman"/>
          <w:color w:val="auto"/>
          <w:szCs w:val="21"/>
          <w:highlight w:val="none"/>
        </w:rPr>
      </w:pPr>
    </w:p>
    <w:p w14:paraId="3A2064FD">
      <w:pPr>
        <w:rPr>
          <w:rFonts w:hint="default" w:ascii="Times New Roman" w:hAnsi="Times New Roman" w:cs="Times New Roman"/>
          <w:color w:val="auto"/>
          <w:szCs w:val="21"/>
          <w:highlight w:val="none"/>
        </w:rPr>
      </w:pPr>
    </w:p>
    <w:p w14:paraId="68E171B4">
      <w:pPr>
        <w:rPr>
          <w:rFonts w:hint="default" w:ascii="Times New Roman" w:hAnsi="Times New Roman" w:cs="Times New Roman"/>
          <w:color w:val="auto"/>
          <w:szCs w:val="21"/>
          <w:highlight w:val="none"/>
        </w:rPr>
      </w:pPr>
    </w:p>
    <w:p w14:paraId="43308AB7">
      <w:pPr>
        <w:rPr>
          <w:rFonts w:hint="default" w:ascii="Times New Roman" w:hAnsi="Times New Roman" w:cs="Times New Roman"/>
          <w:color w:val="auto"/>
          <w:szCs w:val="21"/>
          <w:highlight w:val="none"/>
        </w:rPr>
      </w:pPr>
    </w:p>
    <w:p w14:paraId="0775483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48062210">
      <w:pPr>
        <w:rPr>
          <w:rFonts w:hint="default" w:ascii="Times New Roman" w:hAnsi="Times New Roman" w:cs="Times New Roman"/>
          <w:color w:val="auto"/>
          <w:szCs w:val="21"/>
          <w:highlight w:val="none"/>
        </w:rPr>
      </w:pPr>
    </w:p>
    <w:p w14:paraId="7E52677C">
      <w:pPr>
        <w:keepNext w:val="0"/>
        <w:keepLines w:val="0"/>
        <w:widowControl/>
        <w:suppressLineNumbers w:val="0"/>
        <w:jc w:val="center"/>
        <w:rPr>
          <w:rFonts w:hint="default" w:ascii="Times New Roman" w:hAnsi="Times New Roman" w:cs="Times New Roman"/>
          <w:color w:val="auto"/>
          <w:highlight w:val="none"/>
        </w:rPr>
      </w:pPr>
      <w:r>
        <w:rPr>
          <w:rFonts w:hint="default" w:ascii="Times New Roman" w:hAnsi="Times New Roman" w:eastAsia="宋体" w:cs="Times New Roman"/>
          <w:b/>
          <w:color w:val="auto"/>
          <w:kern w:val="0"/>
          <w:sz w:val="36"/>
          <w:szCs w:val="36"/>
          <w:highlight w:val="none"/>
          <w:lang w:val="en-US" w:eastAsia="zh-CN" w:bidi="ar"/>
        </w:rPr>
        <w:t>中小企业声明函（服务）</w:t>
      </w:r>
    </w:p>
    <w:p w14:paraId="3EB9905B">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本公司（联合体）郑重声明，根据《政府采购促进中小企业发展管理办法》（财库﹝2020﹞46 号）的规定，本公司（联合体）参加</w:t>
      </w:r>
      <w:r>
        <w:rPr>
          <w:rFonts w:hint="default" w:ascii="Times New Roman" w:hAnsi="Times New Roman" w:eastAsia="宋体" w:cs="Times New Roman"/>
          <w:i w:val="0"/>
          <w:iCs w:val="0"/>
          <w:color w:val="auto"/>
          <w:kern w:val="0"/>
          <w:sz w:val="21"/>
          <w:szCs w:val="21"/>
          <w:highlight w:val="none"/>
          <w:u w:val="single"/>
          <w:lang w:val="en-US" w:eastAsia="zh-CN" w:bidi="ar"/>
        </w:rPr>
        <w:t>（单位名称）</w:t>
      </w:r>
      <w:r>
        <w:rPr>
          <w:rFonts w:hint="default" w:ascii="Times New Roman" w:hAnsi="Times New Roman" w:eastAsia="宋体" w:cs="Times New Roman"/>
          <w:i w:val="0"/>
          <w:iCs w:val="0"/>
          <w:color w:val="auto"/>
          <w:kern w:val="0"/>
          <w:sz w:val="21"/>
          <w:szCs w:val="21"/>
          <w:highlight w:val="none"/>
          <w:lang w:val="en-US" w:eastAsia="zh-CN" w:bidi="ar"/>
        </w:rPr>
        <w:t>的</w:t>
      </w:r>
      <w:r>
        <w:rPr>
          <w:rFonts w:hint="default" w:ascii="Times New Roman" w:hAnsi="Times New Roman" w:eastAsia="宋体" w:cs="Times New Roman"/>
          <w:i w:val="0"/>
          <w:iCs w:val="0"/>
          <w:color w:val="auto"/>
          <w:kern w:val="0"/>
          <w:sz w:val="21"/>
          <w:szCs w:val="21"/>
          <w:highlight w:val="none"/>
          <w:u w:val="single"/>
          <w:lang w:val="en-US" w:eastAsia="zh-CN" w:bidi="ar"/>
        </w:rPr>
        <w:t>（项目名称）</w:t>
      </w:r>
      <w:r>
        <w:rPr>
          <w:rFonts w:hint="default" w:ascii="Times New Roman" w:hAnsi="Times New Roman" w:eastAsia="宋体" w:cs="Times New Roman"/>
          <w:i w:val="0"/>
          <w:iCs w:val="0"/>
          <w:color w:val="auto"/>
          <w:kern w:val="0"/>
          <w:sz w:val="21"/>
          <w:szCs w:val="21"/>
          <w:highlight w:val="none"/>
          <w:lang w:val="en-US" w:eastAsia="zh-CN" w:bidi="ar"/>
        </w:rPr>
        <w:t>采购活动，服务全部由符合政策要求的中小企业承接。相关企业（含联合体中的中小企业、签订分包意向协议的中小企业）的具体情况如下：</w:t>
      </w:r>
    </w:p>
    <w:p w14:paraId="0A7A8B30">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1.</w:t>
      </w:r>
      <w:r>
        <w:rPr>
          <w:rFonts w:hint="default" w:ascii="Times New Roman" w:hAnsi="Times New Roman" w:eastAsia="宋体" w:cs="Times New Roman"/>
          <w:i w:val="0"/>
          <w:iCs w:val="0"/>
          <w:color w:val="auto"/>
          <w:kern w:val="0"/>
          <w:sz w:val="21"/>
          <w:szCs w:val="21"/>
          <w:highlight w:val="none"/>
          <w:u w:val="single"/>
          <w:lang w:val="en-US" w:eastAsia="zh-CN" w:bidi="ar"/>
        </w:rPr>
        <w:t>（标的名称）</w:t>
      </w:r>
      <w:r>
        <w:rPr>
          <w:rFonts w:hint="default" w:ascii="Times New Roman" w:hAnsi="Times New Roman" w:eastAsia="宋体" w:cs="Times New Roman"/>
          <w:i w:val="0"/>
          <w:iCs w:val="0"/>
          <w:color w:val="auto"/>
          <w:kern w:val="0"/>
          <w:sz w:val="21"/>
          <w:szCs w:val="21"/>
          <w:highlight w:val="none"/>
          <w:lang w:val="en-US" w:eastAsia="zh-CN" w:bidi="ar"/>
        </w:rPr>
        <w:t xml:space="preserve"> ，属于</w:t>
      </w:r>
      <w:r>
        <w:rPr>
          <w:rFonts w:hint="default" w:ascii="Times New Roman" w:hAnsi="Times New Roman" w:eastAsia="宋体" w:cs="Times New Roman"/>
          <w:i w:val="0"/>
          <w:iCs w:val="0"/>
          <w:color w:val="auto"/>
          <w:kern w:val="0"/>
          <w:sz w:val="21"/>
          <w:szCs w:val="21"/>
          <w:highlight w:val="none"/>
          <w:u w:val="single"/>
          <w:lang w:val="en-US" w:eastAsia="zh-CN" w:bidi="ar"/>
        </w:rPr>
        <w:t>（采购文件中明确的所属行业）</w:t>
      </w:r>
      <w:r>
        <w:rPr>
          <w:rFonts w:hint="default" w:ascii="Times New Roman" w:hAnsi="Times New Roman" w:eastAsia="宋体" w:cs="Times New Roman"/>
          <w:i w:val="0"/>
          <w:iCs w:val="0"/>
          <w:color w:val="auto"/>
          <w:kern w:val="0"/>
          <w:sz w:val="21"/>
          <w:szCs w:val="21"/>
          <w:highlight w:val="none"/>
          <w:lang w:val="en-US" w:eastAsia="zh-CN" w:bidi="ar"/>
        </w:rPr>
        <w:t>；承建（承接）企业为</w:t>
      </w:r>
      <w:r>
        <w:rPr>
          <w:rFonts w:hint="default" w:ascii="Times New Roman" w:hAnsi="Times New Roman" w:eastAsia="宋体" w:cs="Times New Roman"/>
          <w:i w:val="0"/>
          <w:iCs w:val="0"/>
          <w:color w:val="auto"/>
          <w:kern w:val="0"/>
          <w:sz w:val="21"/>
          <w:szCs w:val="21"/>
          <w:highlight w:val="none"/>
          <w:u w:val="single"/>
          <w:lang w:val="en-US" w:eastAsia="zh-CN" w:bidi="ar"/>
        </w:rPr>
        <w:t>（企业名称）</w:t>
      </w:r>
      <w:r>
        <w:rPr>
          <w:rFonts w:hint="default" w:ascii="Times New Roman" w:hAnsi="Times New Roman" w:eastAsia="宋体" w:cs="Times New Roman"/>
          <w:i w:val="0"/>
          <w:iCs w:val="0"/>
          <w:color w:val="auto"/>
          <w:kern w:val="0"/>
          <w:sz w:val="21"/>
          <w:szCs w:val="21"/>
          <w:highlight w:val="none"/>
          <w:lang w:val="en-US" w:eastAsia="zh-CN" w:bidi="ar"/>
        </w:rPr>
        <w:t>，从业人员</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人，营业收入为</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万元，资产总额为</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万元，属于</w:t>
      </w:r>
      <w:r>
        <w:rPr>
          <w:rFonts w:hint="default" w:ascii="Times New Roman" w:hAnsi="Times New Roman" w:eastAsia="宋体" w:cs="Times New Roman"/>
          <w:i w:val="0"/>
          <w:iCs w:val="0"/>
          <w:color w:val="auto"/>
          <w:kern w:val="0"/>
          <w:sz w:val="21"/>
          <w:szCs w:val="21"/>
          <w:highlight w:val="none"/>
          <w:u w:val="single"/>
          <w:lang w:val="en-US" w:eastAsia="zh-CN" w:bidi="ar"/>
        </w:rPr>
        <w:t>（中型企业、 小型企业、微型企业）</w:t>
      </w:r>
      <w:r>
        <w:rPr>
          <w:rFonts w:hint="default" w:ascii="Times New Roman" w:hAnsi="Times New Roman" w:eastAsia="宋体" w:cs="Times New Roman"/>
          <w:i w:val="0"/>
          <w:iCs w:val="0"/>
          <w:color w:val="auto"/>
          <w:kern w:val="0"/>
          <w:sz w:val="21"/>
          <w:szCs w:val="21"/>
          <w:highlight w:val="none"/>
          <w:lang w:val="en-US" w:eastAsia="zh-CN" w:bidi="ar"/>
        </w:rPr>
        <w:t xml:space="preserve">； </w:t>
      </w:r>
    </w:p>
    <w:p w14:paraId="69476E00">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eastAsia="宋体" w:cs="Times New Roman"/>
          <w:i w:val="0"/>
          <w:iCs w:val="0"/>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lang w:val="en-US" w:eastAsia="zh-CN" w:bidi="ar"/>
        </w:rPr>
        <w:t>2.</w:t>
      </w:r>
      <w:r>
        <w:rPr>
          <w:rFonts w:hint="default" w:ascii="Times New Roman" w:hAnsi="Times New Roman" w:eastAsia="宋体" w:cs="Times New Roman"/>
          <w:i w:val="0"/>
          <w:iCs w:val="0"/>
          <w:color w:val="auto"/>
          <w:kern w:val="0"/>
          <w:sz w:val="21"/>
          <w:szCs w:val="21"/>
          <w:highlight w:val="none"/>
          <w:u w:val="single"/>
          <w:lang w:val="en-US" w:eastAsia="zh-CN" w:bidi="ar"/>
        </w:rPr>
        <w:t>（标的名称）</w:t>
      </w:r>
      <w:r>
        <w:rPr>
          <w:rFonts w:hint="default" w:ascii="Times New Roman" w:hAnsi="Times New Roman" w:eastAsia="宋体" w:cs="Times New Roman"/>
          <w:i w:val="0"/>
          <w:iCs w:val="0"/>
          <w:color w:val="auto"/>
          <w:kern w:val="0"/>
          <w:sz w:val="21"/>
          <w:szCs w:val="21"/>
          <w:highlight w:val="none"/>
          <w:lang w:val="en-US" w:eastAsia="zh-CN" w:bidi="ar"/>
        </w:rPr>
        <w:t xml:space="preserve"> ，属于</w:t>
      </w:r>
      <w:r>
        <w:rPr>
          <w:rFonts w:hint="default" w:ascii="Times New Roman" w:hAnsi="Times New Roman" w:eastAsia="宋体" w:cs="Times New Roman"/>
          <w:i w:val="0"/>
          <w:iCs w:val="0"/>
          <w:color w:val="auto"/>
          <w:kern w:val="0"/>
          <w:sz w:val="21"/>
          <w:szCs w:val="21"/>
          <w:highlight w:val="none"/>
          <w:u w:val="single"/>
          <w:lang w:val="en-US" w:eastAsia="zh-CN" w:bidi="ar"/>
        </w:rPr>
        <w:t>（采购文件中明确的所属行业）</w:t>
      </w:r>
      <w:r>
        <w:rPr>
          <w:rFonts w:hint="default" w:ascii="Times New Roman" w:hAnsi="Times New Roman" w:eastAsia="宋体" w:cs="Times New Roman"/>
          <w:i w:val="0"/>
          <w:iCs w:val="0"/>
          <w:color w:val="auto"/>
          <w:kern w:val="0"/>
          <w:sz w:val="21"/>
          <w:szCs w:val="21"/>
          <w:highlight w:val="none"/>
          <w:lang w:val="en-US" w:eastAsia="zh-CN" w:bidi="ar"/>
        </w:rPr>
        <w:t>；承建（承接）企业为</w:t>
      </w:r>
      <w:r>
        <w:rPr>
          <w:rFonts w:hint="default" w:ascii="Times New Roman" w:hAnsi="Times New Roman" w:eastAsia="宋体" w:cs="Times New Roman"/>
          <w:i w:val="0"/>
          <w:iCs w:val="0"/>
          <w:color w:val="auto"/>
          <w:kern w:val="0"/>
          <w:sz w:val="21"/>
          <w:szCs w:val="21"/>
          <w:highlight w:val="none"/>
          <w:u w:val="single"/>
          <w:lang w:val="en-US" w:eastAsia="zh-CN" w:bidi="ar"/>
        </w:rPr>
        <w:t>（企业名称）</w:t>
      </w:r>
      <w:r>
        <w:rPr>
          <w:rFonts w:hint="default" w:ascii="Times New Roman" w:hAnsi="Times New Roman" w:eastAsia="宋体" w:cs="Times New Roman"/>
          <w:i w:val="0"/>
          <w:iCs w:val="0"/>
          <w:color w:val="auto"/>
          <w:kern w:val="0"/>
          <w:sz w:val="21"/>
          <w:szCs w:val="21"/>
          <w:highlight w:val="none"/>
          <w:lang w:val="en-US" w:eastAsia="zh-CN" w:bidi="ar"/>
        </w:rPr>
        <w:t>，从业人员</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人，营业收入为</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万元，资产总额为</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万元，属于</w:t>
      </w:r>
      <w:r>
        <w:rPr>
          <w:rFonts w:hint="default" w:ascii="Times New Roman" w:hAnsi="Times New Roman" w:eastAsia="宋体" w:cs="Times New Roman"/>
          <w:i w:val="0"/>
          <w:iCs w:val="0"/>
          <w:color w:val="auto"/>
          <w:kern w:val="0"/>
          <w:sz w:val="21"/>
          <w:szCs w:val="21"/>
          <w:highlight w:val="none"/>
          <w:u w:val="single"/>
          <w:lang w:val="en-US" w:eastAsia="zh-CN" w:bidi="ar"/>
        </w:rPr>
        <w:t>（中型企业、小型企业、微型企业）</w:t>
      </w:r>
      <w:r>
        <w:rPr>
          <w:rFonts w:hint="default" w:ascii="Times New Roman" w:hAnsi="Times New Roman" w:eastAsia="宋体" w:cs="Times New Roman"/>
          <w:i w:val="0"/>
          <w:iCs w:val="0"/>
          <w:color w:val="auto"/>
          <w:kern w:val="0"/>
          <w:sz w:val="21"/>
          <w:szCs w:val="21"/>
          <w:highlight w:val="none"/>
          <w:lang w:val="en-US" w:eastAsia="zh-CN" w:bidi="ar"/>
        </w:rPr>
        <w:t xml:space="preserve">； </w:t>
      </w:r>
    </w:p>
    <w:p w14:paraId="1CC35BC8">
      <w:pPr>
        <w:keepNext w:val="0"/>
        <w:keepLines w:val="0"/>
        <w:pageBreakBefore w:val="0"/>
        <w:widowControl/>
        <w:suppressLineNumbers w:val="0"/>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w:t>
      </w:r>
    </w:p>
    <w:p w14:paraId="26AC95FC">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以上企业，不属于大企业的分支机构，不存在控股股东为大企业的情形，也不存在与大企业的负责人为同一人的情 形。</w:t>
      </w:r>
    </w:p>
    <w:p w14:paraId="4E9DC686">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 xml:space="preserve">本企业对上述声明内容的真实性负责。如有虚假，将依法承担相应责任。 </w:t>
      </w:r>
    </w:p>
    <w:p w14:paraId="58A28AF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企业名称（盖章）：</w:t>
      </w:r>
    </w:p>
    <w:p w14:paraId="62D36473">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日 期：</w:t>
      </w:r>
    </w:p>
    <w:p w14:paraId="33D9D63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1 从业人员、营业收入、资产总额填报上一年度数据，无上一年度数据的新成立企业可不填报。</w:t>
      </w:r>
    </w:p>
    <w:p w14:paraId="1CEE2C07">
      <w:pPr>
        <w:pStyle w:val="17"/>
        <w:keepNext w:val="0"/>
        <w:keepLines w:val="0"/>
        <w:pageBreakBefore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宋体" w:cs="Times New Roman"/>
          <w:b/>
          <w:i w:val="0"/>
          <w:iCs w:val="0"/>
          <w:color w:val="auto"/>
          <w:sz w:val="21"/>
          <w:szCs w:val="21"/>
          <w:highlight w:val="none"/>
        </w:rPr>
      </w:pPr>
    </w:p>
    <w:p w14:paraId="34E52397">
      <w:pPr>
        <w:pStyle w:val="17"/>
        <w:keepNext w:val="0"/>
        <w:keepLines w:val="0"/>
        <w:pageBreakBefore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宋体" w:cs="Times New Roman"/>
          <w:b/>
          <w:i w:val="0"/>
          <w:iCs w:val="0"/>
          <w:color w:val="auto"/>
          <w:sz w:val="21"/>
          <w:szCs w:val="21"/>
          <w:highlight w:val="none"/>
        </w:rPr>
      </w:pPr>
    </w:p>
    <w:p w14:paraId="0B9D008C">
      <w:pPr>
        <w:pStyle w:val="17"/>
        <w:spacing w:line="420" w:lineRule="exact"/>
        <w:ind w:firstLine="420"/>
        <w:rPr>
          <w:rFonts w:hint="default" w:ascii="Times New Roman" w:hAnsi="Times New Roman" w:cs="Times New Roman"/>
          <w:b/>
          <w:color w:val="auto"/>
          <w:sz w:val="32"/>
          <w:highlight w:val="none"/>
        </w:rPr>
      </w:pPr>
    </w:p>
    <w:p w14:paraId="4AEBE984">
      <w:pPr>
        <w:pStyle w:val="17"/>
        <w:spacing w:line="420" w:lineRule="exact"/>
        <w:ind w:firstLine="420"/>
        <w:rPr>
          <w:rFonts w:hint="default" w:ascii="Times New Roman" w:hAnsi="Times New Roman" w:cs="Times New Roman"/>
          <w:b/>
          <w:color w:val="auto"/>
          <w:sz w:val="32"/>
          <w:highlight w:val="none"/>
        </w:rPr>
      </w:pPr>
    </w:p>
    <w:p w14:paraId="700F0E04">
      <w:pPr>
        <w:pStyle w:val="17"/>
        <w:spacing w:line="420" w:lineRule="exact"/>
        <w:ind w:firstLine="420"/>
        <w:rPr>
          <w:rFonts w:hint="default" w:ascii="Times New Roman" w:hAnsi="Times New Roman" w:cs="Times New Roman"/>
          <w:b/>
          <w:color w:val="auto"/>
          <w:sz w:val="32"/>
          <w:highlight w:val="none"/>
        </w:rPr>
      </w:pPr>
    </w:p>
    <w:p w14:paraId="4DAD156F">
      <w:pPr>
        <w:pStyle w:val="17"/>
        <w:spacing w:line="420" w:lineRule="exact"/>
        <w:ind w:firstLine="420"/>
        <w:rPr>
          <w:rFonts w:hint="default" w:ascii="Times New Roman" w:hAnsi="Times New Roman" w:cs="Times New Roman"/>
          <w:b/>
          <w:color w:val="auto"/>
          <w:sz w:val="32"/>
          <w:highlight w:val="none"/>
        </w:rPr>
      </w:pPr>
    </w:p>
    <w:p w14:paraId="673CDFC7">
      <w:pPr>
        <w:pStyle w:val="17"/>
        <w:spacing w:line="420" w:lineRule="exact"/>
        <w:ind w:firstLine="420"/>
        <w:rPr>
          <w:rFonts w:hint="default" w:ascii="Times New Roman" w:hAnsi="Times New Roman" w:cs="Times New Roman"/>
          <w:b/>
          <w:color w:val="auto"/>
          <w:sz w:val="32"/>
          <w:highlight w:val="none"/>
        </w:rPr>
      </w:pPr>
    </w:p>
    <w:p w14:paraId="3343092E">
      <w:pPr>
        <w:pStyle w:val="17"/>
        <w:spacing w:line="480" w:lineRule="auto"/>
        <w:outlineLvl w:val="1"/>
        <w:rPr>
          <w:rFonts w:hint="default" w:ascii="Times New Roman" w:hAnsi="Times New Roman" w:cs="Times New Roman"/>
          <w:b/>
          <w:color w:val="auto"/>
          <w:sz w:val="36"/>
          <w:szCs w:val="36"/>
          <w:highlight w:val="none"/>
        </w:rPr>
      </w:pPr>
      <w:r>
        <w:rPr>
          <w:rFonts w:hint="default" w:ascii="Times New Roman" w:hAnsi="Times New Roman" w:cs="Times New Roman"/>
          <w:b/>
          <w:color w:val="auto"/>
          <w:sz w:val="30"/>
          <w:highlight w:val="none"/>
        </w:rPr>
        <w:br w:type="page"/>
      </w:r>
      <w:bookmarkStart w:id="40" w:name="_Toc1074"/>
      <w:bookmarkStart w:id="41" w:name="_Toc29660"/>
      <w:r>
        <w:rPr>
          <w:rFonts w:hint="default" w:ascii="Times New Roman" w:hAnsi="Times New Roman" w:cs="Times New Roman"/>
          <w:b/>
          <w:color w:val="auto"/>
          <w:sz w:val="30"/>
          <w:highlight w:val="none"/>
        </w:rPr>
        <w:t xml:space="preserve">       </w:t>
      </w:r>
      <w:r>
        <w:rPr>
          <w:rFonts w:hint="default" w:ascii="Times New Roman" w:hAnsi="Times New Roman" w:cs="Times New Roman"/>
          <w:b/>
          <w:color w:val="auto"/>
          <w:sz w:val="36"/>
          <w:szCs w:val="36"/>
          <w:highlight w:val="none"/>
        </w:rPr>
        <w:t>法定代表人(或负责人)授权委托书（格式）</w:t>
      </w:r>
      <w:bookmarkEnd w:id="40"/>
      <w:bookmarkEnd w:id="41"/>
    </w:p>
    <w:p w14:paraId="2CAC74B4">
      <w:pPr>
        <w:pStyle w:val="17"/>
        <w:spacing w:line="400" w:lineRule="exact"/>
        <w:rPr>
          <w:rFonts w:hint="default" w:ascii="Times New Roman" w:hAnsi="Times New Roman" w:cs="Times New Roman"/>
          <w:color w:val="auto"/>
          <w:szCs w:val="21"/>
          <w:highlight w:val="none"/>
        </w:rPr>
      </w:pPr>
    </w:p>
    <w:p w14:paraId="64FA7A32">
      <w:pPr>
        <w:pStyle w:val="17"/>
        <w:spacing w:line="400" w:lineRule="exact"/>
        <w:rPr>
          <w:rFonts w:hint="default" w:ascii="Times New Roman" w:hAnsi="Times New Roman" w:cs="Times New Roman"/>
          <w:color w:val="auto"/>
          <w:szCs w:val="21"/>
          <w:highlight w:val="none"/>
        </w:rPr>
      </w:pPr>
    </w:p>
    <w:p w14:paraId="66C7FF9B">
      <w:pPr>
        <w:spacing w:line="400" w:lineRule="exact"/>
        <w:ind w:firstLine="411" w:firstLineChars="19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本授权委托书声明：我</w:t>
      </w:r>
      <w:r>
        <w:rPr>
          <w:rFonts w:hint="default" w:ascii="Times New Roman" w:hAnsi="Times New Roman" w:cs="Times New Roman"/>
          <w:color w:val="auto"/>
          <w:szCs w:val="21"/>
          <w:highlight w:val="none"/>
          <w:u w:val="single"/>
        </w:rPr>
        <w:t> </w:t>
      </w:r>
      <w:r>
        <w:rPr>
          <w:rFonts w:hint="default" w:ascii="Times New Roman" w:hAnsi="Times New Roman" w:cs="Times New Roman"/>
          <w:color w:val="auto"/>
          <w:szCs w:val="21"/>
          <w:highlight w:val="none"/>
        </w:rPr>
        <w:t>（姓名）系</w:t>
      </w:r>
      <w:r>
        <w:rPr>
          <w:rFonts w:hint="default" w:ascii="Times New Roman" w:hAnsi="Times New Roman" w:cs="Times New Roman"/>
          <w:color w:val="auto"/>
          <w:szCs w:val="21"/>
          <w:highlight w:val="none"/>
          <w:u w:val="single"/>
        </w:rPr>
        <w:t xml:space="preserve">        （磋商人名称）</w:t>
      </w:r>
      <w:r>
        <w:rPr>
          <w:rFonts w:hint="default" w:ascii="Times New Roman" w:hAnsi="Times New Roman" w:cs="Times New Roman"/>
          <w:color w:val="auto"/>
          <w:szCs w:val="21"/>
          <w:highlight w:val="none"/>
        </w:rPr>
        <w:t>的法定代表人，现授权委托</w:t>
      </w:r>
      <w:r>
        <w:rPr>
          <w:rFonts w:hint="default" w:ascii="Times New Roman" w:hAnsi="Times New Roman" w:cs="Times New Roman"/>
          <w:color w:val="auto"/>
          <w:szCs w:val="21"/>
          <w:highlight w:val="none"/>
          <w:u w:val="single"/>
        </w:rPr>
        <w:t xml:space="preserve">      （单位名称）     </w:t>
      </w:r>
      <w:r>
        <w:rPr>
          <w:rFonts w:hint="default" w:ascii="Times New Roman" w:hAnsi="Times New Roman" w:cs="Times New Roman"/>
          <w:color w:val="auto"/>
          <w:szCs w:val="21"/>
          <w:highlight w:val="none"/>
        </w:rPr>
        <w:t>的</w:t>
      </w:r>
      <w:r>
        <w:rPr>
          <w:rFonts w:hint="default" w:ascii="Times New Roman" w:hAnsi="Times New Roman" w:cs="Times New Roman"/>
          <w:color w:val="auto"/>
          <w:szCs w:val="21"/>
          <w:highlight w:val="none"/>
          <w:u w:val="single"/>
        </w:rPr>
        <w:t xml:space="preserve">    （姓名）</w:t>
      </w:r>
      <w:r>
        <w:rPr>
          <w:rFonts w:hint="default" w:ascii="Times New Roman" w:hAnsi="Times New Roman" w:cs="Times New Roman"/>
          <w:color w:val="auto"/>
          <w:szCs w:val="21"/>
          <w:highlight w:val="none"/>
        </w:rPr>
        <w:t>为我公司签署本工程</w:t>
      </w:r>
      <w:r>
        <w:rPr>
          <w:rFonts w:hint="default" w:ascii="Times New Roman" w:hAnsi="Times New Roman" w:cs="Times New Roman"/>
          <w:color w:val="auto"/>
          <w:szCs w:val="21"/>
          <w:highlight w:val="none"/>
          <w:u w:val="single"/>
        </w:rPr>
        <w:t xml:space="preserve">  （项目名称及项目编号）  </w:t>
      </w:r>
      <w:r>
        <w:rPr>
          <w:rFonts w:hint="default" w:ascii="Times New Roman" w:hAnsi="Times New Roman" w:cs="Times New Roman"/>
          <w:color w:val="auto"/>
          <w:szCs w:val="21"/>
          <w:highlight w:val="none"/>
        </w:rPr>
        <w:t>的响应文件的法定代表人授权委托代理人，我承认代理人全权代表我所签署的本工程的响应文件的内容。</w:t>
      </w:r>
    </w:p>
    <w:p w14:paraId="7E91A9C4">
      <w:pPr>
        <w:spacing w:line="400" w:lineRule="exact"/>
        <w:rPr>
          <w:rFonts w:hint="default" w:ascii="Times New Roman" w:hAnsi="Times New Roman" w:cs="Times New Roman"/>
          <w:color w:val="auto"/>
          <w:szCs w:val="21"/>
          <w:highlight w:val="none"/>
        </w:rPr>
      </w:pPr>
    </w:p>
    <w:p w14:paraId="770FEE9F">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代理人无转委托权，特此委托。</w:t>
      </w:r>
    </w:p>
    <w:p w14:paraId="685AB726">
      <w:pPr>
        <w:spacing w:line="400" w:lineRule="exact"/>
        <w:rPr>
          <w:rFonts w:hint="default" w:ascii="Times New Roman" w:hAnsi="Times New Roman" w:cs="Times New Roman"/>
          <w:color w:val="auto"/>
          <w:szCs w:val="21"/>
          <w:highlight w:val="none"/>
        </w:rPr>
      </w:pPr>
    </w:p>
    <w:p w14:paraId="60FAEE9B">
      <w:pPr>
        <w:spacing w:line="400" w:lineRule="exact"/>
        <w:rPr>
          <w:rFonts w:hint="default" w:ascii="Times New Roman" w:hAnsi="Times New Roman" w:cs="Times New Roman"/>
          <w:color w:val="auto"/>
          <w:szCs w:val="21"/>
          <w:highlight w:val="none"/>
        </w:rPr>
      </w:pPr>
    </w:p>
    <w:p w14:paraId="710E3155">
      <w:pPr>
        <w:spacing w:line="400" w:lineRule="exact"/>
        <w:rPr>
          <w:rFonts w:hint="default" w:ascii="Times New Roman" w:hAnsi="Times New Roman" w:cs="Times New Roman"/>
          <w:color w:val="auto"/>
          <w:szCs w:val="21"/>
          <w:highlight w:val="none"/>
        </w:rPr>
      </w:pPr>
    </w:p>
    <w:p w14:paraId="1802FCC3">
      <w:pPr>
        <w:spacing w:line="400" w:lineRule="exact"/>
        <w:rPr>
          <w:rFonts w:hint="default" w:ascii="Times New Roman" w:hAnsi="Times New Roman" w:cs="Times New Roman"/>
          <w:color w:val="auto"/>
          <w:szCs w:val="21"/>
          <w:highlight w:val="none"/>
        </w:rPr>
      </w:pPr>
    </w:p>
    <w:p w14:paraId="39223D3D">
      <w:pPr>
        <w:spacing w:line="400" w:lineRule="exact"/>
        <w:ind w:left="2699"/>
        <w:jc w:val="right"/>
        <w:rPr>
          <w:rFonts w:hint="default" w:ascii="Times New Roman" w:hAnsi="Times New Roman" w:cs="Times New Roman"/>
          <w:color w:val="auto"/>
          <w:highlight w:val="none"/>
          <w:u w:val="single"/>
        </w:rPr>
      </w:pPr>
      <w:bookmarkStart w:id="42" w:name="_Toc251051979"/>
      <w:r>
        <w:rPr>
          <w:rFonts w:hint="default" w:ascii="Times New Roman" w:hAnsi="Times New Roman" w:cs="Times New Roman"/>
          <w:color w:val="auto"/>
          <w:highlight w:val="none"/>
        </w:rPr>
        <w:t>代理人：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性别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年龄：_______</w:t>
      </w:r>
      <w:bookmarkEnd w:id="42"/>
    </w:p>
    <w:p w14:paraId="3FA91F43">
      <w:pPr>
        <w:spacing w:line="400" w:lineRule="exact"/>
        <w:ind w:left="2698" w:leftChars="1285" w:right="420" w:firstLine="1260" w:firstLineChars="600"/>
        <w:rPr>
          <w:rFonts w:hint="default" w:ascii="Times New Roman" w:hAnsi="Times New Roman" w:cs="Times New Roman"/>
          <w:color w:val="auto"/>
          <w:highlight w:val="none"/>
        </w:rPr>
      </w:pPr>
      <w:bookmarkStart w:id="43" w:name="_Toc251051980"/>
      <w:r>
        <w:rPr>
          <w:rFonts w:hint="default" w:ascii="Times New Roman" w:hAnsi="Times New Roman" w:cs="Times New Roman"/>
          <w:color w:val="auto"/>
          <w:highlight w:val="none"/>
        </w:rPr>
        <w:t>身份证号码：</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职务：</w:t>
      </w:r>
      <w:bookmarkEnd w:id="43"/>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 </w:t>
      </w:r>
    </w:p>
    <w:p w14:paraId="1C116DC0">
      <w:pPr>
        <w:spacing w:line="400" w:lineRule="exact"/>
        <w:ind w:left="2698" w:leftChars="1285" w:firstLine="1260" w:firstLineChars="600"/>
        <w:rPr>
          <w:rFonts w:hint="default" w:ascii="Times New Roman" w:hAnsi="Times New Roman" w:cs="Times New Roman"/>
          <w:color w:val="auto"/>
          <w:highlight w:val="none"/>
        </w:rPr>
      </w:pPr>
      <w:bookmarkStart w:id="44" w:name="_Toc251051981"/>
      <w:r>
        <w:rPr>
          <w:rFonts w:hint="default" w:ascii="Times New Roman" w:hAnsi="Times New Roman" w:cs="Times New Roman"/>
          <w:color w:val="auto"/>
          <w:highlight w:val="none"/>
        </w:rPr>
        <w:t>磋商人：</w:t>
      </w:r>
      <w:r>
        <w:rPr>
          <w:rFonts w:hint="default" w:ascii="Times New Roman" w:hAnsi="Times New Roman" w:cs="Times New Roman"/>
          <w:color w:val="auto"/>
          <w:highlight w:val="none"/>
          <w:u w:val="single"/>
        </w:rPr>
        <w:t xml:space="preserve">                                  （盖单位章）</w:t>
      </w:r>
      <w:bookmarkEnd w:id="44"/>
    </w:p>
    <w:p w14:paraId="2B358C33">
      <w:pPr>
        <w:spacing w:line="400" w:lineRule="exact"/>
        <w:ind w:left="2698" w:leftChars="1285" w:firstLine="1260" w:firstLineChars="600"/>
        <w:rPr>
          <w:rFonts w:hint="default" w:ascii="Times New Roman" w:hAnsi="Times New Roman" w:cs="Times New Roman"/>
          <w:color w:val="auto"/>
          <w:highlight w:val="none"/>
        </w:rPr>
      </w:pPr>
      <w:bookmarkStart w:id="45" w:name="_Toc251051982"/>
      <w:r>
        <w:rPr>
          <w:rFonts w:hint="default" w:ascii="Times New Roman" w:hAnsi="Times New Roman" w:cs="Times New Roman"/>
          <w:color w:val="auto"/>
          <w:highlight w:val="none"/>
        </w:rPr>
        <w:t>法定代表人</w:t>
      </w:r>
      <w:r>
        <w:rPr>
          <w:rFonts w:hint="default" w:ascii="Times New Roman" w:hAnsi="Times New Roman" w:cs="Times New Roman"/>
          <w:color w:val="auto"/>
          <w:highlight w:val="none"/>
          <w:lang w:eastAsia="zh-CN"/>
        </w:rPr>
        <w:t>（或负责人）</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（签字或盖章）</w:t>
      </w:r>
      <w:bookmarkEnd w:id="45"/>
    </w:p>
    <w:p w14:paraId="354F114C">
      <w:pPr>
        <w:spacing w:line="400" w:lineRule="exact"/>
        <w:ind w:firstLine="3990" w:firstLineChars="1900"/>
        <w:rPr>
          <w:rFonts w:hint="default" w:ascii="Times New Roman" w:hAnsi="Times New Roman" w:cs="Times New Roman"/>
          <w:color w:val="auto"/>
          <w:highlight w:val="none"/>
        </w:rPr>
      </w:pPr>
      <w:bookmarkStart w:id="46" w:name="_Toc251051983"/>
      <w:r>
        <w:rPr>
          <w:rFonts w:hint="default" w:ascii="Times New Roman" w:hAnsi="Times New Roman" w:cs="Times New Roman"/>
          <w:color w:val="auto"/>
          <w:highlight w:val="none"/>
        </w:rPr>
        <w:t>授权委托日期：</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bookmarkEnd w:id="46"/>
    </w:p>
    <w:p w14:paraId="139E65F5">
      <w:pPr>
        <w:spacing w:line="400" w:lineRule="exact"/>
        <w:rPr>
          <w:rFonts w:hint="default" w:ascii="Times New Roman" w:hAnsi="Times New Roman" w:cs="Times New Roman"/>
          <w:color w:val="auto"/>
          <w:highlight w:val="none"/>
        </w:rPr>
      </w:pPr>
    </w:p>
    <w:p w14:paraId="6F1B1714">
      <w:pPr>
        <w:spacing w:line="400" w:lineRule="exact"/>
        <w:rPr>
          <w:rFonts w:hint="default" w:ascii="Times New Roman" w:hAnsi="Times New Roman" w:cs="Times New Roman"/>
          <w:color w:val="auto"/>
          <w:highlight w:val="none"/>
        </w:rPr>
      </w:pPr>
    </w:p>
    <w:p w14:paraId="544DF708">
      <w:pPr>
        <w:spacing w:line="400" w:lineRule="exact"/>
        <w:rPr>
          <w:rFonts w:hint="default" w:ascii="Times New Roman" w:hAnsi="Times New Roman" w:cs="Times New Roman"/>
          <w:color w:val="auto"/>
          <w:highlight w:val="none"/>
        </w:rPr>
      </w:pPr>
    </w:p>
    <w:p w14:paraId="3CB00D28">
      <w:pPr>
        <w:spacing w:line="400" w:lineRule="exact"/>
        <w:rPr>
          <w:rFonts w:hint="default" w:ascii="Times New Roman" w:hAnsi="Times New Roman" w:cs="Times New Roman"/>
          <w:color w:val="auto"/>
          <w:highlight w:val="none"/>
        </w:rPr>
      </w:pPr>
    </w:p>
    <w:p w14:paraId="013C32E6">
      <w:pPr>
        <w:pStyle w:val="17"/>
        <w:spacing w:line="400" w:lineRule="exact"/>
        <w:rPr>
          <w:rFonts w:hint="default" w:ascii="Times New Roman" w:hAnsi="Times New Roman" w:cs="Times New Roman"/>
          <w:color w:val="auto"/>
          <w:sz w:val="24"/>
          <w:highlight w:val="none"/>
        </w:rPr>
      </w:pPr>
    </w:p>
    <w:p w14:paraId="74A92B82">
      <w:pPr>
        <w:pStyle w:val="17"/>
        <w:spacing w:line="400" w:lineRule="exact"/>
        <w:rPr>
          <w:rFonts w:hint="default" w:ascii="Times New Roman" w:hAnsi="Times New Roman" w:cs="Times New Roman"/>
          <w:color w:val="auto"/>
          <w:sz w:val="24"/>
          <w:highlight w:val="none"/>
        </w:rPr>
      </w:pPr>
    </w:p>
    <w:p w14:paraId="732AF7D3">
      <w:pPr>
        <w:pStyle w:val="17"/>
        <w:spacing w:line="400" w:lineRule="exac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备注：若法定代表人(或负责人)不能亲自参加开标会议，由其授权代理人参加的，在提供“授权委托书”的同时，应提供“法定代表人(或负责人)身份证明书”，以及授权代理人身份证复印件。</w:t>
      </w:r>
    </w:p>
    <w:p w14:paraId="4DCDEE2C">
      <w:pPr>
        <w:pStyle w:val="17"/>
        <w:spacing w:line="420" w:lineRule="exact"/>
        <w:rPr>
          <w:rFonts w:hint="default" w:ascii="Times New Roman" w:hAnsi="Times New Roman" w:cs="Times New Roman"/>
          <w:b/>
          <w:color w:val="auto"/>
          <w:sz w:val="32"/>
          <w:highlight w:val="none"/>
        </w:rPr>
      </w:pPr>
    </w:p>
    <w:p w14:paraId="229D7D1D">
      <w:pPr>
        <w:pStyle w:val="17"/>
        <w:spacing w:line="420" w:lineRule="exact"/>
        <w:rPr>
          <w:rFonts w:hint="default" w:ascii="Times New Roman" w:hAnsi="Times New Roman" w:cs="Times New Roman"/>
          <w:b/>
          <w:color w:val="auto"/>
          <w:sz w:val="32"/>
          <w:highlight w:val="none"/>
        </w:rPr>
      </w:pPr>
    </w:p>
    <w:p w14:paraId="068FFDB3">
      <w:pPr>
        <w:pStyle w:val="17"/>
        <w:spacing w:line="420" w:lineRule="exact"/>
        <w:rPr>
          <w:rFonts w:hint="default" w:ascii="Times New Roman" w:hAnsi="Times New Roman" w:cs="Times New Roman"/>
          <w:b/>
          <w:color w:val="auto"/>
          <w:sz w:val="32"/>
          <w:highlight w:val="none"/>
        </w:rPr>
      </w:pPr>
    </w:p>
    <w:p w14:paraId="23CC65AD">
      <w:pPr>
        <w:pStyle w:val="18"/>
        <w:rPr>
          <w:rFonts w:hint="default" w:ascii="Times New Roman" w:hAnsi="Times New Roman" w:cs="Times New Roman"/>
          <w:b/>
          <w:color w:val="auto"/>
          <w:sz w:val="32"/>
          <w:highlight w:val="none"/>
        </w:rPr>
      </w:pPr>
    </w:p>
    <w:p w14:paraId="1464256E">
      <w:pPr>
        <w:rPr>
          <w:rFonts w:hint="default" w:ascii="Times New Roman" w:hAnsi="Times New Roman" w:cs="Times New Roman"/>
          <w:b/>
          <w:color w:val="auto"/>
          <w:sz w:val="32"/>
          <w:highlight w:val="none"/>
        </w:rPr>
      </w:pPr>
    </w:p>
    <w:p w14:paraId="07A1DC5C">
      <w:pPr>
        <w:pStyle w:val="23"/>
        <w:rPr>
          <w:rFonts w:hint="default" w:ascii="Times New Roman" w:hAnsi="Times New Roman" w:cs="Times New Roman"/>
          <w:b/>
          <w:color w:val="auto"/>
          <w:sz w:val="32"/>
          <w:highlight w:val="none"/>
        </w:rPr>
      </w:pPr>
    </w:p>
    <w:p w14:paraId="5111B910">
      <w:pPr>
        <w:rPr>
          <w:rFonts w:hint="default" w:ascii="Times New Roman" w:hAnsi="Times New Roman" w:cs="Times New Roman"/>
          <w:color w:val="auto"/>
          <w:highlight w:val="none"/>
        </w:rPr>
      </w:pPr>
    </w:p>
    <w:p w14:paraId="389195ED">
      <w:pPr>
        <w:rPr>
          <w:rFonts w:hint="default" w:ascii="Times New Roman" w:hAnsi="Times New Roman" w:cs="Times New Roman"/>
          <w:b/>
          <w:color w:val="auto"/>
          <w:sz w:val="32"/>
          <w:highlight w:val="none"/>
        </w:rPr>
      </w:pPr>
    </w:p>
    <w:p w14:paraId="7775D22C">
      <w:pPr>
        <w:spacing w:line="400" w:lineRule="exact"/>
        <w:jc w:val="center"/>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法定代表人身份证明</w:t>
      </w:r>
    </w:p>
    <w:p w14:paraId="38AA5F18">
      <w:pPr>
        <w:spacing w:line="400" w:lineRule="exact"/>
        <w:rPr>
          <w:rFonts w:hint="default" w:ascii="Times New Roman" w:hAnsi="Times New Roman" w:cs="Times New Roman"/>
          <w:color w:val="auto"/>
          <w:szCs w:val="21"/>
          <w:highlight w:val="none"/>
        </w:rPr>
      </w:pPr>
    </w:p>
    <w:p w14:paraId="45954752">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磋 商 人：                                                        </w:t>
      </w:r>
    </w:p>
    <w:p w14:paraId="4E2D88EB">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单位性质：</w:t>
      </w:r>
      <w:r>
        <w:rPr>
          <w:rFonts w:hint="default" w:ascii="Times New Roman" w:hAnsi="Times New Roman" w:cs="Times New Roman"/>
          <w:color w:val="auto"/>
          <w:szCs w:val="21"/>
          <w:highlight w:val="none"/>
          <w:u w:val="single"/>
        </w:rPr>
        <w:t xml:space="preserve">                                                        </w:t>
      </w:r>
    </w:p>
    <w:p w14:paraId="30089E51">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    址：</w:t>
      </w:r>
      <w:r>
        <w:rPr>
          <w:rFonts w:hint="default" w:ascii="Times New Roman" w:hAnsi="Times New Roman" w:cs="Times New Roman"/>
          <w:color w:val="auto"/>
          <w:szCs w:val="21"/>
          <w:highlight w:val="none"/>
          <w:u w:val="single"/>
        </w:rPr>
        <w:t xml:space="preserve">                                                        </w:t>
      </w:r>
    </w:p>
    <w:p w14:paraId="41D47FE2">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成立时间：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p>
    <w:p w14:paraId="0435FB60">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经营期限：</w:t>
      </w:r>
      <w:r>
        <w:rPr>
          <w:rFonts w:hint="default" w:ascii="Times New Roman" w:hAnsi="Times New Roman" w:cs="Times New Roman"/>
          <w:color w:val="auto"/>
          <w:szCs w:val="21"/>
          <w:highlight w:val="none"/>
          <w:u w:val="single"/>
        </w:rPr>
        <w:t xml:space="preserve">                                                        </w:t>
      </w:r>
    </w:p>
    <w:p w14:paraId="58DD906B">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    名：</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性     别：</w:t>
      </w:r>
      <w:r>
        <w:rPr>
          <w:rFonts w:hint="default" w:ascii="Times New Roman" w:hAnsi="Times New Roman" w:cs="Times New Roman"/>
          <w:color w:val="auto"/>
          <w:szCs w:val="21"/>
          <w:highlight w:val="none"/>
          <w:u w:val="single"/>
        </w:rPr>
        <w:t xml:space="preserve">                   </w:t>
      </w:r>
    </w:p>
    <w:p w14:paraId="4A8FE520">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    龄：</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职     务：</w:t>
      </w:r>
      <w:r>
        <w:rPr>
          <w:rFonts w:hint="default" w:ascii="Times New Roman" w:hAnsi="Times New Roman" w:cs="Times New Roman"/>
          <w:color w:val="auto"/>
          <w:szCs w:val="21"/>
          <w:highlight w:val="none"/>
          <w:u w:val="single"/>
        </w:rPr>
        <w:t xml:space="preserve">                   </w:t>
      </w:r>
    </w:p>
    <w:p w14:paraId="3746F348">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系</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（磋商人名称）的法定代表人。</w:t>
      </w:r>
    </w:p>
    <w:p w14:paraId="77491415">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特此证明。</w:t>
      </w:r>
    </w:p>
    <w:p w14:paraId="1A8CCD56">
      <w:pPr>
        <w:spacing w:line="400" w:lineRule="exact"/>
        <w:rPr>
          <w:rFonts w:hint="default" w:ascii="Times New Roman" w:hAnsi="Times New Roman" w:cs="Times New Roman"/>
          <w:color w:val="auto"/>
          <w:szCs w:val="21"/>
          <w:highlight w:val="none"/>
        </w:rPr>
      </w:pPr>
    </w:p>
    <w:p w14:paraId="37A97049">
      <w:pPr>
        <w:spacing w:line="400" w:lineRule="exact"/>
        <w:rPr>
          <w:rFonts w:hint="default" w:ascii="Times New Roman" w:hAnsi="Times New Roman" w:cs="Times New Roman"/>
          <w:color w:val="auto"/>
          <w:szCs w:val="21"/>
          <w:highlight w:val="none"/>
        </w:rPr>
      </w:pPr>
    </w:p>
    <w:p w14:paraId="7EAAF494">
      <w:pPr>
        <w:spacing w:line="400" w:lineRule="exact"/>
        <w:rPr>
          <w:rFonts w:hint="default" w:ascii="Times New Roman" w:hAnsi="Times New Roman" w:cs="Times New Roman"/>
          <w:color w:val="auto"/>
          <w:szCs w:val="21"/>
          <w:highlight w:val="none"/>
        </w:rPr>
      </w:pPr>
    </w:p>
    <w:p w14:paraId="1C6A7257">
      <w:pPr>
        <w:spacing w:line="400" w:lineRule="exact"/>
        <w:rPr>
          <w:rFonts w:hint="default" w:ascii="Times New Roman" w:hAnsi="Times New Roman" w:cs="Times New Roman"/>
          <w:color w:val="auto"/>
          <w:szCs w:val="21"/>
          <w:highlight w:val="none"/>
        </w:rPr>
      </w:pPr>
    </w:p>
    <w:p w14:paraId="4F4E437C">
      <w:pPr>
        <w:spacing w:line="400" w:lineRule="exact"/>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磋商人：</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（盖单位章）</w:t>
      </w:r>
    </w:p>
    <w:p w14:paraId="768D016B">
      <w:pPr>
        <w:spacing w:line="400" w:lineRule="exact"/>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p>
    <w:p w14:paraId="1B6A88F0">
      <w:pPr>
        <w:spacing w:line="400" w:lineRule="exact"/>
        <w:jc w:val="both"/>
        <w:rPr>
          <w:rFonts w:hint="default" w:ascii="Times New Roman" w:hAnsi="Times New Roman" w:cs="Times New Roman"/>
          <w:color w:val="auto"/>
          <w:szCs w:val="21"/>
          <w:highlight w:val="none"/>
        </w:rPr>
      </w:pPr>
    </w:p>
    <w:p w14:paraId="3CAA49BE">
      <w:pPr>
        <w:pStyle w:val="17"/>
        <w:spacing w:line="560" w:lineRule="exact"/>
        <w:rPr>
          <w:rFonts w:hint="default" w:ascii="Times New Roman" w:hAnsi="Times New Roman" w:cs="Times New Roman"/>
          <w:color w:val="auto"/>
          <w:highlight w:val="none"/>
          <w:u w:val="single"/>
        </w:rPr>
      </w:pPr>
    </w:p>
    <w:p w14:paraId="2D0837AB">
      <w:pPr>
        <w:pStyle w:val="23"/>
        <w:rPr>
          <w:rFonts w:hint="default" w:ascii="Times New Roman" w:hAnsi="Times New Roman" w:cs="Times New Roman"/>
          <w:b/>
          <w:color w:val="auto"/>
          <w:sz w:val="32"/>
          <w:highlight w:val="none"/>
        </w:rPr>
      </w:pPr>
    </w:p>
    <w:p w14:paraId="2E54CB60">
      <w:pPr>
        <w:rPr>
          <w:rFonts w:hint="default" w:ascii="Times New Roman" w:hAnsi="Times New Roman" w:cs="Times New Roman"/>
          <w:b/>
          <w:color w:val="auto"/>
          <w:sz w:val="32"/>
          <w:highlight w:val="none"/>
        </w:rPr>
      </w:pPr>
    </w:p>
    <w:p w14:paraId="22341F1C">
      <w:pPr>
        <w:pStyle w:val="23"/>
        <w:rPr>
          <w:rFonts w:hint="default" w:ascii="Times New Roman" w:hAnsi="Times New Roman" w:cs="Times New Roman"/>
          <w:b/>
          <w:color w:val="auto"/>
          <w:sz w:val="32"/>
          <w:highlight w:val="none"/>
        </w:rPr>
      </w:pPr>
    </w:p>
    <w:p w14:paraId="678D8E0C">
      <w:pPr>
        <w:rPr>
          <w:rFonts w:hint="default" w:ascii="Times New Roman" w:hAnsi="Times New Roman" w:cs="Times New Roman"/>
          <w:b/>
          <w:color w:val="auto"/>
          <w:sz w:val="32"/>
          <w:highlight w:val="none"/>
        </w:rPr>
      </w:pPr>
    </w:p>
    <w:p w14:paraId="160C4211">
      <w:pPr>
        <w:pStyle w:val="23"/>
        <w:rPr>
          <w:rFonts w:hint="default" w:ascii="Times New Roman" w:hAnsi="Times New Roman" w:cs="Times New Roman"/>
          <w:b/>
          <w:color w:val="auto"/>
          <w:sz w:val="32"/>
          <w:highlight w:val="none"/>
        </w:rPr>
      </w:pPr>
    </w:p>
    <w:p w14:paraId="5819C0A5">
      <w:pPr>
        <w:rPr>
          <w:rFonts w:hint="default" w:ascii="Times New Roman" w:hAnsi="Times New Roman" w:cs="Times New Roman"/>
          <w:b/>
          <w:color w:val="auto"/>
          <w:sz w:val="32"/>
          <w:highlight w:val="none"/>
        </w:rPr>
      </w:pPr>
    </w:p>
    <w:p w14:paraId="1C6E61E0">
      <w:pPr>
        <w:pStyle w:val="23"/>
        <w:rPr>
          <w:rFonts w:hint="default" w:ascii="Times New Roman" w:hAnsi="Times New Roman" w:cs="Times New Roman"/>
          <w:b/>
          <w:color w:val="auto"/>
          <w:sz w:val="32"/>
          <w:highlight w:val="none"/>
        </w:rPr>
      </w:pPr>
    </w:p>
    <w:p w14:paraId="7A791158">
      <w:pPr>
        <w:rPr>
          <w:rFonts w:hint="default" w:ascii="Times New Roman" w:hAnsi="Times New Roman" w:cs="Times New Roman"/>
          <w:b/>
          <w:color w:val="auto"/>
          <w:sz w:val="32"/>
          <w:highlight w:val="none"/>
        </w:rPr>
      </w:pPr>
    </w:p>
    <w:p w14:paraId="4F0950F2">
      <w:pPr>
        <w:pStyle w:val="23"/>
        <w:rPr>
          <w:rFonts w:hint="default" w:ascii="Times New Roman" w:hAnsi="Times New Roman" w:cs="Times New Roman"/>
          <w:color w:val="auto"/>
          <w:highlight w:val="none"/>
        </w:rPr>
      </w:pPr>
    </w:p>
    <w:p w14:paraId="5853FAA1">
      <w:pPr>
        <w:rPr>
          <w:rFonts w:hint="default" w:ascii="Times New Roman" w:hAnsi="Times New Roman" w:cs="Times New Roman"/>
          <w:color w:val="auto"/>
          <w:highlight w:val="none"/>
        </w:rPr>
      </w:pPr>
    </w:p>
    <w:p w14:paraId="5D68DBAC">
      <w:pPr>
        <w:pStyle w:val="17"/>
        <w:spacing w:line="360" w:lineRule="auto"/>
        <w:jc w:val="both"/>
        <w:outlineLvl w:val="0"/>
        <w:rPr>
          <w:rFonts w:hint="default" w:ascii="Times New Roman" w:hAnsi="Times New Roman" w:cs="Times New Roman"/>
          <w:color w:val="auto"/>
          <w:sz w:val="28"/>
          <w:szCs w:val="28"/>
          <w:highlight w:val="none"/>
        </w:rPr>
      </w:pPr>
    </w:p>
    <w:p w14:paraId="253ADA3F">
      <w:pPr>
        <w:pStyle w:val="17"/>
        <w:spacing w:line="360" w:lineRule="auto"/>
        <w:jc w:val="center"/>
        <w:outlineLvl w:val="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参加政府采购活动前三年内，在经营活动中没有重大违法记录声明</w:t>
      </w:r>
    </w:p>
    <w:p w14:paraId="7D3F5B86">
      <w:pPr>
        <w:pStyle w:val="17"/>
        <w:spacing w:line="360" w:lineRule="auto"/>
        <w:jc w:val="center"/>
        <w:outlineLvl w:val="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无重大违法记录声明</w:t>
      </w:r>
    </w:p>
    <w:p w14:paraId="498FECA0">
      <w:pPr>
        <w:pStyle w:val="17"/>
        <w:spacing w:line="360" w:lineRule="auto"/>
        <w:outlineLvl w:val="0"/>
        <w:rPr>
          <w:rFonts w:hint="default" w:ascii="Times New Roman" w:hAnsi="Times New Roman" w:cs="Times New Roman"/>
          <w:color w:val="auto"/>
          <w:highlight w:val="none"/>
        </w:rPr>
      </w:pPr>
    </w:p>
    <w:p w14:paraId="545B9EA5">
      <w:pPr>
        <w:pStyle w:val="17"/>
        <w:spacing w:line="360" w:lineRule="auto"/>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采购</w:t>
      </w:r>
      <w:r>
        <w:rPr>
          <w:rFonts w:hint="default" w:ascii="Times New Roman" w:hAnsi="Times New Roman" w:cs="Times New Roman"/>
          <w:color w:val="auto"/>
          <w:highlight w:val="none"/>
        </w:rPr>
        <w:t>人）</w:t>
      </w:r>
    </w:p>
    <w:p w14:paraId="14041C10">
      <w:pPr>
        <w:pStyle w:val="17"/>
        <w:spacing w:line="360" w:lineRule="auto"/>
        <w:ind w:firstLine="525" w:firstLineChars="250"/>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我公司参与</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（项目名称、项目编号）项目投标，我公司郑重声明：我方参加本次招标活动前三年内，在经营活动中无重大违法活动记录，符合《政府采购法》规定的供应商资格条件。我方对此声明负全部法律责任。</w:t>
      </w:r>
    </w:p>
    <w:p w14:paraId="21F3E3EF">
      <w:pPr>
        <w:pStyle w:val="17"/>
        <w:spacing w:line="360" w:lineRule="auto"/>
        <w:outlineLvl w:val="0"/>
        <w:rPr>
          <w:rFonts w:hint="default" w:ascii="Times New Roman" w:hAnsi="Times New Roman" w:cs="Times New Roman"/>
          <w:color w:val="auto"/>
          <w:highlight w:val="none"/>
        </w:rPr>
      </w:pPr>
    </w:p>
    <w:p w14:paraId="500ACFBB">
      <w:pPr>
        <w:pStyle w:val="17"/>
        <w:spacing w:line="360" w:lineRule="auto"/>
        <w:ind w:firstLine="630" w:firstLineChars="300"/>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特此声明。</w:t>
      </w:r>
    </w:p>
    <w:p w14:paraId="08407585">
      <w:pPr>
        <w:pStyle w:val="17"/>
        <w:spacing w:line="360" w:lineRule="auto"/>
        <w:outlineLvl w:val="0"/>
        <w:rPr>
          <w:rFonts w:hint="default" w:ascii="Times New Roman" w:hAnsi="Times New Roman" w:cs="Times New Roman"/>
          <w:color w:val="auto"/>
          <w:highlight w:val="none"/>
        </w:rPr>
      </w:pPr>
    </w:p>
    <w:p w14:paraId="02BD88AB">
      <w:pPr>
        <w:pStyle w:val="17"/>
        <w:spacing w:line="360" w:lineRule="auto"/>
        <w:ind w:firstLine="4935" w:firstLineChars="2350"/>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声明人：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投标人（公章）</w:t>
      </w:r>
    </w:p>
    <w:p w14:paraId="5D715EBB">
      <w:pPr>
        <w:pStyle w:val="17"/>
        <w:spacing w:line="360" w:lineRule="auto"/>
        <w:outlineLvl w:val="0"/>
        <w:rPr>
          <w:rFonts w:hint="default" w:ascii="Times New Roman" w:hAnsi="Times New Roman" w:cs="Times New Roman"/>
          <w:color w:val="auto"/>
          <w:highlight w:val="none"/>
        </w:rPr>
      </w:pPr>
    </w:p>
    <w:p w14:paraId="7A15F080">
      <w:pPr>
        <w:pStyle w:val="17"/>
        <w:spacing w:line="360" w:lineRule="auto"/>
        <w:ind w:firstLine="6300" w:firstLineChars="3000"/>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年   月   日</w:t>
      </w:r>
    </w:p>
    <w:p w14:paraId="1199232A">
      <w:pPr>
        <w:pStyle w:val="17"/>
        <w:spacing w:line="360" w:lineRule="auto"/>
        <w:jc w:val="both"/>
        <w:outlineLvl w:val="0"/>
        <w:rPr>
          <w:rFonts w:hint="default" w:ascii="Times New Roman" w:hAnsi="Times New Roman" w:cs="Times New Roman"/>
          <w:color w:val="auto"/>
          <w:highlight w:val="none"/>
        </w:rPr>
      </w:pPr>
    </w:p>
    <w:p w14:paraId="5E9402B8">
      <w:pPr>
        <w:pStyle w:val="23"/>
        <w:rPr>
          <w:rFonts w:hint="default" w:ascii="Times New Roman" w:hAnsi="Times New Roman" w:cs="Times New Roman"/>
          <w:b/>
          <w:color w:val="auto"/>
          <w:sz w:val="32"/>
          <w:highlight w:val="none"/>
        </w:rPr>
      </w:pPr>
    </w:p>
    <w:p w14:paraId="5C57842A">
      <w:pPr>
        <w:rPr>
          <w:rFonts w:hint="default" w:ascii="Times New Roman" w:hAnsi="Times New Roman" w:cs="Times New Roman"/>
          <w:b/>
          <w:color w:val="auto"/>
          <w:sz w:val="32"/>
          <w:highlight w:val="none"/>
        </w:rPr>
      </w:pPr>
    </w:p>
    <w:p w14:paraId="51261439">
      <w:pPr>
        <w:pStyle w:val="23"/>
        <w:rPr>
          <w:rFonts w:hint="default" w:ascii="Times New Roman" w:hAnsi="Times New Roman" w:cs="Times New Roman"/>
          <w:b/>
          <w:color w:val="auto"/>
          <w:sz w:val="32"/>
          <w:highlight w:val="none"/>
        </w:rPr>
      </w:pPr>
    </w:p>
    <w:p w14:paraId="44837D95">
      <w:pPr>
        <w:rPr>
          <w:rFonts w:hint="default" w:ascii="Times New Roman" w:hAnsi="Times New Roman" w:cs="Times New Roman"/>
          <w:b/>
          <w:color w:val="auto"/>
          <w:sz w:val="32"/>
          <w:highlight w:val="none"/>
        </w:rPr>
      </w:pPr>
    </w:p>
    <w:p w14:paraId="4CD5AFAB">
      <w:pPr>
        <w:pStyle w:val="23"/>
        <w:rPr>
          <w:rFonts w:hint="default" w:ascii="Times New Roman" w:hAnsi="Times New Roman" w:cs="Times New Roman"/>
          <w:b/>
          <w:color w:val="auto"/>
          <w:sz w:val="32"/>
          <w:highlight w:val="none"/>
        </w:rPr>
      </w:pPr>
    </w:p>
    <w:p w14:paraId="159D1E0E">
      <w:pPr>
        <w:rPr>
          <w:rFonts w:hint="default" w:ascii="Times New Roman" w:hAnsi="Times New Roman" w:cs="Times New Roman"/>
          <w:b/>
          <w:color w:val="auto"/>
          <w:sz w:val="32"/>
          <w:highlight w:val="none"/>
        </w:rPr>
      </w:pPr>
    </w:p>
    <w:p w14:paraId="49065CB7">
      <w:pPr>
        <w:pStyle w:val="23"/>
        <w:rPr>
          <w:rFonts w:hint="default" w:ascii="Times New Roman" w:hAnsi="Times New Roman" w:cs="Times New Roman"/>
          <w:b/>
          <w:color w:val="auto"/>
          <w:sz w:val="32"/>
          <w:highlight w:val="none"/>
        </w:rPr>
      </w:pPr>
    </w:p>
    <w:p w14:paraId="4E3DE44F">
      <w:pPr>
        <w:rPr>
          <w:rFonts w:hint="default" w:ascii="Times New Roman" w:hAnsi="Times New Roman" w:cs="Times New Roman"/>
          <w:b/>
          <w:color w:val="auto"/>
          <w:sz w:val="32"/>
          <w:highlight w:val="none"/>
        </w:rPr>
      </w:pPr>
    </w:p>
    <w:p w14:paraId="7FEA9B4A">
      <w:pPr>
        <w:pStyle w:val="23"/>
        <w:rPr>
          <w:rFonts w:hint="default" w:ascii="Times New Roman" w:hAnsi="Times New Roman" w:cs="Times New Roman"/>
          <w:b/>
          <w:color w:val="auto"/>
          <w:sz w:val="32"/>
          <w:highlight w:val="none"/>
        </w:rPr>
      </w:pPr>
    </w:p>
    <w:p w14:paraId="675C27ED">
      <w:pPr>
        <w:rPr>
          <w:rFonts w:hint="default" w:ascii="Times New Roman" w:hAnsi="Times New Roman" w:cs="Times New Roman"/>
          <w:b/>
          <w:color w:val="auto"/>
          <w:sz w:val="32"/>
          <w:highlight w:val="none"/>
        </w:rPr>
      </w:pPr>
    </w:p>
    <w:p w14:paraId="14A37AF6">
      <w:pPr>
        <w:pStyle w:val="23"/>
        <w:rPr>
          <w:rFonts w:hint="default" w:ascii="Times New Roman" w:hAnsi="Times New Roman" w:cs="Times New Roman"/>
          <w:b/>
          <w:color w:val="auto"/>
          <w:sz w:val="32"/>
          <w:highlight w:val="none"/>
        </w:rPr>
      </w:pPr>
    </w:p>
    <w:p w14:paraId="12F74DC4">
      <w:pPr>
        <w:pStyle w:val="17"/>
        <w:spacing w:line="420" w:lineRule="exact"/>
        <w:rPr>
          <w:rFonts w:hint="default" w:ascii="Times New Roman" w:hAnsi="Times New Roman" w:cs="Times New Roman"/>
          <w:b/>
          <w:color w:val="auto"/>
          <w:sz w:val="32"/>
          <w:highlight w:val="none"/>
        </w:rPr>
      </w:pPr>
    </w:p>
    <w:p w14:paraId="21A4B65F">
      <w:pPr>
        <w:pStyle w:val="17"/>
        <w:spacing w:line="420" w:lineRule="exact"/>
        <w:ind w:left="5250" w:firstLine="420"/>
        <w:jc w:val="center"/>
        <w:rPr>
          <w:rFonts w:hint="default" w:ascii="Times New Roman" w:hAnsi="Times New Roman" w:eastAsia="隶书" w:cs="Times New Roman"/>
          <w:color w:val="auto"/>
          <w:sz w:val="44"/>
          <w:highlight w:val="none"/>
        </w:rPr>
      </w:pPr>
      <w:bookmarkStart w:id="47" w:name="_Toc58146588"/>
    </w:p>
    <w:p w14:paraId="68C3C1C1">
      <w:pPr>
        <w:pStyle w:val="17"/>
        <w:spacing w:line="480" w:lineRule="auto"/>
        <w:ind w:firstLine="3614" w:firstLineChars="1000"/>
        <w:outlineLvl w:val="1"/>
        <w:rPr>
          <w:rFonts w:hint="default" w:ascii="Times New Roman" w:hAnsi="Times New Roman" w:cs="Times New Roman"/>
          <w:b/>
          <w:color w:val="auto"/>
          <w:sz w:val="36"/>
          <w:szCs w:val="36"/>
          <w:highlight w:val="none"/>
        </w:rPr>
      </w:pPr>
      <w:bookmarkStart w:id="48" w:name="_Toc18897"/>
      <w:r>
        <w:rPr>
          <w:rFonts w:hint="default" w:ascii="Times New Roman" w:hAnsi="Times New Roman" w:cs="Times New Roman"/>
          <w:b/>
          <w:color w:val="auto"/>
          <w:sz w:val="36"/>
          <w:szCs w:val="36"/>
          <w:highlight w:val="none"/>
        </w:rPr>
        <w:t>二、技术</w:t>
      </w:r>
      <w:bookmarkEnd w:id="48"/>
      <w:r>
        <w:rPr>
          <w:rFonts w:hint="default" w:ascii="Times New Roman" w:hAnsi="Times New Roman" w:cs="Times New Roman"/>
          <w:b/>
          <w:color w:val="auto"/>
          <w:sz w:val="36"/>
          <w:szCs w:val="36"/>
          <w:highlight w:val="none"/>
        </w:rPr>
        <w:t>方案</w:t>
      </w:r>
    </w:p>
    <w:bookmarkEnd w:id="47"/>
    <w:p w14:paraId="265C4FB1">
      <w:pPr>
        <w:pStyle w:val="17"/>
        <w:jc w:val="center"/>
        <w:rPr>
          <w:rFonts w:hint="default" w:ascii="Times New Roman" w:hAnsi="Times New Roman" w:cs="Times New Roman"/>
          <w:b/>
          <w:bCs/>
          <w:color w:val="auto"/>
          <w:szCs w:val="21"/>
          <w:highlight w:val="none"/>
        </w:rPr>
      </w:pPr>
    </w:p>
    <w:p w14:paraId="1011263B">
      <w:pPr>
        <w:pStyle w:val="17"/>
        <w:jc w:val="center"/>
        <w:rPr>
          <w:rFonts w:hint="default" w:ascii="Times New Roman" w:hAnsi="Times New Roman" w:cs="Times New Roman"/>
          <w:b/>
          <w:bCs/>
          <w:color w:val="auto"/>
          <w:szCs w:val="21"/>
          <w:highlight w:val="none"/>
        </w:rPr>
      </w:pPr>
      <w:bookmarkStart w:id="49" w:name="_Toc369539377"/>
      <w:bookmarkStart w:id="50" w:name="_Toc367092254"/>
      <w:r>
        <w:rPr>
          <w:rFonts w:hint="default" w:ascii="Times New Roman" w:hAnsi="Times New Roman" w:cs="Times New Roman"/>
          <w:b/>
          <w:bCs/>
          <w:color w:val="auto"/>
          <w:szCs w:val="21"/>
          <w:highlight w:val="none"/>
        </w:rPr>
        <w:t>(本项无格式，由磋商人结合项目实际及评标办法自行编写)</w:t>
      </w:r>
      <w:bookmarkEnd w:id="49"/>
      <w:bookmarkEnd w:id="50"/>
    </w:p>
    <w:p w14:paraId="7E7D6880">
      <w:pPr>
        <w:pStyle w:val="17"/>
        <w:jc w:val="center"/>
        <w:rPr>
          <w:rFonts w:hint="default" w:ascii="Times New Roman" w:hAnsi="Times New Roman" w:cs="Times New Roman"/>
          <w:b/>
          <w:bCs/>
          <w:color w:val="auto"/>
          <w:szCs w:val="21"/>
          <w:highlight w:val="none"/>
        </w:rPr>
      </w:pPr>
    </w:p>
    <w:p w14:paraId="484828D1">
      <w:pPr>
        <w:tabs>
          <w:tab w:val="left" w:pos="1305"/>
        </w:tabs>
        <w:spacing w:line="360" w:lineRule="auto"/>
        <w:ind w:firstLine="420" w:firstLineChars="200"/>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项目实施方案</w:t>
      </w:r>
      <w:r>
        <w:rPr>
          <w:rFonts w:hint="default" w:ascii="Times New Roman" w:hAnsi="Times New Roman" w:cs="Times New Roman"/>
          <w:b/>
          <w:color w:val="auto"/>
          <w:sz w:val="21"/>
          <w:szCs w:val="21"/>
          <w:highlight w:val="none"/>
        </w:rPr>
        <w:t>【</w:t>
      </w:r>
      <w:r>
        <w:rPr>
          <w:rFonts w:hint="default" w:ascii="Times New Roman" w:hAnsi="Times New Roman" w:eastAsia="宋体" w:cs="Times New Roman"/>
          <w:b/>
          <w:color w:val="auto"/>
          <w:sz w:val="21"/>
          <w:szCs w:val="21"/>
          <w:highlight w:val="none"/>
        </w:rPr>
        <w:t>由</w:t>
      </w:r>
      <w:r>
        <w:rPr>
          <w:rFonts w:hint="default" w:ascii="Times New Roman" w:hAnsi="Times New Roman" w:eastAsia="宋体" w:cs="Times New Roman"/>
          <w:b/>
          <w:color w:val="auto"/>
          <w:sz w:val="21"/>
          <w:szCs w:val="21"/>
          <w:highlight w:val="none"/>
          <w:lang w:eastAsia="zh-CN"/>
        </w:rPr>
        <w:t>磋商人</w:t>
      </w:r>
      <w:r>
        <w:rPr>
          <w:rFonts w:hint="default" w:ascii="Times New Roman" w:hAnsi="Times New Roman" w:eastAsia="宋体" w:cs="Times New Roman"/>
          <w:b/>
          <w:color w:val="auto"/>
          <w:sz w:val="21"/>
          <w:szCs w:val="21"/>
          <w:highlight w:val="none"/>
        </w:rPr>
        <w:t>根</w:t>
      </w:r>
      <w:r>
        <w:rPr>
          <w:rFonts w:hint="default" w:ascii="Times New Roman" w:hAnsi="Times New Roman" w:cs="Times New Roman"/>
          <w:b/>
          <w:color w:val="auto"/>
          <w:sz w:val="21"/>
          <w:szCs w:val="21"/>
          <w:highlight w:val="none"/>
        </w:rPr>
        <w:t>据项目实际情况和项目采购需求自行编制】（</w:t>
      </w:r>
      <w:r>
        <w:rPr>
          <w:rFonts w:hint="default" w:ascii="Times New Roman" w:hAnsi="Times New Roman" w:cs="Times New Roman"/>
          <w:bCs/>
          <w:color w:val="auto"/>
          <w:sz w:val="21"/>
          <w:szCs w:val="21"/>
          <w:highlight w:val="none"/>
        </w:rPr>
        <w:t>格式见附件，</w:t>
      </w:r>
      <w:r>
        <w:rPr>
          <w:rFonts w:hint="default" w:ascii="Times New Roman" w:hAnsi="Times New Roman" w:cs="Times New Roman"/>
          <w:b/>
          <w:color w:val="auto"/>
          <w:sz w:val="21"/>
          <w:szCs w:val="21"/>
          <w:highlight w:val="none"/>
        </w:rPr>
        <w:t>必须提供）；</w:t>
      </w:r>
    </w:p>
    <w:p w14:paraId="29721D2F">
      <w:pPr>
        <w:tabs>
          <w:tab w:val="left" w:pos="1305"/>
        </w:tabs>
        <w:spacing w:line="360" w:lineRule="auto"/>
        <w:ind w:firstLine="420" w:firstLineChars="200"/>
        <w:rPr>
          <w:rFonts w:hint="default" w:ascii="Times New Roman" w:hAnsi="Times New Roman" w:cs="Times New Roman"/>
          <w:b/>
          <w:color w:val="auto"/>
          <w:sz w:val="21"/>
          <w:szCs w:val="21"/>
          <w:highlight w:val="none"/>
        </w:rPr>
      </w:pP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lang w:val="en-US" w:eastAsia="zh-CN"/>
        </w:rPr>
        <w:t>2</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竞标人的服务承诺书</w:t>
      </w:r>
      <w:r>
        <w:rPr>
          <w:rFonts w:hint="default" w:ascii="Times New Roman" w:hAnsi="Times New Roman" w:cs="Times New Roman"/>
          <w:b/>
          <w:color w:val="auto"/>
          <w:sz w:val="21"/>
          <w:szCs w:val="21"/>
          <w:highlight w:val="none"/>
        </w:rPr>
        <w:t>（由竞标人根据项目实际情况和项目采购需求自行编制）（</w:t>
      </w:r>
      <w:r>
        <w:rPr>
          <w:rFonts w:hint="default" w:ascii="Times New Roman" w:hAnsi="Times New Roman" w:cs="Times New Roman"/>
          <w:bCs/>
          <w:color w:val="auto"/>
          <w:sz w:val="21"/>
          <w:szCs w:val="21"/>
          <w:highlight w:val="none"/>
        </w:rPr>
        <w:t>格式见附件，</w:t>
      </w:r>
      <w:r>
        <w:rPr>
          <w:rFonts w:hint="default" w:ascii="Times New Roman" w:hAnsi="Times New Roman" w:cs="Times New Roman"/>
          <w:b/>
          <w:color w:val="auto"/>
          <w:sz w:val="21"/>
          <w:szCs w:val="21"/>
          <w:highlight w:val="none"/>
        </w:rPr>
        <w:t>必须提供）</w:t>
      </w:r>
    </w:p>
    <w:p w14:paraId="0617CD05">
      <w:pPr>
        <w:tabs>
          <w:tab w:val="left" w:pos="1305"/>
        </w:tabs>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项目实施主要人员一览表（</w:t>
      </w:r>
      <w:r>
        <w:rPr>
          <w:rFonts w:hint="default" w:ascii="Times New Roman" w:hAnsi="Times New Roman" w:cs="Times New Roman"/>
          <w:b/>
          <w:color w:val="auto"/>
          <w:sz w:val="21"/>
          <w:szCs w:val="21"/>
          <w:highlight w:val="none"/>
        </w:rPr>
        <w:t>必须提供</w:t>
      </w:r>
      <w:r>
        <w:rPr>
          <w:rFonts w:hint="default" w:ascii="Times New Roman" w:hAnsi="Times New Roman" w:cs="Times New Roman"/>
          <w:color w:val="auto"/>
          <w:sz w:val="21"/>
          <w:szCs w:val="21"/>
          <w:highlight w:val="none"/>
        </w:rPr>
        <w:t>）；</w:t>
      </w:r>
    </w:p>
    <w:p w14:paraId="301182B5">
      <w:pPr>
        <w:pStyle w:val="17"/>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竞标人可结合本项目的评标办法视自身情况自行提交相关证明材料</w:t>
      </w:r>
      <w:r>
        <w:rPr>
          <w:rFonts w:hint="default" w:ascii="Times New Roman" w:hAnsi="Times New Roman" w:cs="Times New Roman"/>
          <w:b/>
          <w:color w:val="auto"/>
          <w:sz w:val="21"/>
          <w:szCs w:val="21"/>
          <w:highlight w:val="none"/>
        </w:rPr>
        <w:t>（如有，请提供）</w:t>
      </w:r>
    </w:p>
    <w:p w14:paraId="07408E7F">
      <w:pPr>
        <w:pStyle w:val="17"/>
        <w:jc w:val="both"/>
        <w:rPr>
          <w:rFonts w:hint="default" w:ascii="Times New Roman" w:hAnsi="Times New Roman" w:eastAsia="隶书" w:cs="Times New Roman"/>
          <w:color w:val="auto"/>
          <w:sz w:val="44"/>
          <w:highlight w:val="none"/>
        </w:rPr>
      </w:pPr>
      <w:bookmarkStart w:id="51" w:name="_Toc15275"/>
    </w:p>
    <w:p w14:paraId="35C7711E">
      <w:pPr>
        <w:pStyle w:val="17"/>
        <w:jc w:val="both"/>
        <w:rPr>
          <w:rFonts w:hint="default" w:ascii="Times New Roman" w:hAnsi="Times New Roman" w:eastAsia="隶书" w:cs="Times New Roman"/>
          <w:color w:val="auto"/>
          <w:sz w:val="44"/>
          <w:highlight w:val="none"/>
        </w:rPr>
      </w:pPr>
    </w:p>
    <w:p w14:paraId="0B687CD2">
      <w:pPr>
        <w:pStyle w:val="17"/>
        <w:jc w:val="left"/>
        <w:rPr>
          <w:rFonts w:hint="default" w:ascii="Times New Roman" w:hAnsi="Times New Roman" w:eastAsia="隶书" w:cs="Times New Roman"/>
          <w:color w:val="auto"/>
          <w:sz w:val="44"/>
          <w:highlight w:val="none"/>
        </w:rPr>
      </w:pPr>
    </w:p>
    <w:p w14:paraId="25CB5F4A">
      <w:pPr>
        <w:pStyle w:val="17"/>
        <w:jc w:val="left"/>
        <w:rPr>
          <w:rFonts w:hint="default" w:ascii="Times New Roman" w:hAnsi="Times New Roman" w:eastAsia="隶书" w:cs="Times New Roman"/>
          <w:color w:val="auto"/>
          <w:sz w:val="44"/>
          <w:highlight w:val="none"/>
        </w:rPr>
      </w:pPr>
    </w:p>
    <w:p w14:paraId="1D390AF2">
      <w:pPr>
        <w:pStyle w:val="17"/>
        <w:jc w:val="left"/>
        <w:rPr>
          <w:rFonts w:hint="default" w:ascii="Times New Roman" w:hAnsi="Times New Roman" w:eastAsia="隶书" w:cs="Times New Roman"/>
          <w:color w:val="auto"/>
          <w:sz w:val="44"/>
          <w:highlight w:val="none"/>
        </w:rPr>
      </w:pPr>
    </w:p>
    <w:p w14:paraId="3340D8F3">
      <w:pPr>
        <w:pStyle w:val="17"/>
        <w:jc w:val="left"/>
        <w:rPr>
          <w:rFonts w:hint="default" w:ascii="Times New Roman" w:hAnsi="Times New Roman" w:eastAsia="隶书" w:cs="Times New Roman"/>
          <w:color w:val="auto"/>
          <w:sz w:val="44"/>
          <w:highlight w:val="none"/>
        </w:rPr>
      </w:pPr>
    </w:p>
    <w:p w14:paraId="71268137">
      <w:pPr>
        <w:pStyle w:val="17"/>
        <w:jc w:val="left"/>
        <w:rPr>
          <w:rFonts w:hint="default" w:ascii="Times New Roman" w:hAnsi="Times New Roman" w:eastAsia="隶书" w:cs="Times New Roman"/>
          <w:color w:val="auto"/>
          <w:sz w:val="44"/>
          <w:highlight w:val="none"/>
        </w:rPr>
      </w:pPr>
    </w:p>
    <w:p w14:paraId="2EFA2621">
      <w:pPr>
        <w:pStyle w:val="17"/>
        <w:jc w:val="left"/>
        <w:rPr>
          <w:rFonts w:hint="default" w:ascii="Times New Roman" w:hAnsi="Times New Roman" w:eastAsia="隶书" w:cs="Times New Roman"/>
          <w:color w:val="auto"/>
          <w:sz w:val="44"/>
          <w:highlight w:val="none"/>
        </w:rPr>
      </w:pPr>
    </w:p>
    <w:p w14:paraId="7702544C">
      <w:pPr>
        <w:pStyle w:val="17"/>
        <w:jc w:val="left"/>
        <w:rPr>
          <w:rFonts w:hint="default" w:ascii="Times New Roman" w:hAnsi="Times New Roman" w:eastAsia="隶书" w:cs="Times New Roman"/>
          <w:color w:val="auto"/>
          <w:sz w:val="44"/>
          <w:highlight w:val="none"/>
        </w:rPr>
      </w:pPr>
    </w:p>
    <w:p w14:paraId="4EC7F330">
      <w:pPr>
        <w:pStyle w:val="17"/>
        <w:jc w:val="left"/>
        <w:rPr>
          <w:rFonts w:hint="default" w:ascii="Times New Roman" w:hAnsi="Times New Roman" w:eastAsia="隶书" w:cs="Times New Roman"/>
          <w:color w:val="auto"/>
          <w:sz w:val="44"/>
          <w:highlight w:val="none"/>
        </w:rPr>
      </w:pPr>
    </w:p>
    <w:p w14:paraId="7386BC6A">
      <w:pPr>
        <w:pStyle w:val="17"/>
        <w:jc w:val="left"/>
        <w:rPr>
          <w:rFonts w:hint="default" w:ascii="Times New Roman" w:hAnsi="Times New Roman" w:eastAsia="隶书" w:cs="Times New Roman"/>
          <w:color w:val="auto"/>
          <w:sz w:val="44"/>
          <w:highlight w:val="none"/>
        </w:rPr>
      </w:pPr>
    </w:p>
    <w:p w14:paraId="2E08D037">
      <w:pPr>
        <w:pStyle w:val="17"/>
        <w:jc w:val="left"/>
        <w:rPr>
          <w:rFonts w:hint="default" w:ascii="Times New Roman" w:hAnsi="Times New Roman" w:eastAsia="隶书" w:cs="Times New Roman"/>
          <w:color w:val="auto"/>
          <w:sz w:val="44"/>
          <w:highlight w:val="none"/>
        </w:rPr>
      </w:pPr>
    </w:p>
    <w:p w14:paraId="3AC37929">
      <w:pPr>
        <w:pStyle w:val="17"/>
        <w:jc w:val="left"/>
        <w:rPr>
          <w:rFonts w:hint="default" w:ascii="Times New Roman" w:hAnsi="Times New Roman" w:eastAsia="隶书" w:cs="Times New Roman"/>
          <w:color w:val="auto"/>
          <w:sz w:val="44"/>
          <w:highlight w:val="none"/>
        </w:rPr>
      </w:pPr>
    </w:p>
    <w:p w14:paraId="22B36C11">
      <w:pPr>
        <w:pStyle w:val="17"/>
        <w:jc w:val="left"/>
        <w:rPr>
          <w:rFonts w:hint="default" w:ascii="Times New Roman" w:hAnsi="Times New Roman" w:eastAsia="隶书" w:cs="Times New Roman"/>
          <w:color w:val="auto"/>
          <w:sz w:val="44"/>
          <w:highlight w:val="none"/>
        </w:rPr>
      </w:pPr>
    </w:p>
    <w:p w14:paraId="41B24AC7">
      <w:pPr>
        <w:rPr>
          <w:rFonts w:hint="default" w:ascii="Times New Roman" w:hAnsi="Times New Roman" w:cs="Times New Roman"/>
          <w:color w:val="auto"/>
          <w:highlight w:val="none"/>
        </w:rPr>
      </w:pPr>
    </w:p>
    <w:p w14:paraId="01152D52">
      <w:pPr>
        <w:rPr>
          <w:rFonts w:hint="default" w:ascii="Times New Roman" w:hAnsi="Times New Roman" w:cs="Times New Roman"/>
          <w:color w:val="auto"/>
          <w:highlight w:val="none"/>
        </w:rPr>
      </w:pPr>
    </w:p>
    <w:p w14:paraId="6D62370B">
      <w:pPr>
        <w:rPr>
          <w:rFonts w:hint="default" w:ascii="Times New Roman" w:hAnsi="Times New Roman" w:cs="Times New Roman"/>
          <w:color w:val="auto"/>
          <w:highlight w:val="none"/>
        </w:rPr>
      </w:pPr>
    </w:p>
    <w:p w14:paraId="3138A81D">
      <w:pPr>
        <w:rPr>
          <w:rFonts w:hint="default" w:ascii="Times New Roman" w:hAnsi="Times New Roman" w:eastAsia="隶书" w:cs="Times New Roman"/>
          <w:color w:val="auto"/>
          <w:sz w:val="44"/>
          <w:highlight w:val="none"/>
        </w:rPr>
      </w:pPr>
      <w:r>
        <w:rPr>
          <w:rFonts w:hint="default" w:ascii="Times New Roman" w:hAnsi="Times New Roman" w:eastAsia="隶书" w:cs="Times New Roman"/>
          <w:color w:val="auto"/>
          <w:sz w:val="44"/>
          <w:highlight w:val="none"/>
        </w:rPr>
        <w:br w:type="page"/>
      </w:r>
    </w:p>
    <w:p w14:paraId="39C83BF1">
      <w:pPr>
        <w:pStyle w:val="17"/>
        <w:jc w:val="center"/>
        <w:rPr>
          <w:rFonts w:hint="default" w:ascii="Times New Roman" w:hAnsi="Times New Roman" w:eastAsia="隶书" w:cs="Times New Roman"/>
          <w:color w:val="auto"/>
          <w:sz w:val="44"/>
          <w:highlight w:val="none"/>
        </w:rPr>
      </w:pPr>
      <w:r>
        <w:rPr>
          <w:rFonts w:hint="default" w:ascii="Times New Roman" w:hAnsi="Times New Roman" w:eastAsia="隶书" w:cs="Times New Roman"/>
          <w:color w:val="auto"/>
          <w:sz w:val="44"/>
          <w:highlight w:val="none"/>
        </w:rPr>
        <w:t>第五章  评标办法</w:t>
      </w:r>
      <w:bookmarkEnd w:id="51"/>
    </w:p>
    <w:p w14:paraId="0616114E">
      <w:pPr>
        <w:pStyle w:val="17"/>
        <w:spacing w:line="480" w:lineRule="exact"/>
        <w:ind w:firstLine="4188" w:firstLineChars="1490"/>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评标办法</w:t>
      </w:r>
    </w:p>
    <w:p w14:paraId="55D9B856">
      <w:pPr>
        <w:snapToGrid w:val="0"/>
        <w:spacing w:line="400" w:lineRule="exac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一、评标原则：</w:t>
      </w:r>
    </w:p>
    <w:p w14:paraId="37C3B654">
      <w:pPr>
        <w:snapToGrid w:val="0"/>
        <w:spacing w:line="40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1、坚持公开、公平、公正、适用合理原则。</w:t>
      </w:r>
    </w:p>
    <w:p w14:paraId="6EFAA3CF">
      <w:pPr>
        <w:tabs>
          <w:tab w:val="left" w:pos="1440"/>
        </w:tabs>
        <w:spacing w:line="36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2、评标专家确定方式：开标前在政采云评标专家库</w:t>
      </w:r>
      <w:r>
        <w:rPr>
          <w:rFonts w:hint="default" w:ascii="Times New Roman" w:hAnsi="Times New Roman" w:cs="Times New Roman"/>
          <w:color w:val="auto"/>
          <w:szCs w:val="21"/>
          <w:highlight w:val="none"/>
          <w:u w:val="single"/>
        </w:rPr>
        <w:t>随机抽取</w:t>
      </w:r>
      <w:r>
        <w:rPr>
          <w:rFonts w:hint="default" w:ascii="Times New Roman" w:hAnsi="Times New Roman" w:cs="Times New Roman"/>
          <w:color w:val="auto"/>
          <w:szCs w:val="21"/>
          <w:highlight w:val="none"/>
        </w:rPr>
        <w:t>确定。</w:t>
      </w:r>
      <w:r>
        <w:rPr>
          <w:rFonts w:hint="default" w:ascii="Times New Roman" w:hAnsi="Times New Roman" w:cs="Times New Roman"/>
          <w:color w:val="auto"/>
          <w:highlight w:val="none"/>
        </w:rPr>
        <w:t>评标委员会构成：</w:t>
      </w:r>
      <w:r>
        <w:rPr>
          <w:rFonts w:hint="default" w:ascii="Times New Roman" w:hAnsi="Times New Roman" w:cs="Times New Roman"/>
          <w:color w:val="auto"/>
          <w:highlight w:val="none"/>
          <w:u w:val="single"/>
        </w:rPr>
        <w:t xml:space="preserve"> 3 </w:t>
      </w:r>
      <w:r>
        <w:rPr>
          <w:rFonts w:hint="default" w:ascii="Times New Roman" w:hAnsi="Times New Roman" w:cs="Times New Roman"/>
          <w:color w:val="auto"/>
          <w:highlight w:val="none"/>
        </w:rPr>
        <w:t>人，其中采购人代表</w:t>
      </w:r>
      <w:r>
        <w:rPr>
          <w:rFonts w:hint="default" w:ascii="Times New Roman" w:hAnsi="Times New Roman" w:cs="Times New Roman"/>
          <w:color w:val="auto"/>
          <w:highlight w:val="none"/>
          <w:u w:val="single"/>
        </w:rPr>
        <w:t xml:space="preserve"> 1 </w:t>
      </w:r>
      <w:r>
        <w:rPr>
          <w:rFonts w:hint="default" w:ascii="Times New Roman" w:hAnsi="Times New Roman" w:cs="Times New Roman"/>
          <w:color w:val="auto"/>
          <w:highlight w:val="none"/>
        </w:rPr>
        <w:t>人，专家</w:t>
      </w:r>
      <w:r>
        <w:rPr>
          <w:rFonts w:hint="default" w:ascii="Times New Roman" w:hAnsi="Times New Roman" w:cs="Times New Roman"/>
          <w:color w:val="auto"/>
          <w:highlight w:val="none"/>
          <w:u w:val="single"/>
        </w:rPr>
        <w:t xml:space="preserve"> 2</w:t>
      </w:r>
      <w:r>
        <w:rPr>
          <w:rFonts w:hint="default" w:ascii="Times New Roman" w:hAnsi="Times New Roman" w:cs="Times New Roman"/>
          <w:color w:val="auto"/>
          <w:highlight w:val="none"/>
        </w:rPr>
        <w:t>人。</w:t>
      </w:r>
      <w:r>
        <w:rPr>
          <w:rFonts w:hint="default" w:ascii="Times New Roman" w:hAnsi="Times New Roman" w:cs="Times New Roman"/>
          <w:color w:val="auto"/>
          <w:szCs w:val="21"/>
          <w:highlight w:val="none"/>
        </w:rPr>
        <w:t>评标小组以竞争性</w:t>
      </w:r>
      <w:r>
        <w:rPr>
          <w:rFonts w:hint="default" w:ascii="Times New Roman" w:hAnsi="Times New Roman" w:cs="Times New Roman"/>
          <w:bCs/>
          <w:color w:val="auto"/>
          <w:szCs w:val="21"/>
          <w:highlight w:val="none"/>
        </w:rPr>
        <w:t>磋商</w:t>
      </w:r>
      <w:r>
        <w:rPr>
          <w:rFonts w:hint="default" w:ascii="Times New Roman" w:hAnsi="Times New Roman" w:cs="Times New Roman"/>
          <w:color w:val="auto"/>
          <w:szCs w:val="21"/>
          <w:highlight w:val="none"/>
        </w:rPr>
        <w:t>文件、磋商响应文件为评标依据，本项目采用</w:t>
      </w:r>
      <w:r>
        <w:rPr>
          <w:rFonts w:hint="default" w:ascii="Times New Roman" w:hAnsi="Times New Roman" w:cs="Times New Roman"/>
          <w:b/>
          <w:bCs/>
          <w:color w:val="auto"/>
          <w:szCs w:val="21"/>
          <w:highlight w:val="none"/>
          <w:u w:val="single"/>
        </w:rPr>
        <w:t>综合评分法</w:t>
      </w:r>
      <w:r>
        <w:rPr>
          <w:rFonts w:hint="default" w:ascii="Times New Roman" w:hAnsi="Times New Roman" w:cs="Times New Roman"/>
          <w:bCs/>
          <w:color w:val="auto"/>
          <w:szCs w:val="21"/>
          <w:highlight w:val="none"/>
        </w:rPr>
        <w:t>进行</w:t>
      </w:r>
      <w:r>
        <w:rPr>
          <w:rFonts w:hint="default" w:ascii="Times New Roman" w:hAnsi="Times New Roman" w:cs="Times New Roman"/>
          <w:color w:val="auto"/>
          <w:szCs w:val="21"/>
          <w:highlight w:val="none"/>
        </w:rPr>
        <w:t>评标。</w:t>
      </w:r>
    </w:p>
    <w:p w14:paraId="58CEEDF2">
      <w:pPr>
        <w:pStyle w:val="4"/>
        <w:spacing w:line="40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w:t>
      </w:r>
      <w:bookmarkStart w:id="52" w:name="_Toc425433411"/>
      <w:r>
        <w:rPr>
          <w:rFonts w:hint="default" w:ascii="Times New Roman" w:hAnsi="Times New Roman" w:cs="Times New Roman"/>
          <w:color w:val="auto"/>
          <w:szCs w:val="21"/>
          <w:highlight w:val="none"/>
        </w:rPr>
        <w:t>评标办法前附表</w:t>
      </w:r>
      <w:bookmarkEnd w:id="52"/>
      <w:r>
        <w:rPr>
          <w:rFonts w:hint="default" w:ascii="Times New Roman" w:hAnsi="Times New Roman" w:cs="Times New Roman"/>
          <w:color w:val="auto"/>
          <w:szCs w:val="21"/>
          <w:highlight w:val="none"/>
        </w:rPr>
        <w:t>：</w:t>
      </w:r>
    </w:p>
    <w:tbl>
      <w:tblPr>
        <w:tblStyle w:val="33"/>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95"/>
        <w:gridCol w:w="2610"/>
        <w:gridCol w:w="6236"/>
      </w:tblGrid>
      <w:tr w14:paraId="2D0B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99" w:type="dxa"/>
            <w:gridSpan w:val="2"/>
            <w:vAlign w:val="center"/>
          </w:tcPr>
          <w:p w14:paraId="48CDDBEF">
            <w:pPr>
              <w:bidi w:val="0"/>
              <w:rPr>
                <w:rFonts w:hint="default"/>
                <w:color w:val="auto"/>
                <w:highlight w:val="none"/>
              </w:rPr>
            </w:pPr>
            <w:r>
              <w:rPr>
                <w:rFonts w:hint="default"/>
                <w:color w:val="auto"/>
                <w:highlight w:val="none"/>
              </w:rPr>
              <w:t>序号</w:t>
            </w:r>
          </w:p>
        </w:tc>
        <w:tc>
          <w:tcPr>
            <w:tcW w:w="2610" w:type="dxa"/>
            <w:vAlign w:val="center"/>
          </w:tcPr>
          <w:p w14:paraId="184FA3C8">
            <w:pPr>
              <w:bidi w:val="0"/>
              <w:rPr>
                <w:rFonts w:hint="default"/>
                <w:color w:val="auto"/>
                <w:highlight w:val="none"/>
              </w:rPr>
            </w:pPr>
            <w:r>
              <w:rPr>
                <w:rFonts w:hint="default"/>
                <w:color w:val="auto"/>
                <w:highlight w:val="none"/>
              </w:rPr>
              <w:t>评审因素</w:t>
            </w:r>
          </w:p>
        </w:tc>
        <w:tc>
          <w:tcPr>
            <w:tcW w:w="6236" w:type="dxa"/>
            <w:vAlign w:val="center"/>
          </w:tcPr>
          <w:p w14:paraId="3F2D2B7C">
            <w:pPr>
              <w:bidi w:val="0"/>
              <w:rPr>
                <w:rFonts w:hint="default"/>
                <w:color w:val="auto"/>
                <w:highlight w:val="none"/>
              </w:rPr>
            </w:pPr>
            <w:r>
              <w:rPr>
                <w:rFonts w:hint="default"/>
                <w:color w:val="auto"/>
                <w:highlight w:val="none"/>
              </w:rPr>
              <w:t>评审标准</w:t>
            </w:r>
          </w:p>
        </w:tc>
      </w:tr>
      <w:tr w14:paraId="7EC5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vMerge w:val="restart"/>
            <w:vAlign w:val="center"/>
          </w:tcPr>
          <w:p w14:paraId="504683E8">
            <w:pPr>
              <w:bidi w:val="0"/>
              <w:rPr>
                <w:rFonts w:hint="default"/>
                <w:color w:val="auto"/>
                <w:highlight w:val="none"/>
              </w:rPr>
            </w:pPr>
            <w:r>
              <w:rPr>
                <w:rFonts w:hint="default"/>
                <w:color w:val="auto"/>
                <w:highlight w:val="none"/>
              </w:rPr>
              <w:t>1</w:t>
            </w:r>
          </w:p>
        </w:tc>
        <w:tc>
          <w:tcPr>
            <w:tcW w:w="795" w:type="dxa"/>
            <w:vMerge w:val="restart"/>
            <w:vAlign w:val="center"/>
          </w:tcPr>
          <w:p w14:paraId="62AD39AD">
            <w:pPr>
              <w:bidi w:val="0"/>
              <w:rPr>
                <w:rFonts w:hint="default"/>
                <w:color w:val="auto"/>
                <w:highlight w:val="none"/>
              </w:rPr>
            </w:pPr>
            <w:r>
              <w:rPr>
                <w:rFonts w:hint="default"/>
                <w:color w:val="auto"/>
                <w:highlight w:val="none"/>
              </w:rPr>
              <w:t>资格评审标准</w:t>
            </w:r>
          </w:p>
        </w:tc>
        <w:tc>
          <w:tcPr>
            <w:tcW w:w="2610" w:type="dxa"/>
            <w:vAlign w:val="center"/>
          </w:tcPr>
          <w:p w14:paraId="2A3F9DBB">
            <w:pPr>
              <w:bidi w:val="0"/>
              <w:rPr>
                <w:rFonts w:hint="default"/>
                <w:color w:val="auto"/>
                <w:highlight w:val="none"/>
              </w:rPr>
            </w:pPr>
            <w:r>
              <w:rPr>
                <w:rFonts w:hint="eastAsia"/>
                <w:color w:val="auto"/>
                <w:highlight w:val="none"/>
                <w:lang w:val="en-US" w:eastAsia="zh-CN"/>
              </w:rPr>
              <w:t>特定资格要求</w:t>
            </w:r>
          </w:p>
        </w:tc>
        <w:tc>
          <w:tcPr>
            <w:tcW w:w="6236" w:type="dxa"/>
            <w:vAlign w:val="center"/>
          </w:tcPr>
          <w:p w14:paraId="4B013AD9">
            <w:pPr>
              <w:pStyle w:val="17"/>
              <w:bidi w:val="0"/>
              <w:spacing w:line="440" w:lineRule="exact"/>
              <w:ind w:firstLine="0"/>
              <w:rPr>
                <w:rFonts w:hint="default"/>
                <w:color w:val="auto"/>
                <w:highlight w:val="none"/>
              </w:rPr>
            </w:pPr>
            <w:r>
              <w:rPr>
                <w:rFonts w:hint="eastAsia" w:ascii="Times New Roman" w:hAnsi="Times New Roman" w:cs="Times New Roman"/>
                <w:color w:val="auto"/>
                <w:highlight w:val="none"/>
                <w:lang w:val="en-US" w:eastAsia="zh-CN"/>
              </w:rPr>
              <w:t>提供</w:t>
            </w:r>
            <w:r>
              <w:rPr>
                <w:rFonts w:hint="default" w:ascii="Times New Roman" w:hAnsi="Times New Roman" w:cs="Times New Roman"/>
                <w:color w:val="auto"/>
                <w:highlight w:val="none"/>
                <w:lang w:val="en-US" w:eastAsia="zh-CN"/>
              </w:rPr>
              <w:t>有效的“省级及以上检验检测机构资质认定证书（CMA）复印件”同时要加盖单位公章（必须提供）</w:t>
            </w:r>
          </w:p>
        </w:tc>
      </w:tr>
      <w:tr w14:paraId="76AF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vMerge w:val="continue"/>
            <w:vAlign w:val="center"/>
          </w:tcPr>
          <w:p w14:paraId="11B1AF6C">
            <w:pPr>
              <w:bidi w:val="0"/>
              <w:rPr>
                <w:rFonts w:hint="default"/>
                <w:color w:val="auto"/>
                <w:highlight w:val="none"/>
              </w:rPr>
            </w:pPr>
          </w:p>
        </w:tc>
        <w:tc>
          <w:tcPr>
            <w:tcW w:w="795" w:type="dxa"/>
            <w:vMerge w:val="continue"/>
            <w:vAlign w:val="center"/>
          </w:tcPr>
          <w:p w14:paraId="21081BD7">
            <w:pPr>
              <w:bidi w:val="0"/>
              <w:rPr>
                <w:rFonts w:hint="default"/>
                <w:color w:val="auto"/>
                <w:highlight w:val="none"/>
              </w:rPr>
            </w:pPr>
          </w:p>
        </w:tc>
        <w:tc>
          <w:tcPr>
            <w:tcW w:w="2610" w:type="dxa"/>
            <w:vAlign w:val="center"/>
          </w:tcPr>
          <w:p w14:paraId="6385E791">
            <w:pPr>
              <w:bidi w:val="0"/>
              <w:rPr>
                <w:rFonts w:hint="default" w:eastAsia="宋体"/>
                <w:color w:val="auto"/>
                <w:highlight w:val="none"/>
                <w:lang w:val="en-US" w:eastAsia="zh-CN"/>
              </w:rPr>
            </w:pPr>
            <w:r>
              <w:rPr>
                <w:rFonts w:hint="default"/>
                <w:color w:val="auto"/>
                <w:highlight w:val="none"/>
              </w:rPr>
              <w:t>法定代表人(或负责人)身份证明或授权委托人身份证</w:t>
            </w:r>
          </w:p>
        </w:tc>
        <w:tc>
          <w:tcPr>
            <w:tcW w:w="6236" w:type="dxa"/>
            <w:vAlign w:val="center"/>
          </w:tcPr>
          <w:p w14:paraId="3EFE5583">
            <w:pPr>
              <w:bidi w:val="0"/>
              <w:rPr>
                <w:rFonts w:hint="default"/>
                <w:color w:val="auto"/>
                <w:highlight w:val="none"/>
              </w:rPr>
            </w:pPr>
            <w:r>
              <w:rPr>
                <w:rFonts w:hint="default"/>
                <w:color w:val="auto"/>
                <w:highlight w:val="none"/>
              </w:rPr>
              <w:t>有效的法定代表人(或负责人)身份证明（附身份证复印件）或法人(或负责人)授权委托书（附身份证复印件，授权代理时提供）</w:t>
            </w:r>
          </w:p>
        </w:tc>
      </w:tr>
      <w:tr w14:paraId="3561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vMerge w:val="continue"/>
            <w:vAlign w:val="center"/>
          </w:tcPr>
          <w:p w14:paraId="40E8EED8">
            <w:pPr>
              <w:bidi w:val="0"/>
              <w:rPr>
                <w:rFonts w:hint="default"/>
                <w:color w:val="auto"/>
                <w:highlight w:val="none"/>
              </w:rPr>
            </w:pPr>
          </w:p>
        </w:tc>
        <w:tc>
          <w:tcPr>
            <w:tcW w:w="795" w:type="dxa"/>
            <w:vMerge w:val="continue"/>
            <w:vAlign w:val="center"/>
          </w:tcPr>
          <w:p w14:paraId="4CAB9D4F">
            <w:pPr>
              <w:bidi w:val="0"/>
              <w:rPr>
                <w:rFonts w:hint="default"/>
                <w:color w:val="auto"/>
                <w:highlight w:val="none"/>
              </w:rPr>
            </w:pPr>
          </w:p>
        </w:tc>
        <w:tc>
          <w:tcPr>
            <w:tcW w:w="2610" w:type="dxa"/>
            <w:shd w:val="clear" w:color="auto" w:fill="auto"/>
            <w:vAlign w:val="center"/>
          </w:tcPr>
          <w:p w14:paraId="3F304692">
            <w:pPr>
              <w:bidi w:val="0"/>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贺州市政府采购供应商信用承诺函</w:t>
            </w:r>
          </w:p>
        </w:tc>
        <w:tc>
          <w:tcPr>
            <w:tcW w:w="6236" w:type="dxa"/>
            <w:shd w:val="clear" w:color="auto" w:fill="auto"/>
            <w:vAlign w:val="top"/>
          </w:tcPr>
          <w:p w14:paraId="352229D3">
            <w:pPr>
              <w:bidi w:val="0"/>
              <w:rPr>
                <w:rFonts w:hint="eastAsia" w:ascii="Times New Roman" w:hAnsi="Times New Roman" w:eastAsia="宋体" w:cs="Times New Roman"/>
                <w:color w:val="auto"/>
                <w:kern w:val="2"/>
                <w:sz w:val="21"/>
                <w:szCs w:val="24"/>
                <w:highlight w:val="none"/>
                <w:lang w:val="en-US" w:eastAsia="zh-CN" w:bidi="ar-SA"/>
              </w:rPr>
            </w:pPr>
            <w:r>
              <w:rPr>
                <w:rFonts w:hint="default"/>
                <w:color w:val="auto"/>
                <w:highlight w:val="none"/>
              </w:rPr>
              <w:t>提供</w:t>
            </w:r>
            <w:r>
              <w:rPr>
                <w:rFonts w:hint="eastAsia" w:ascii="宋体" w:hAnsi="宋体" w:cs="宋体"/>
                <w:color w:val="auto"/>
                <w:highlight w:val="none"/>
              </w:rPr>
              <w:t>贺州市政府采购供应商信用承诺函</w:t>
            </w:r>
            <w:r>
              <w:rPr>
                <w:rFonts w:hint="eastAsia" w:ascii="宋体" w:hAnsi="宋体" w:cs="宋体"/>
                <w:color w:val="auto"/>
                <w:highlight w:val="none"/>
                <w:lang w:eastAsia="zh-CN"/>
              </w:rPr>
              <w:t>；</w:t>
            </w:r>
          </w:p>
        </w:tc>
      </w:tr>
      <w:tr w14:paraId="64F0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4" w:type="dxa"/>
            <w:vMerge w:val="continue"/>
            <w:vAlign w:val="center"/>
          </w:tcPr>
          <w:p w14:paraId="7FD27637">
            <w:pPr>
              <w:bidi w:val="0"/>
              <w:rPr>
                <w:rFonts w:hint="default"/>
                <w:color w:val="auto"/>
                <w:highlight w:val="none"/>
              </w:rPr>
            </w:pPr>
          </w:p>
        </w:tc>
        <w:tc>
          <w:tcPr>
            <w:tcW w:w="795" w:type="dxa"/>
            <w:vMerge w:val="continue"/>
            <w:vAlign w:val="center"/>
          </w:tcPr>
          <w:p w14:paraId="78615C3A">
            <w:pPr>
              <w:bidi w:val="0"/>
              <w:rPr>
                <w:rFonts w:hint="default"/>
                <w:color w:val="auto"/>
                <w:highlight w:val="none"/>
              </w:rPr>
            </w:pPr>
          </w:p>
        </w:tc>
        <w:tc>
          <w:tcPr>
            <w:tcW w:w="2610" w:type="dxa"/>
            <w:vAlign w:val="center"/>
          </w:tcPr>
          <w:p w14:paraId="3BF9531B">
            <w:pPr>
              <w:bidi w:val="0"/>
              <w:rPr>
                <w:rFonts w:hint="default"/>
                <w:color w:val="auto"/>
                <w:highlight w:val="none"/>
              </w:rPr>
            </w:pPr>
            <w:r>
              <w:rPr>
                <w:rFonts w:hint="eastAsia"/>
                <w:color w:val="auto"/>
                <w:highlight w:val="none"/>
                <w:lang w:val="en-US" w:eastAsia="zh-CN"/>
              </w:rPr>
              <w:t>政府采购政策资格要求</w:t>
            </w:r>
          </w:p>
        </w:tc>
        <w:tc>
          <w:tcPr>
            <w:tcW w:w="6236" w:type="dxa"/>
            <w:vAlign w:val="center"/>
          </w:tcPr>
          <w:p w14:paraId="28B97CF3">
            <w:pPr>
              <w:bidi w:val="0"/>
              <w:rPr>
                <w:rFonts w:hint="default"/>
                <w:color w:val="auto"/>
                <w:highlight w:val="none"/>
              </w:rPr>
            </w:pPr>
            <w:r>
              <w:rPr>
                <w:rFonts w:hint="eastAsia" w:ascii="Times New Roman" w:hAnsi="Times New Roman" w:cs="Times New Roman"/>
                <w:color w:val="auto"/>
                <w:highlight w:val="none"/>
                <w:lang w:val="en-US" w:eastAsia="zh-CN"/>
              </w:rPr>
              <w:t>提供中小企业声明函；</w:t>
            </w:r>
          </w:p>
        </w:tc>
      </w:tr>
      <w:tr w14:paraId="5CF1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Merge w:val="restart"/>
            <w:vAlign w:val="center"/>
          </w:tcPr>
          <w:p w14:paraId="3401B19F">
            <w:pPr>
              <w:bidi w:val="0"/>
              <w:rPr>
                <w:rFonts w:hint="default"/>
                <w:color w:val="auto"/>
                <w:highlight w:val="none"/>
              </w:rPr>
            </w:pPr>
            <w:r>
              <w:rPr>
                <w:rFonts w:hint="default"/>
                <w:color w:val="auto"/>
                <w:highlight w:val="none"/>
              </w:rPr>
              <w:t>2</w:t>
            </w:r>
          </w:p>
        </w:tc>
        <w:tc>
          <w:tcPr>
            <w:tcW w:w="795" w:type="dxa"/>
            <w:vMerge w:val="restart"/>
            <w:vAlign w:val="center"/>
          </w:tcPr>
          <w:p w14:paraId="3E61BBE9">
            <w:pPr>
              <w:bidi w:val="0"/>
              <w:rPr>
                <w:rFonts w:hint="default"/>
                <w:color w:val="auto"/>
                <w:highlight w:val="none"/>
              </w:rPr>
            </w:pPr>
            <w:r>
              <w:rPr>
                <w:rFonts w:hint="default"/>
                <w:color w:val="auto"/>
                <w:highlight w:val="none"/>
              </w:rPr>
              <w:t>符合性评审标准</w:t>
            </w:r>
          </w:p>
          <w:p w14:paraId="0939D51D">
            <w:pPr>
              <w:bidi w:val="0"/>
              <w:rPr>
                <w:rFonts w:hint="default"/>
                <w:color w:val="auto"/>
                <w:highlight w:val="none"/>
              </w:rPr>
            </w:pPr>
          </w:p>
        </w:tc>
        <w:tc>
          <w:tcPr>
            <w:tcW w:w="2610" w:type="dxa"/>
            <w:vAlign w:val="center"/>
          </w:tcPr>
          <w:p w14:paraId="5E65C98E">
            <w:pPr>
              <w:bidi w:val="0"/>
              <w:rPr>
                <w:rFonts w:hint="default"/>
                <w:color w:val="auto"/>
                <w:highlight w:val="none"/>
              </w:rPr>
            </w:pPr>
            <w:r>
              <w:rPr>
                <w:rFonts w:hint="default"/>
                <w:color w:val="auto"/>
                <w:highlight w:val="none"/>
              </w:rPr>
              <w:t>磋商人名称</w:t>
            </w:r>
          </w:p>
        </w:tc>
        <w:tc>
          <w:tcPr>
            <w:tcW w:w="6236" w:type="dxa"/>
            <w:vAlign w:val="center"/>
          </w:tcPr>
          <w:p w14:paraId="08BCFB66">
            <w:pPr>
              <w:bidi w:val="0"/>
              <w:rPr>
                <w:rFonts w:hint="default"/>
                <w:color w:val="auto"/>
                <w:highlight w:val="none"/>
              </w:rPr>
            </w:pPr>
            <w:r>
              <w:rPr>
                <w:rFonts w:hint="default"/>
                <w:color w:val="auto"/>
                <w:highlight w:val="none"/>
              </w:rPr>
              <w:t>与</w:t>
            </w:r>
            <w:r>
              <w:rPr>
                <w:rFonts w:hint="eastAsia"/>
                <w:color w:val="auto"/>
                <w:highlight w:val="none"/>
                <w:lang w:val="en-US" w:eastAsia="zh-CN"/>
              </w:rPr>
              <w:t>供应商公章</w:t>
            </w:r>
            <w:r>
              <w:rPr>
                <w:rFonts w:hint="default"/>
                <w:color w:val="auto"/>
                <w:highlight w:val="none"/>
              </w:rPr>
              <w:t>一致</w:t>
            </w:r>
          </w:p>
        </w:tc>
      </w:tr>
      <w:tr w14:paraId="1B2B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04" w:type="dxa"/>
            <w:vMerge w:val="continue"/>
            <w:vAlign w:val="center"/>
          </w:tcPr>
          <w:p w14:paraId="531F1F47">
            <w:pPr>
              <w:bidi w:val="0"/>
              <w:rPr>
                <w:rFonts w:hint="default"/>
                <w:color w:val="auto"/>
                <w:highlight w:val="none"/>
              </w:rPr>
            </w:pPr>
          </w:p>
        </w:tc>
        <w:tc>
          <w:tcPr>
            <w:tcW w:w="795" w:type="dxa"/>
            <w:vMerge w:val="continue"/>
            <w:vAlign w:val="center"/>
          </w:tcPr>
          <w:p w14:paraId="391E2048">
            <w:pPr>
              <w:bidi w:val="0"/>
              <w:rPr>
                <w:rFonts w:hint="default"/>
                <w:color w:val="auto"/>
                <w:highlight w:val="none"/>
              </w:rPr>
            </w:pPr>
          </w:p>
        </w:tc>
        <w:tc>
          <w:tcPr>
            <w:tcW w:w="2610" w:type="dxa"/>
            <w:vAlign w:val="center"/>
          </w:tcPr>
          <w:p w14:paraId="1B4BD713">
            <w:pPr>
              <w:bidi w:val="0"/>
              <w:rPr>
                <w:rFonts w:hint="default"/>
                <w:color w:val="auto"/>
                <w:highlight w:val="none"/>
              </w:rPr>
            </w:pPr>
            <w:r>
              <w:rPr>
                <w:rFonts w:hint="default"/>
                <w:color w:val="auto"/>
                <w:highlight w:val="none"/>
              </w:rPr>
              <w:t>磋商函签字盖章</w:t>
            </w:r>
          </w:p>
        </w:tc>
        <w:tc>
          <w:tcPr>
            <w:tcW w:w="6236" w:type="dxa"/>
            <w:vAlign w:val="center"/>
          </w:tcPr>
          <w:p w14:paraId="532BA12E">
            <w:pPr>
              <w:bidi w:val="0"/>
              <w:rPr>
                <w:rFonts w:hint="default"/>
                <w:color w:val="auto"/>
                <w:highlight w:val="none"/>
              </w:rPr>
            </w:pPr>
            <w:r>
              <w:rPr>
                <w:rFonts w:hint="default"/>
                <w:color w:val="auto"/>
                <w:highlight w:val="none"/>
              </w:rPr>
              <w:t>有法定代表人(或负责人)或其委托代理人签字或加盖单位公章</w:t>
            </w:r>
          </w:p>
        </w:tc>
      </w:tr>
      <w:tr w14:paraId="4357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4" w:type="dxa"/>
            <w:vMerge w:val="continue"/>
            <w:vAlign w:val="center"/>
          </w:tcPr>
          <w:p w14:paraId="6B94D73B">
            <w:pPr>
              <w:bidi w:val="0"/>
              <w:rPr>
                <w:rFonts w:hint="default"/>
                <w:color w:val="auto"/>
                <w:highlight w:val="none"/>
              </w:rPr>
            </w:pPr>
          </w:p>
        </w:tc>
        <w:tc>
          <w:tcPr>
            <w:tcW w:w="795" w:type="dxa"/>
            <w:vMerge w:val="continue"/>
            <w:vAlign w:val="center"/>
          </w:tcPr>
          <w:p w14:paraId="4FF2F9F8">
            <w:pPr>
              <w:bidi w:val="0"/>
              <w:rPr>
                <w:rFonts w:hint="default"/>
                <w:color w:val="auto"/>
                <w:highlight w:val="none"/>
              </w:rPr>
            </w:pPr>
          </w:p>
        </w:tc>
        <w:tc>
          <w:tcPr>
            <w:tcW w:w="2610" w:type="dxa"/>
            <w:vAlign w:val="center"/>
          </w:tcPr>
          <w:p w14:paraId="0819B756">
            <w:pPr>
              <w:bidi w:val="0"/>
              <w:rPr>
                <w:rFonts w:hint="default"/>
                <w:color w:val="auto"/>
                <w:highlight w:val="none"/>
              </w:rPr>
            </w:pPr>
            <w:r>
              <w:rPr>
                <w:rFonts w:hint="default"/>
                <w:color w:val="auto"/>
                <w:highlight w:val="none"/>
              </w:rPr>
              <w:t>磋商报价</w:t>
            </w:r>
          </w:p>
        </w:tc>
        <w:tc>
          <w:tcPr>
            <w:tcW w:w="6236" w:type="dxa"/>
            <w:vAlign w:val="center"/>
          </w:tcPr>
          <w:p w14:paraId="009053F7">
            <w:pPr>
              <w:bidi w:val="0"/>
              <w:rPr>
                <w:rFonts w:hint="default"/>
                <w:color w:val="auto"/>
                <w:highlight w:val="none"/>
              </w:rPr>
            </w:pPr>
            <w:r>
              <w:rPr>
                <w:rFonts w:hint="default"/>
                <w:color w:val="auto"/>
                <w:highlight w:val="none"/>
              </w:rPr>
              <w:t>不超过上限控制价</w:t>
            </w:r>
          </w:p>
        </w:tc>
      </w:tr>
      <w:tr w14:paraId="24CC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Merge w:val="continue"/>
            <w:vAlign w:val="center"/>
          </w:tcPr>
          <w:p w14:paraId="3BDAA750">
            <w:pPr>
              <w:bidi w:val="0"/>
              <w:rPr>
                <w:rFonts w:hint="default"/>
                <w:color w:val="auto"/>
                <w:highlight w:val="none"/>
              </w:rPr>
            </w:pPr>
          </w:p>
        </w:tc>
        <w:tc>
          <w:tcPr>
            <w:tcW w:w="795" w:type="dxa"/>
            <w:vMerge w:val="continue"/>
            <w:vAlign w:val="center"/>
          </w:tcPr>
          <w:p w14:paraId="4386AFBD">
            <w:pPr>
              <w:bidi w:val="0"/>
              <w:rPr>
                <w:rFonts w:hint="default"/>
                <w:color w:val="auto"/>
                <w:highlight w:val="none"/>
              </w:rPr>
            </w:pPr>
          </w:p>
        </w:tc>
        <w:tc>
          <w:tcPr>
            <w:tcW w:w="2610" w:type="dxa"/>
            <w:vAlign w:val="center"/>
          </w:tcPr>
          <w:p w14:paraId="1EB4B53C">
            <w:pPr>
              <w:bidi w:val="0"/>
              <w:rPr>
                <w:rFonts w:hint="default"/>
                <w:color w:val="auto"/>
                <w:highlight w:val="none"/>
              </w:rPr>
            </w:pPr>
            <w:r>
              <w:rPr>
                <w:rFonts w:hint="default"/>
                <w:color w:val="auto"/>
                <w:highlight w:val="none"/>
              </w:rPr>
              <w:t>磋商保证金</w:t>
            </w:r>
          </w:p>
        </w:tc>
        <w:tc>
          <w:tcPr>
            <w:tcW w:w="6236" w:type="dxa"/>
            <w:vAlign w:val="center"/>
          </w:tcPr>
          <w:p w14:paraId="759848C0">
            <w:pPr>
              <w:bidi w:val="0"/>
              <w:rPr>
                <w:rFonts w:hint="default"/>
                <w:color w:val="auto"/>
                <w:highlight w:val="none"/>
              </w:rPr>
            </w:pPr>
            <w:r>
              <w:rPr>
                <w:rFonts w:hint="default"/>
                <w:color w:val="auto"/>
                <w:highlight w:val="none"/>
              </w:rPr>
              <w:t>符合竞争性磋商采购文件要求</w:t>
            </w:r>
          </w:p>
        </w:tc>
      </w:tr>
      <w:tr w14:paraId="4F9F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04" w:type="dxa"/>
            <w:vMerge w:val="continue"/>
            <w:vAlign w:val="center"/>
          </w:tcPr>
          <w:p w14:paraId="677941FF">
            <w:pPr>
              <w:bidi w:val="0"/>
              <w:rPr>
                <w:rFonts w:hint="default"/>
                <w:color w:val="auto"/>
                <w:highlight w:val="none"/>
              </w:rPr>
            </w:pPr>
          </w:p>
        </w:tc>
        <w:tc>
          <w:tcPr>
            <w:tcW w:w="795" w:type="dxa"/>
            <w:vMerge w:val="continue"/>
            <w:vAlign w:val="center"/>
          </w:tcPr>
          <w:p w14:paraId="72DA0B82">
            <w:pPr>
              <w:bidi w:val="0"/>
              <w:rPr>
                <w:rFonts w:hint="default"/>
                <w:color w:val="auto"/>
                <w:highlight w:val="none"/>
              </w:rPr>
            </w:pPr>
          </w:p>
        </w:tc>
        <w:tc>
          <w:tcPr>
            <w:tcW w:w="2610" w:type="dxa"/>
            <w:vAlign w:val="center"/>
          </w:tcPr>
          <w:p w14:paraId="4CEDA971">
            <w:pPr>
              <w:bidi w:val="0"/>
              <w:rPr>
                <w:rFonts w:hint="default"/>
                <w:color w:val="auto"/>
                <w:highlight w:val="none"/>
              </w:rPr>
            </w:pPr>
            <w:r>
              <w:rPr>
                <w:rFonts w:hint="default"/>
                <w:color w:val="auto"/>
                <w:highlight w:val="none"/>
              </w:rPr>
              <w:t>合同履行期限</w:t>
            </w:r>
          </w:p>
        </w:tc>
        <w:tc>
          <w:tcPr>
            <w:tcW w:w="6236" w:type="dxa"/>
            <w:vAlign w:val="center"/>
          </w:tcPr>
          <w:p w14:paraId="750E2DDF">
            <w:pPr>
              <w:bidi w:val="0"/>
              <w:rPr>
                <w:rFonts w:hint="default"/>
                <w:color w:val="auto"/>
                <w:highlight w:val="none"/>
              </w:rPr>
            </w:pPr>
            <w:r>
              <w:rPr>
                <w:rFonts w:hint="default"/>
                <w:color w:val="auto"/>
                <w:highlight w:val="none"/>
                <w:lang w:val="en-US" w:eastAsia="zh-CN"/>
              </w:rPr>
              <w:t>符合竞争性磋商采购文件要求</w:t>
            </w:r>
          </w:p>
        </w:tc>
      </w:tr>
    </w:tbl>
    <w:p w14:paraId="5F0616A8">
      <w:pPr>
        <w:spacing w:line="400" w:lineRule="exac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2、磋商响应文件的资格审查及符合性审查：</w:t>
      </w:r>
    </w:p>
    <w:p w14:paraId="4A943DA1">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 在详细评审之前，评标委员会将首先审定每份磋商响应文件是否在实质上响应了竞争性</w:t>
      </w:r>
      <w:r>
        <w:rPr>
          <w:rFonts w:hint="default" w:ascii="Times New Roman" w:hAnsi="Times New Roman" w:cs="Times New Roman"/>
          <w:bCs/>
          <w:color w:val="auto"/>
          <w:szCs w:val="21"/>
          <w:highlight w:val="none"/>
        </w:rPr>
        <w:t>磋商</w:t>
      </w:r>
      <w:r>
        <w:rPr>
          <w:rFonts w:hint="default" w:ascii="Times New Roman" w:hAnsi="Times New Roman" w:cs="Times New Roman"/>
          <w:color w:val="auto"/>
          <w:szCs w:val="21"/>
          <w:highlight w:val="none"/>
        </w:rPr>
        <w:t>文件的要求。所谓实质上响应，是指磋商响应文件应与竞争性</w:t>
      </w:r>
      <w:r>
        <w:rPr>
          <w:rFonts w:hint="default" w:ascii="Times New Roman" w:hAnsi="Times New Roman" w:cs="Times New Roman"/>
          <w:bCs/>
          <w:color w:val="auto"/>
          <w:szCs w:val="21"/>
          <w:highlight w:val="none"/>
        </w:rPr>
        <w:t>磋商</w:t>
      </w:r>
      <w:r>
        <w:rPr>
          <w:rFonts w:hint="default" w:ascii="Times New Roman" w:hAnsi="Times New Roman" w:cs="Times New Roman"/>
          <w:color w:val="auto"/>
          <w:szCs w:val="21"/>
          <w:highlight w:val="none"/>
        </w:rPr>
        <w:t>文件的所有实质性条款、条件和要求相符，无显著差异或保留，或者对合同中约定的磋商人的权利和竞标义务方面造成重大的限制，纠正这些显著差异或保留将会对其他实质上响应竞争性磋商文件要求的磋商响应文件的产生不公正的影响。如果磋商响应文件实质上不响应竞争性</w:t>
      </w:r>
      <w:r>
        <w:rPr>
          <w:rFonts w:hint="default" w:ascii="Times New Roman" w:hAnsi="Times New Roman" w:cs="Times New Roman"/>
          <w:bCs/>
          <w:color w:val="auto"/>
          <w:szCs w:val="21"/>
          <w:highlight w:val="none"/>
        </w:rPr>
        <w:t>磋商</w:t>
      </w:r>
      <w:r>
        <w:rPr>
          <w:rFonts w:hint="default" w:ascii="Times New Roman" w:hAnsi="Times New Roman" w:cs="Times New Roman"/>
          <w:color w:val="auto"/>
          <w:szCs w:val="21"/>
          <w:highlight w:val="none"/>
        </w:rPr>
        <w:t>文件某项要求，评标委员会将予以拒绝，并且不允许磋商人通过修改或撤销其不符合要求的差异或保留，使之成为具有响应性的投标。</w:t>
      </w:r>
    </w:p>
    <w:p w14:paraId="22174406">
      <w:pPr>
        <w:tabs>
          <w:tab w:val="left" w:pos="180"/>
        </w:tabs>
        <w:snapToGrid w:val="0"/>
        <w:spacing w:line="400" w:lineRule="exac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3、详细评审（即综合评审）</w:t>
      </w:r>
    </w:p>
    <w:p w14:paraId="73E87C48">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各评委根据附件：《综合评分表》中相应的要求进行科学评分。在进行技术方案文件的评审时，各评委评分的算术平均值为该磋商人的最终得分。</w:t>
      </w:r>
    </w:p>
    <w:p w14:paraId="4804354A">
      <w:pPr>
        <w:tabs>
          <w:tab w:val="left" w:pos="180"/>
        </w:tabs>
        <w:snapToGrid w:val="0"/>
        <w:spacing w:line="400" w:lineRule="exac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4、磋商响应文件的澄清与修正</w:t>
      </w:r>
    </w:p>
    <w:p w14:paraId="45973124">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4.1为了有助于磋商响应文件的审查、评价和比较，评审委员会可以个别地要求磋商人澄清其磋商响应文件。有关澄清的要求与答复，应以书面形式进行。</w:t>
      </w:r>
      <w:r>
        <w:rPr>
          <w:rFonts w:hint="default" w:ascii="Times New Roman" w:hAnsi="Times New Roman" w:cs="Times New Roman"/>
          <w:bCs/>
          <w:color w:val="auto"/>
          <w:szCs w:val="21"/>
          <w:highlight w:val="none"/>
        </w:rPr>
        <w:t>不按评标委员会要求澄清、说明或补正的，磋商响应文件作无效处理。</w:t>
      </w:r>
    </w:p>
    <w:p w14:paraId="7053BBE1">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 磋商响应文件计算错误的修正</w:t>
      </w:r>
    </w:p>
    <w:p w14:paraId="13A69F4D">
      <w:pPr>
        <w:snapToGrid w:val="0"/>
        <w:spacing w:line="400" w:lineRule="exact"/>
        <w:ind w:firstLine="388" w:firstLineChars="185"/>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4.2.1 评标委员会将对确定为实质上响应竞争性</w:t>
      </w:r>
      <w:r>
        <w:rPr>
          <w:rFonts w:hint="default" w:ascii="Times New Roman" w:hAnsi="Times New Roman" w:cs="Times New Roman"/>
          <w:bCs/>
          <w:color w:val="auto"/>
          <w:szCs w:val="21"/>
          <w:highlight w:val="none"/>
        </w:rPr>
        <w:t>磋商</w:t>
      </w:r>
      <w:r>
        <w:rPr>
          <w:rFonts w:hint="default" w:ascii="Times New Roman" w:hAnsi="Times New Roman" w:cs="Times New Roman"/>
          <w:color w:val="auto"/>
          <w:szCs w:val="21"/>
          <w:highlight w:val="none"/>
        </w:rPr>
        <w:t>文件要求的磋商响应文件进行校核，看其是否有计算或表达上的错误，修正错误的原则如下：</w:t>
      </w:r>
    </w:p>
    <w:p w14:paraId="402F01F0">
      <w:pPr>
        <w:snapToGrid w:val="0"/>
        <w:spacing w:line="400" w:lineRule="exact"/>
        <w:ind w:firstLine="388" w:firstLineChars="185"/>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⑴如果数字表示的金额和用文字表示的金额不一致时，应以文字表示的金额为准；</w:t>
      </w:r>
    </w:p>
    <w:p w14:paraId="407C1E88">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4.2.2 按上述修正错误的原则及方法调整或修正磋商响应文件的投标报价，在磋商人确认后，调整或修正后的磋商报价对磋商人起约束作用。如果磋商人不接受调整或修正后的报价，则其磋商响应文件将被拒绝并且其磋商保证金也将被没收，并不影响评标工作。</w:t>
      </w:r>
    </w:p>
    <w:p w14:paraId="034A47A9">
      <w:pPr>
        <w:tabs>
          <w:tab w:val="left" w:pos="180"/>
        </w:tabs>
        <w:snapToGrid w:val="0"/>
        <w:spacing w:line="400" w:lineRule="exac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5.评标结果</w:t>
      </w:r>
    </w:p>
    <w:p w14:paraId="265AC5B7">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评标委员会按《综合评分表》的内容进行评审，对各有效磋商响应文件评出综合得分后，按得分高低排序，推荐得分最高的前三名分别为第一、第二、第三中标候选人，而后确定排名第一的竞标单位为成交人。</w:t>
      </w:r>
    </w:p>
    <w:p w14:paraId="4EAA52CF">
      <w:pP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 xml:space="preserve">附件：                  </w:t>
      </w:r>
    </w:p>
    <w:p w14:paraId="62314F2A">
      <w:pP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br w:type="page"/>
      </w:r>
    </w:p>
    <w:p w14:paraId="0386A988">
      <w:pP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综合评分表</w:t>
      </w:r>
    </w:p>
    <w:tbl>
      <w:tblPr>
        <w:tblStyle w:val="3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154"/>
        <w:gridCol w:w="6927"/>
        <w:gridCol w:w="756"/>
      </w:tblGrid>
      <w:tr w14:paraId="55D0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79" w:type="dxa"/>
            <w:gridSpan w:val="4"/>
            <w:tcBorders>
              <w:top w:val="single" w:color="auto" w:sz="4" w:space="0"/>
              <w:left w:val="single" w:color="auto" w:sz="4" w:space="0"/>
              <w:bottom w:val="single" w:color="auto" w:sz="4" w:space="0"/>
              <w:right w:val="single" w:color="auto" w:sz="4" w:space="0"/>
            </w:tcBorders>
            <w:noWrap w:val="0"/>
            <w:vAlign w:val="center"/>
          </w:tcPr>
          <w:p w14:paraId="28420B03">
            <w:pPr>
              <w:spacing w:line="44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评审因素</w:t>
            </w:r>
          </w:p>
        </w:tc>
      </w:tr>
      <w:tr w14:paraId="066F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4EC417B1">
            <w:pPr>
              <w:spacing w:line="440" w:lineRule="exact"/>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1</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3BC06B1">
            <w:pPr>
              <w:spacing w:line="44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价格分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63103EE6">
            <w:pPr>
              <w:tabs>
                <w:tab w:val="left" w:pos="715"/>
              </w:tabs>
              <w:spacing w:line="24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（1）本项目为专门面中小企业采购的项目，不再执行价格评审优</w:t>
            </w:r>
          </w:p>
          <w:p w14:paraId="18DAF068">
            <w:pPr>
              <w:tabs>
                <w:tab w:val="left" w:pos="715"/>
              </w:tabs>
              <w:spacing w:line="24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惠的扶持政策。</w:t>
            </w:r>
          </w:p>
          <w:p w14:paraId="26E8A239">
            <w:pPr>
              <w:tabs>
                <w:tab w:val="left" w:pos="715"/>
              </w:tabs>
              <w:spacing w:line="24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（2）以进入比较与评价环节的最低的评审价为基准价，基准价得</w:t>
            </w:r>
          </w:p>
          <w:p w14:paraId="514B94F5">
            <w:pPr>
              <w:tabs>
                <w:tab w:val="left" w:pos="715"/>
              </w:tabs>
              <w:spacing w:line="24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 xml:space="preserve">价格分（10 分） </w:t>
            </w:r>
          </w:p>
          <w:p w14:paraId="081B4040">
            <w:pPr>
              <w:tabs>
                <w:tab w:val="left" w:pos="715"/>
              </w:tabs>
              <w:spacing w:line="24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（3）价格分计算公式：</w:t>
            </w:r>
          </w:p>
          <w:p w14:paraId="1176CC7A">
            <w:pPr>
              <w:tabs>
                <w:tab w:val="left" w:pos="715"/>
              </w:tabs>
              <w:spacing w:line="240" w:lineRule="auto"/>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报价得分=（基准价/最后报价）× 10 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C78019F">
            <w:pPr>
              <w:spacing w:line="44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10分</w:t>
            </w:r>
          </w:p>
        </w:tc>
      </w:tr>
      <w:tr w14:paraId="0CE5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28CC0">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2</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4DADD">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技术分</w:t>
            </w:r>
          </w:p>
        </w:tc>
        <w:tc>
          <w:tcPr>
            <w:tcW w:w="69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7AFDB1">
            <w:pPr>
              <w:spacing w:line="440" w:lineRule="exact"/>
              <w:jc w:val="center"/>
              <w:rPr>
                <w:rFonts w:hint="default"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评审因素</w:t>
            </w:r>
          </w:p>
        </w:tc>
        <w:tc>
          <w:tcPr>
            <w:tcW w:w="7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4B0D74">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cs="宋体"/>
                <w:bCs/>
                <w:color w:val="auto"/>
                <w:highlight w:val="none"/>
                <w:lang w:val="en-US" w:eastAsia="zh-CN"/>
              </w:rPr>
              <w:t>60分</w:t>
            </w:r>
          </w:p>
        </w:tc>
      </w:tr>
      <w:tr w14:paraId="1D18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6"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5B874">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2.1</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69786">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（1）实施方案分（满分</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rPr>
              <w:t>分）</w:t>
            </w:r>
          </w:p>
        </w:tc>
        <w:tc>
          <w:tcPr>
            <w:tcW w:w="69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2FAF14">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（1）项目实施方案（满分 20 分）</w:t>
            </w:r>
          </w:p>
          <w:p w14:paraId="5963818D">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一档（6 分）：对项目的背景、必要性、目标、工作内容等有一定分</w:t>
            </w:r>
          </w:p>
          <w:p w14:paraId="0AFBD0B0">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析，各项工作任务不够细化，总体工作方案具有一定可行性；</w:t>
            </w:r>
          </w:p>
          <w:p w14:paraId="235FD64F">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二档（12 分）：对项目的背景、必要性、目标、工作内容等需求分析</w:t>
            </w:r>
          </w:p>
          <w:p w14:paraId="568B0433">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全面，有细化的各项工作任务进度计划流程，分工明确，总体工作方</w:t>
            </w:r>
          </w:p>
          <w:p w14:paraId="07CBB213">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案可行性良好，能满足采购人的目的。</w:t>
            </w:r>
            <w:r>
              <w:rPr>
                <w:rFonts w:hint="default" w:ascii="宋体" w:hAnsi="宋体" w:eastAsia="宋体" w:cs="宋体"/>
                <w:bCs/>
                <w:color w:val="auto"/>
                <w:highlight w:val="none"/>
                <w:lang w:val="en-US" w:eastAsia="zh-CN"/>
              </w:rPr>
              <w:tab/>
            </w:r>
          </w:p>
          <w:p w14:paraId="1ECFCA98">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三档（20 分）：对项目的背景、必要性、目标、工作内容等需求分析</w:t>
            </w:r>
          </w:p>
          <w:p w14:paraId="3BDDC561">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理解深刻、完全把握采购目的，能科学合理地细化各项工作任务，流</w:t>
            </w:r>
          </w:p>
          <w:p w14:paraId="134957CA">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程规划描述详细、规划合理，措施具体有针对性、效果好，总体工作</w:t>
            </w:r>
          </w:p>
          <w:p w14:paraId="57B4732E">
            <w:pPr>
              <w:spacing w:line="440" w:lineRule="exact"/>
              <w:rPr>
                <w:rFonts w:hint="default" w:ascii="宋体" w:hAnsi="宋体" w:eastAsia="宋体" w:cs="宋体"/>
                <w:bCs/>
                <w:color w:val="auto"/>
                <w:kern w:val="2"/>
                <w:sz w:val="21"/>
                <w:szCs w:val="24"/>
                <w:highlight w:val="none"/>
                <w:lang w:val="en-US" w:eastAsia="zh-CN" w:bidi="ar-SA"/>
              </w:rPr>
            </w:pPr>
            <w:r>
              <w:rPr>
                <w:rFonts w:hint="default" w:ascii="宋体" w:hAnsi="宋体" w:eastAsia="宋体" w:cs="宋体"/>
                <w:bCs/>
                <w:color w:val="auto"/>
                <w:highlight w:val="none"/>
                <w:lang w:val="en-US" w:eastAsia="zh-CN"/>
              </w:rPr>
              <w:t>方案可行性高，充分满足采购人的采购目的。</w:t>
            </w:r>
          </w:p>
        </w:tc>
        <w:tc>
          <w:tcPr>
            <w:tcW w:w="7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FED41">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cs="宋体"/>
                <w:bCs/>
                <w:color w:val="auto"/>
                <w:highlight w:val="none"/>
                <w:lang w:val="en-US" w:eastAsia="zh-CN"/>
              </w:rPr>
              <w:t>20</w:t>
            </w:r>
            <w:r>
              <w:rPr>
                <w:rFonts w:hint="eastAsia" w:ascii="宋体" w:hAnsi="宋体" w:eastAsia="宋体" w:cs="宋体"/>
                <w:bCs/>
                <w:color w:val="auto"/>
                <w:highlight w:val="none"/>
                <w:lang w:eastAsia="zh-CN"/>
              </w:rPr>
              <w:t>分</w:t>
            </w:r>
          </w:p>
        </w:tc>
      </w:tr>
      <w:tr w14:paraId="30CD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5A3F5FBA">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2.2</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B146FC3">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lang w:val="zh-CN"/>
              </w:rPr>
              <w:t>（2）重点难点分析分（满分</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lang w:val="zh-CN"/>
              </w:rPr>
              <w:t>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126B087E">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一档（</w:t>
            </w:r>
            <w:r>
              <w:rPr>
                <w:rFonts w:hint="eastAsia" w:ascii="宋体" w:hAnsi="宋体" w:cs="宋体"/>
                <w:bCs/>
                <w:color w:val="auto"/>
                <w:highlight w:val="none"/>
                <w:lang w:val="en-US" w:eastAsia="zh-CN"/>
              </w:rPr>
              <w:t>6</w:t>
            </w:r>
            <w:r>
              <w:rPr>
                <w:rFonts w:hint="eastAsia" w:ascii="宋体" w:hAnsi="宋体" w:eastAsia="宋体" w:cs="宋体"/>
                <w:bCs/>
                <w:color w:val="auto"/>
                <w:highlight w:val="none"/>
                <w:lang w:val="zh-CN"/>
              </w:rPr>
              <w:t>分）：重点难点分析方案完整性、针对性、合理性</w:t>
            </w:r>
            <w:r>
              <w:rPr>
                <w:rFonts w:hint="eastAsia" w:ascii="宋体" w:hAnsi="宋体" w:eastAsia="宋体" w:cs="宋体"/>
                <w:bCs/>
                <w:color w:val="auto"/>
                <w:highlight w:val="none"/>
                <w:lang w:val="zh-CN" w:eastAsia="zh-CN"/>
              </w:rPr>
              <w:t>弱</w:t>
            </w:r>
            <w:r>
              <w:rPr>
                <w:rFonts w:hint="eastAsia" w:ascii="宋体" w:hAnsi="宋体" w:eastAsia="宋体" w:cs="宋体"/>
                <w:bCs/>
                <w:color w:val="auto"/>
                <w:highlight w:val="none"/>
                <w:lang w:val="zh-CN"/>
              </w:rPr>
              <w:t>；</w:t>
            </w:r>
          </w:p>
          <w:p w14:paraId="7B870016">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二档（</w:t>
            </w:r>
            <w:r>
              <w:rPr>
                <w:rFonts w:hint="eastAsia" w:ascii="宋体" w:hAnsi="宋体" w:cs="宋体"/>
                <w:bCs/>
                <w:color w:val="auto"/>
                <w:highlight w:val="none"/>
                <w:lang w:val="en-US" w:eastAsia="zh-CN"/>
              </w:rPr>
              <w:t>12</w:t>
            </w:r>
            <w:r>
              <w:rPr>
                <w:rFonts w:hint="eastAsia" w:ascii="宋体" w:hAnsi="宋体" w:eastAsia="宋体" w:cs="宋体"/>
                <w:bCs/>
                <w:color w:val="auto"/>
                <w:highlight w:val="none"/>
                <w:lang w:val="zh-CN"/>
              </w:rPr>
              <w:t>分）：重点难点分析方案完整性、针对性、合理性</w:t>
            </w:r>
            <w:r>
              <w:rPr>
                <w:rFonts w:hint="eastAsia" w:ascii="宋体" w:hAnsi="宋体" w:eastAsia="宋体" w:cs="宋体"/>
                <w:bCs/>
                <w:color w:val="auto"/>
                <w:highlight w:val="none"/>
                <w:lang w:val="zh-CN" w:eastAsia="zh-CN"/>
              </w:rPr>
              <w:t>可行</w:t>
            </w:r>
            <w:r>
              <w:rPr>
                <w:rFonts w:hint="eastAsia" w:ascii="宋体" w:hAnsi="宋体" w:eastAsia="宋体" w:cs="宋体"/>
                <w:bCs/>
                <w:color w:val="auto"/>
                <w:highlight w:val="none"/>
                <w:lang w:val="zh-CN"/>
              </w:rPr>
              <w:t>；</w:t>
            </w:r>
          </w:p>
          <w:p w14:paraId="3A6AE7A4">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三档（</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lang w:val="zh-CN"/>
              </w:rPr>
              <w:t>分）：重点难点分析方案完整性、针对性、合理性</w:t>
            </w:r>
            <w:r>
              <w:rPr>
                <w:rFonts w:hint="eastAsia" w:ascii="宋体" w:hAnsi="宋体" w:eastAsia="宋体" w:cs="宋体"/>
                <w:bCs/>
                <w:color w:val="auto"/>
                <w:highlight w:val="none"/>
                <w:lang w:val="zh-CN" w:eastAsia="zh-CN"/>
              </w:rPr>
              <w:t>强</w:t>
            </w:r>
            <w:r>
              <w:rPr>
                <w:rFonts w:hint="eastAsia" w:ascii="宋体" w:hAnsi="宋体" w:eastAsia="宋体" w:cs="宋体"/>
                <w:bCs/>
                <w:color w:val="auto"/>
                <w:highlight w:val="none"/>
                <w:lang w:val="zh-CN"/>
              </w:rPr>
              <w:t>；</w:t>
            </w:r>
          </w:p>
          <w:p w14:paraId="2689592A">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由评委根据各供应商提供的重点难点分析内容（该重点难点分析方案内容至少包含对本项目的重点难点认识及分析，工作方案，合理化建议等方面内容）的完整性、针对性、具体性、合理性情况确定各供应商所属档次及相应分值。</w:t>
            </w:r>
          </w:p>
          <w:p w14:paraId="0638F476">
            <w:pPr>
              <w:spacing w:line="440" w:lineRule="exact"/>
              <w:rPr>
                <w:rFonts w:hint="eastAsia" w:ascii="宋体" w:hAnsi="宋体" w:eastAsia="宋体" w:cs="宋体"/>
                <w:bCs/>
                <w:color w:val="auto"/>
                <w:highlight w:val="none"/>
              </w:rPr>
            </w:pPr>
            <w:r>
              <w:rPr>
                <w:rFonts w:hint="eastAsia" w:ascii="宋体" w:hAnsi="宋体" w:cs="宋体"/>
                <w:bCs/>
                <w:color w:val="auto"/>
                <w:highlight w:val="none"/>
                <w:lang w:val="en-US" w:eastAsia="zh-CN"/>
              </w:rPr>
              <w:t>注：未提供重点难点分析的或不满足一档的不得分。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FB6CBD1">
            <w:pPr>
              <w:spacing w:line="440" w:lineRule="exact"/>
              <w:jc w:val="center"/>
              <w:rPr>
                <w:rFonts w:hint="eastAsia" w:ascii="宋体" w:hAnsi="宋体" w:eastAsia="宋体" w:cs="宋体"/>
                <w:bCs/>
                <w:color w:val="auto"/>
                <w:highlight w:val="none"/>
              </w:rPr>
            </w:pPr>
            <w:r>
              <w:rPr>
                <w:rFonts w:hint="eastAsia" w:ascii="宋体" w:hAnsi="宋体" w:cs="宋体"/>
                <w:bCs/>
                <w:color w:val="auto"/>
                <w:highlight w:val="none"/>
                <w:lang w:val="en-US" w:eastAsia="zh-CN"/>
              </w:rPr>
              <w:t>20</w:t>
            </w:r>
            <w:r>
              <w:rPr>
                <w:rFonts w:hint="eastAsia" w:ascii="宋体" w:hAnsi="宋体" w:eastAsia="宋体" w:cs="宋体"/>
                <w:bCs/>
                <w:color w:val="auto"/>
                <w:highlight w:val="none"/>
              </w:rPr>
              <w:t>分</w:t>
            </w:r>
          </w:p>
        </w:tc>
      </w:tr>
      <w:tr w14:paraId="18A8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3605D64B">
            <w:pPr>
              <w:spacing w:line="44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2.3</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364052A">
            <w:pPr>
              <w:spacing w:line="440" w:lineRule="exact"/>
              <w:jc w:val="center"/>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（3）质量控制方案分（满分</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lang w:val="zh-CN"/>
              </w:rPr>
              <w:t>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69567440">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一档（</w:t>
            </w:r>
            <w:r>
              <w:rPr>
                <w:rFonts w:hint="eastAsia" w:ascii="宋体" w:hAnsi="宋体" w:cs="宋体"/>
                <w:bCs/>
                <w:color w:val="auto"/>
                <w:highlight w:val="none"/>
                <w:lang w:val="en-US" w:eastAsia="zh-CN"/>
              </w:rPr>
              <w:t>6</w:t>
            </w:r>
            <w:r>
              <w:rPr>
                <w:rFonts w:hint="eastAsia" w:ascii="宋体" w:hAnsi="宋体" w:eastAsia="宋体" w:cs="宋体"/>
                <w:bCs/>
                <w:color w:val="auto"/>
                <w:highlight w:val="none"/>
                <w:lang w:val="zh-CN"/>
              </w:rPr>
              <w:t>分）：具有项目进度控制措施、质量控制措施、安全保证机制、数据安全保密方案等；有具体的违约责任承诺。</w:t>
            </w:r>
          </w:p>
          <w:p w14:paraId="01C5C5BD">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二档（</w:t>
            </w:r>
            <w:r>
              <w:rPr>
                <w:rFonts w:hint="eastAsia" w:ascii="宋体" w:hAnsi="宋体" w:cs="宋体"/>
                <w:bCs/>
                <w:color w:val="auto"/>
                <w:highlight w:val="none"/>
                <w:lang w:val="en-US" w:eastAsia="zh-CN"/>
              </w:rPr>
              <w:t>12</w:t>
            </w:r>
            <w:r>
              <w:rPr>
                <w:rFonts w:hint="eastAsia" w:ascii="宋体" w:hAnsi="宋体" w:eastAsia="宋体" w:cs="宋体"/>
                <w:bCs/>
                <w:color w:val="auto"/>
                <w:highlight w:val="none"/>
                <w:lang w:val="zh-CN"/>
              </w:rPr>
              <w:t>分）：具有合理的项目进度控制措施、质量控制措施；具有及时的数据检查、质量把控以及反馈纠错措施；具有切实有效地安全保证机制；保证措施基本合理，有具体的违约责任承诺。</w:t>
            </w:r>
          </w:p>
          <w:p w14:paraId="2ADE33A7">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三档（</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lang w:val="zh-CN"/>
              </w:rPr>
              <w:t>分）：具有项目进度控制措施科学、完善；具有提升样品制备质量的保障机制；具有及时的数据检查、质量控制以及反馈纠错措施；具有切实有效地安全保证机制；保证措施合理且有针对性、有具体的违约责任承诺。</w:t>
            </w:r>
          </w:p>
          <w:p w14:paraId="3819F2C2">
            <w:pPr>
              <w:spacing w:line="440" w:lineRule="exact"/>
              <w:rPr>
                <w:rFonts w:hint="eastAsia" w:ascii="宋体" w:hAnsi="宋体" w:eastAsia="宋体" w:cs="宋体"/>
                <w:bCs/>
                <w:color w:val="auto"/>
                <w:highlight w:val="none"/>
                <w:lang w:val="zh-CN"/>
              </w:rPr>
            </w:pPr>
            <w:r>
              <w:rPr>
                <w:rFonts w:hint="eastAsia" w:ascii="宋体" w:hAnsi="宋体" w:cs="宋体"/>
                <w:bCs/>
                <w:color w:val="auto"/>
                <w:highlight w:val="none"/>
                <w:lang w:val="en-US" w:eastAsia="zh-CN"/>
              </w:rPr>
              <w:t>注：未提供</w:t>
            </w:r>
            <w:r>
              <w:rPr>
                <w:rFonts w:hint="eastAsia" w:ascii="宋体" w:hAnsi="宋体" w:eastAsia="宋体" w:cs="宋体"/>
                <w:bCs/>
                <w:color w:val="auto"/>
                <w:highlight w:val="none"/>
                <w:lang w:val="zh-CN"/>
              </w:rPr>
              <w:t>质量控制方案</w:t>
            </w:r>
            <w:r>
              <w:rPr>
                <w:rFonts w:hint="eastAsia" w:ascii="宋体" w:hAnsi="宋体" w:cs="宋体"/>
                <w:bCs/>
                <w:color w:val="auto"/>
                <w:highlight w:val="none"/>
                <w:lang w:val="en-US" w:eastAsia="zh-CN"/>
              </w:rPr>
              <w:t>的或不满足一档的不得分。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B8B3A7F">
            <w:pPr>
              <w:spacing w:line="440" w:lineRule="exact"/>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20分</w:t>
            </w:r>
          </w:p>
        </w:tc>
      </w:tr>
      <w:tr w14:paraId="7B37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AA965">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3</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BE94A0">
            <w:pPr>
              <w:spacing w:line="440" w:lineRule="exact"/>
              <w:jc w:val="center"/>
              <w:rPr>
                <w:rFonts w:hint="eastAsia" w:ascii="宋体" w:hAnsi="宋体" w:eastAsia="宋体" w:cs="宋体"/>
                <w:bCs/>
                <w:color w:val="auto"/>
                <w:kern w:val="2"/>
                <w:sz w:val="21"/>
                <w:szCs w:val="24"/>
                <w:highlight w:val="none"/>
                <w:lang w:val="zh-CN" w:eastAsia="zh-CN" w:bidi="ar-SA"/>
              </w:rPr>
            </w:pPr>
            <w:r>
              <w:rPr>
                <w:rFonts w:hint="eastAsia" w:ascii="宋体" w:hAnsi="宋体" w:eastAsia="宋体" w:cs="宋体"/>
                <w:bCs/>
                <w:color w:val="auto"/>
                <w:highlight w:val="none"/>
              </w:rPr>
              <w:t>商务分</w:t>
            </w:r>
          </w:p>
        </w:tc>
        <w:tc>
          <w:tcPr>
            <w:tcW w:w="69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2CFB8">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评审因素</w:t>
            </w:r>
          </w:p>
        </w:tc>
        <w:tc>
          <w:tcPr>
            <w:tcW w:w="7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359CF">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cs="宋体"/>
                <w:bCs/>
                <w:color w:val="auto"/>
                <w:highlight w:val="none"/>
                <w:lang w:val="en-US" w:eastAsia="zh-CN"/>
              </w:rPr>
              <w:t>30分</w:t>
            </w:r>
          </w:p>
        </w:tc>
      </w:tr>
      <w:tr w14:paraId="52A8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6E723203">
            <w:pPr>
              <w:spacing w:line="440" w:lineRule="exact"/>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3.1</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8ADCB13">
            <w:pPr>
              <w:spacing w:line="440" w:lineRule="exact"/>
              <w:jc w:val="center"/>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拟投入本项目团队分（满分</w:t>
            </w:r>
            <w:r>
              <w:rPr>
                <w:rFonts w:hint="eastAsia" w:ascii="宋体" w:hAnsi="宋体" w:cs="宋体"/>
                <w:bCs/>
                <w:color w:val="auto"/>
                <w:highlight w:val="none"/>
                <w:lang w:val="en-US" w:eastAsia="zh-CN"/>
              </w:rPr>
              <w:t>10</w:t>
            </w:r>
            <w:r>
              <w:rPr>
                <w:rFonts w:hint="eastAsia" w:ascii="宋体" w:hAnsi="宋体" w:eastAsia="宋体" w:cs="宋体"/>
                <w:bCs/>
                <w:color w:val="auto"/>
                <w:highlight w:val="none"/>
                <w:lang w:val="zh-CN"/>
              </w:rPr>
              <w:t>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4B02EAD8">
            <w:pPr>
              <w:rPr>
                <w:rFonts w:hint="default"/>
                <w:color w:val="auto"/>
                <w:highlight w:val="none"/>
              </w:rPr>
            </w:pPr>
            <w:r>
              <w:rPr>
                <w:rFonts w:hint="default"/>
                <w:color w:val="auto"/>
                <w:highlight w:val="none"/>
              </w:rPr>
              <w:t>人员岗位设置及配备包括项目负责人、质量监督员、现场监测采样负责人、监测技术人员，其中监测技术人员数量不少于8人。项目负责人应从事环境监测10年及以上，具有相关专业副高级及以上职称。质量监督员从事环境监测</w:t>
            </w:r>
            <w:r>
              <w:rPr>
                <w:rFonts w:hint="default"/>
                <w:color w:val="auto"/>
                <w:highlight w:val="none"/>
                <w:lang w:val="en-US" w:eastAsia="zh-CN"/>
              </w:rPr>
              <w:t>5</w:t>
            </w:r>
            <w:r>
              <w:rPr>
                <w:rFonts w:hint="default"/>
                <w:color w:val="auto"/>
                <w:highlight w:val="none"/>
              </w:rPr>
              <w:t>年及以上。</w:t>
            </w:r>
          </w:p>
          <w:p w14:paraId="1D9141C2">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注：提供身份证、学历证、职称证书及在投标单位缴纳的近 3 个</w:t>
            </w:r>
          </w:p>
          <w:p w14:paraId="268F5594">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月社保证明复印件。</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477CCF6">
            <w:pPr>
              <w:spacing w:line="440" w:lineRule="exact"/>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10分</w:t>
            </w:r>
          </w:p>
        </w:tc>
      </w:tr>
      <w:tr w14:paraId="6724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2B4ACC4E">
            <w:pPr>
              <w:spacing w:line="440" w:lineRule="exact"/>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3.2</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11D94D3">
            <w:pPr>
              <w:spacing w:line="440" w:lineRule="exact"/>
              <w:jc w:val="center"/>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拟投入项目监测用车（满分6分）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796BCEAD">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磋商人具备满足现场采样监测的车辆，每提供一辆得2分，满分6分。</w:t>
            </w:r>
          </w:p>
          <w:p w14:paraId="4FAD428D">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注：磋商人须提供本单位车辆行驶证复印件，否则不予计分。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328EE3B">
            <w:pPr>
              <w:spacing w:line="440" w:lineRule="exact"/>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6分</w:t>
            </w:r>
          </w:p>
        </w:tc>
      </w:tr>
      <w:tr w14:paraId="44C7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642" w:type="dxa"/>
            <w:tcBorders>
              <w:top w:val="single" w:color="auto" w:sz="4" w:space="0"/>
              <w:left w:val="single" w:color="auto" w:sz="4" w:space="0"/>
              <w:right w:val="single" w:color="auto" w:sz="4" w:space="0"/>
            </w:tcBorders>
            <w:noWrap w:val="0"/>
            <w:vAlign w:val="center"/>
          </w:tcPr>
          <w:p w14:paraId="4C2F1A85">
            <w:pPr>
              <w:spacing w:line="440" w:lineRule="exac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3</w:t>
            </w:r>
          </w:p>
        </w:tc>
        <w:tc>
          <w:tcPr>
            <w:tcW w:w="1154" w:type="dxa"/>
            <w:tcBorders>
              <w:top w:val="single" w:color="auto" w:sz="4" w:space="0"/>
              <w:left w:val="single" w:color="auto" w:sz="4" w:space="0"/>
              <w:right w:val="single" w:color="auto" w:sz="4" w:space="0"/>
            </w:tcBorders>
            <w:noWrap w:val="0"/>
            <w:vAlign w:val="center"/>
          </w:tcPr>
          <w:p w14:paraId="4593E721">
            <w:pPr>
              <w:spacing w:line="44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信誉业绩分（14分）</w:t>
            </w:r>
          </w:p>
        </w:tc>
        <w:tc>
          <w:tcPr>
            <w:tcW w:w="6927" w:type="dxa"/>
            <w:tcBorders>
              <w:top w:val="single" w:color="auto" w:sz="4" w:space="0"/>
              <w:left w:val="single" w:color="auto" w:sz="4" w:space="0"/>
              <w:right w:val="single" w:color="auto" w:sz="4" w:space="0"/>
            </w:tcBorders>
            <w:noWrap w:val="0"/>
            <w:vAlign w:val="center"/>
          </w:tcPr>
          <w:p w14:paraId="4511C8EB">
            <w:pPr>
              <w:rPr>
                <w:rFonts w:hint="default"/>
                <w:color w:val="auto"/>
                <w:highlight w:val="none"/>
              </w:rPr>
            </w:pPr>
            <w:r>
              <w:rPr>
                <w:rFonts w:hint="default"/>
                <w:color w:val="auto"/>
                <w:highlight w:val="none"/>
              </w:rPr>
              <w:t>（1）</w:t>
            </w:r>
            <w:r>
              <w:rPr>
                <w:rFonts w:hint="default"/>
                <w:color w:val="auto"/>
                <w:highlight w:val="none"/>
                <w:lang w:eastAsia="zh-CN"/>
              </w:rPr>
              <w:t>磋商人</w:t>
            </w:r>
            <w:r>
              <w:rPr>
                <w:rFonts w:hint="default"/>
                <w:color w:val="auto"/>
                <w:highlight w:val="none"/>
              </w:rPr>
              <w:t>近</w:t>
            </w:r>
            <w:r>
              <w:rPr>
                <w:rFonts w:hint="eastAsia"/>
                <w:color w:val="auto"/>
                <w:highlight w:val="none"/>
                <w:lang w:val="en-US" w:eastAsia="zh-CN"/>
              </w:rPr>
              <w:t>三</w:t>
            </w:r>
            <w:r>
              <w:rPr>
                <w:rFonts w:hint="default"/>
                <w:color w:val="auto"/>
                <w:highlight w:val="none"/>
              </w:rPr>
              <w:t>年（202</w:t>
            </w:r>
            <w:r>
              <w:rPr>
                <w:rFonts w:hint="eastAsia"/>
                <w:color w:val="auto"/>
                <w:highlight w:val="none"/>
                <w:lang w:val="en-US" w:eastAsia="zh-CN"/>
              </w:rPr>
              <w:t>2</w:t>
            </w:r>
            <w:r>
              <w:rPr>
                <w:rFonts w:hint="default"/>
                <w:color w:val="auto"/>
                <w:highlight w:val="none"/>
              </w:rPr>
              <w:t>年1月1日至202</w:t>
            </w:r>
            <w:r>
              <w:rPr>
                <w:rFonts w:hint="eastAsia"/>
                <w:color w:val="auto"/>
                <w:highlight w:val="none"/>
                <w:lang w:val="en-US" w:eastAsia="zh-CN"/>
              </w:rPr>
              <w:t>5</w:t>
            </w:r>
            <w:r>
              <w:rPr>
                <w:rFonts w:hint="default"/>
                <w:color w:val="auto"/>
                <w:highlight w:val="none"/>
              </w:rPr>
              <w:t>年</w:t>
            </w:r>
            <w:r>
              <w:rPr>
                <w:rFonts w:hint="eastAsia"/>
                <w:color w:val="auto"/>
                <w:highlight w:val="none"/>
                <w:lang w:val="en-US" w:eastAsia="zh-CN"/>
              </w:rPr>
              <w:t>11</w:t>
            </w:r>
            <w:r>
              <w:rPr>
                <w:rFonts w:hint="default"/>
                <w:color w:val="auto"/>
                <w:highlight w:val="none"/>
              </w:rPr>
              <w:t>月</w:t>
            </w:r>
            <w:r>
              <w:rPr>
                <w:rFonts w:hint="eastAsia"/>
                <w:color w:val="auto"/>
                <w:highlight w:val="none"/>
                <w:lang w:val="en-US" w:eastAsia="zh-CN"/>
              </w:rPr>
              <w:t>30</w:t>
            </w:r>
            <w:r>
              <w:rPr>
                <w:rFonts w:hint="default"/>
                <w:color w:val="auto"/>
                <w:highlight w:val="none"/>
              </w:rPr>
              <w:t>日）承担过县（区）级及以上政府部门环境监测相关业绩，每项</w:t>
            </w:r>
            <w:r>
              <w:rPr>
                <w:rFonts w:hint="eastAsia"/>
                <w:color w:val="auto"/>
                <w:highlight w:val="none"/>
                <w:lang w:val="en-US" w:eastAsia="zh-CN"/>
              </w:rPr>
              <w:t>3</w:t>
            </w:r>
            <w:r>
              <w:rPr>
                <w:rFonts w:hint="default"/>
                <w:color w:val="auto"/>
                <w:highlight w:val="none"/>
              </w:rPr>
              <w:t>分，满分</w:t>
            </w:r>
            <w:r>
              <w:rPr>
                <w:rFonts w:hint="eastAsia"/>
                <w:color w:val="auto"/>
                <w:highlight w:val="none"/>
                <w:lang w:val="en-US" w:eastAsia="zh-CN"/>
              </w:rPr>
              <w:t>9</w:t>
            </w:r>
            <w:r>
              <w:rPr>
                <w:rFonts w:hint="default"/>
                <w:color w:val="auto"/>
                <w:highlight w:val="none"/>
              </w:rPr>
              <w:t>分。</w:t>
            </w:r>
          </w:p>
          <w:p w14:paraId="4F583516">
            <w:pPr>
              <w:rPr>
                <w:rFonts w:hint="default"/>
                <w:color w:val="auto"/>
                <w:highlight w:val="none"/>
              </w:rPr>
            </w:pPr>
            <w:r>
              <w:rPr>
                <w:rFonts w:hint="default"/>
                <w:color w:val="auto"/>
                <w:highlight w:val="none"/>
              </w:rPr>
              <w:t>注：</w:t>
            </w:r>
            <w:r>
              <w:rPr>
                <w:rFonts w:hint="default"/>
                <w:color w:val="auto"/>
                <w:highlight w:val="none"/>
                <w:lang w:val="en-US" w:eastAsia="zh-CN"/>
              </w:rPr>
              <w:t>磋商人</w:t>
            </w:r>
            <w:r>
              <w:rPr>
                <w:rFonts w:hint="default"/>
                <w:color w:val="auto"/>
                <w:highlight w:val="none"/>
              </w:rPr>
              <w:t>须提供中标/成交通知书复印件，否则不予计分。</w:t>
            </w:r>
          </w:p>
          <w:p w14:paraId="4C8AA322">
            <w:pPr>
              <w:rPr>
                <w:rFonts w:hint="default"/>
                <w:color w:val="auto"/>
                <w:highlight w:val="none"/>
              </w:rPr>
            </w:pPr>
            <w:r>
              <w:rPr>
                <w:rFonts w:hint="default"/>
                <w:color w:val="auto"/>
                <w:highlight w:val="none"/>
                <w:lang w:eastAsia="zh-CN"/>
              </w:rPr>
              <w:t>磋商人</w:t>
            </w:r>
            <w:r>
              <w:rPr>
                <w:rFonts w:hint="default"/>
                <w:color w:val="auto"/>
                <w:highlight w:val="none"/>
              </w:rPr>
              <w:t>近</w:t>
            </w:r>
            <w:r>
              <w:rPr>
                <w:rFonts w:hint="eastAsia"/>
                <w:color w:val="auto"/>
                <w:highlight w:val="none"/>
                <w:lang w:val="en-US" w:eastAsia="zh-CN"/>
              </w:rPr>
              <w:t>三</w:t>
            </w:r>
            <w:r>
              <w:rPr>
                <w:rFonts w:hint="default"/>
                <w:color w:val="auto"/>
                <w:highlight w:val="none"/>
              </w:rPr>
              <w:t>年（202</w:t>
            </w:r>
            <w:r>
              <w:rPr>
                <w:rFonts w:hint="eastAsia"/>
                <w:color w:val="auto"/>
                <w:highlight w:val="none"/>
                <w:lang w:val="en-US" w:eastAsia="zh-CN"/>
              </w:rPr>
              <w:t>2</w:t>
            </w:r>
            <w:r>
              <w:rPr>
                <w:rFonts w:hint="default"/>
                <w:color w:val="auto"/>
                <w:highlight w:val="none"/>
              </w:rPr>
              <w:t>年1月1日至202</w:t>
            </w:r>
            <w:r>
              <w:rPr>
                <w:rFonts w:hint="eastAsia"/>
                <w:color w:val="auto"/>
                <w:highlight w:val="none"/>
                <w:lang w:val="en-US" w:eastAsia="zh-CN"/>
              </w:rPr>
              <w:t>5</w:t>
            </w:r>
            <w:r>
              <w:rPr>
                <w:rFonts w:hint="default"/>
                <w:color w:val="auto"/>
                <w:highlight w:val="none"/>
              </w:rPr>
              <w:t>年</w:t>
            </w:r>
            <w:r>
              <w:rPr>
                <w:rFonts w:hint="eastAsia"/>
                <w:color w:val="auto"/>
                <w:highlight w:val="none"/>
                <w:lang w:val="en-US" w:eastAsia="zh-CN"/>
              </w:rPr>
              <w:t>11</w:t>
            </w:r>
            <w:r>
              <w:rPr>
                <w:rFonts w:hint="default"/>
                <w:color w:val="auto"/>
                <w:highlight w:val="none"/>
              </w:rPr>
              <w:t>月</w:t>
            </w:r>
            <w:r>
              <w:rPr>
                <w:rFonts w:hint="eastAsia"/>
                <w:color w:val="auto"/>
                <w:highlight w:val="none"/>
                <w:lang w:val="en-US" w:eastAsia="zh-CN"/>
              </w:rPr>
              <w:t>30</w:t>
            </w:r>
            <w:r>
              <w:rPr>
                <w:rFonts w:hint="default"/>
                <w:color w:val="auto"/>
                <w:highlight w:val="none"/>
              </w:rPr>
              <w:t>日）以来参加省级及以上相关环境监测部门组织的实验室能力验证且全部取得满意</w:t>
            </w:r>
            <w:r>
              <w:rPr>
                <w:rFonts w:hint="eastAsia"/>
                <w:color w:val="auto"/>
                <w:highlight w:val="none"/>
                <w:lang w:val="en-US" w:eastAsia="zh-CN"/>
              </w:rPr>
              <w:t>或合格</w:t>
            </w:r>
            <w:r>
              <w:rPr>
                <w:rFonts w:hint="default"/>
                <w:color w:val="auto"/>
                <w:highlight w:val="none"/>
              </w:rPr>
              <w:t>结果的，每项得</w:t>
            </w:r>
            <w:r>
              <w:rPr>
                <w:rFonts w:hint="eastAsia"/>
                <w:color w:val="auto"/>
                <w:highlight w:val="none"/>
                <w:lang w:val="en-US" w:eastAsia="zh-CN"/>
              </w:rPr>
              <w:t>1</w:t>
            </w:r>
            <w:r>
              <w:rPr>
                <w:rFonts w:hint="default"/>
                <w:color w:val="auto"/>
                <w:highlight w:val="none"/>
              </w:rPr>
              <w:t>分，满分</w:t>
            </w:r>
            <w:r>
              <w:rPr>
                <w:rFonts w:hint="eastAsia"/>
                <w:color w:val="auto"/>
                <w:highlight w:val="none"/>
                <w:lang w:val="en-US" w:eastAsia="zh-CN"/>
              </w:rPr>
              <w:t>5</w:t>
            </w:r>
            <w:r>
              <w:rPr>
                <w:rFonts w:hint="default"/>
                <w:color w:val="auto"/>
                <w:highlight w:val="none"/>
              </w:rPr>
              <w:t>分。</w:t>
            </w:r>
          </w:p>
          <w:p w14:paraId="2AC42952">
            <w:pPr>
              <w:spacing w:line="440" w:lineRule="exact"/>
              <w:jc w:val="both"/>
              <w:rPr>
                <w:rFonts w:hint="eastAsia" w:ascii="宋体" w:hAnsi="宋体" w:eastAsia="宋体" w:cs="宋体"/>
                <w:bCs/>
                <w:color w:val="auto"/>
                <w:highlight w:val="none"/>
              </w:rPr>
            </w:pPr>
            <w:r>
              <w:rPr>
                <w:rFonts w:hint="default"/>
                <w:color w:val="auto"/>
                <w:highlight w:val="none"/>
              </w:rPr>
              <w:t>注：磋商人须提供相关证明材料复印件，否则不予计分。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8A3E261">
            <w:pPr>
              <w:spacing w:line="440" w:lineRule="exact"/>
              <w:jc w:val="center"/>
              <w:rPr>
                <w:rFonts w:hint="eastAsia" w:ascii="宋体" w:hAnsi="宋体" w:eastAsia="宋体" w:cs="宋体"/>
                <w:bCs/>
                <w:color w:val="auto"/>
                <w:highlight w:val="none"/>
              </w:rPr>
            </w:pPr>
            <w:r>
              <w:rPr>
                <w:rFonts w:hint="eastAsia" w:ascii="宋体" w:hAnsi="宋体" w:cs="宋体"/>
                <w:bCs/>
                <w:color w:val="auto"/>
                <w:highlight w:val="none"/>
                <w:lang w:val="en-US" w:eastAsia="zh-CN"/>
              </w:rPr>
              <w:t>14</w:t>
            </w:r>
            <w:r>
              <w:rPr>
                <w:rFonts w:hint="eastAsia" w:ascii="宋体" w:hAnsi="宋体" w:eastAsia="宋体" w:cs="宋体"/>
                <w:bCs/>
                <w:color w:val="auto"/>
                <w:highlight w:val="none"/>
              </w:rPr>
              <w:t>分</w:t>
            </w:r>
          </w:p>
        </w:tc>
      </w:tr>
      <w:tr w14:paraId="0F19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3" w:type="dxa"/>
            <w:gridSpan w:val="3"/>
            <w:tcBorders>
              <w:top w:val="single" w:color="auto" w:sz="4" w:space="0"/>
              <w:left w:val="single" w:color="auto" w:sz="4" w:space="0"/>
              <w:bottom w:val="single" w:color="auto" w:sz="4" w:space="0"/>
              <w:right w:val="single" w:color="auto" w:sz="4" w:space="0"/>
            </w:tcBorders>
            <w:noWrap w:val="0"/>
            <w:vAlign w:val="center"/>
          </w:tcPr>
          <w:p w14:paraId="76AE1670">
            <w:pPr>
              <w:spacing w:line="440" w:lineRule="exact"/>
              <w:ind w:firstLine="422" w:firstLineChars="200"/>
              <w:rPr>
                <w:rFonts w:hint="eastAsia" w:ascii="宋体" w:hAnsi="宋体" w:eastAsia="宋体" w:cs="宋体"/>
                <w:bCs/>
                <w:color w:val="auto"/>
                <w:highlight w:val="none"/>
              </w:rPr>
            </w:pPr>
            <w:r>
              <w:rPr>
                <w:rFonts w:hint="eastAsia" w:ascii="宋体" w:hAnsi="宋体" w:eastAsia="宋体" w:cs="宋体"/>
                <w:b/>
                <w:bCs w:val="0"/>
                <w:color w:val="auto"/>
                <w:highlight w:val="none"/>
              </w:rPr>
              <w:t>注：以上评分中出现无证明资料、提供资料不完整或专家无法凭所提供资料判断是否得分的情况，一律作不得分处理。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6006C5C">
            <w:pPr>
              <w:spacing w:line="440" w:lineRule="exact"/>
              <w:rPr>
                <w:rFonts w:hint="eastAsia" w:ascii="宋体" w:hAnsi="宋体" w:eastAsia="宋体" w:cs="宋体"/>
                <w:bCs/>
                <w:color w:val="auto"/>
                <w:highlight w:val="none"/>
              </w:rPr>
            </w:pPr>
          </w:p>
        </w:tc>
      </w:tr>
      <w:tr w14:paraId="2516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79" w:type="dxa"/>
            <w:gridSpan w:val="4"/>
            <w:tcBorders>
              <w:top w:val="single" w:color="auto" w:sz="4" w:space="0"/>
              <w:left w:val="single" w:color="auto" w:sz="4" w:space="0"/>
              <w:bottom w:val="single" w:color="auto" w:sz="4" w:space="0"/>
              <w:right w:val="single" w:color="auto" w:sz="4" w:space="0"/>
            </w:tcBorders>
            <w:noWrap w:val="0"/>
            <w:vAlign w:val="center"/>
          </w:tcPr>
          <w:p w14:paraId="347F6EBC">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总得分＝1＋2＋3+4</w:t>
            </w:r>
          </w:p>
        </w:tc>
      </w:tr>
    </w:tbl>
    <w:p w14:paraId="1AFF6DCD">
      <w:pPr>
        <w:pStyle w:val="50"/>
        <w:rPr>
          <w:rFonts w:hint="default"/>
          <w:color w:val="auto"/>
          <w:highlight w:val="none"/>
        </w:rPr>
      </w:pPr>
    </w:p>
    <w:p w14:paraId="52BDBDE5">
      <w:pPr>
        <w:rPr>
          <w:rFonts w:hint="default" w:ascii="Times New Roman" w:hAnsi="Times New Roman" w:cs="Times New Roman"/>
          <w:color w:val="auto"/>
          <w:highlight w:val="none"/>
        </w:rPr>
      </w:pPr>
    </w:p>
    <w:p w14:paraId="32D26847">
      <w:pP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br w:type="page"/>
      </w:r>
    </w:p>
    <w:p w14:paraId="0677BB3A">
      <w:pPr>
        <w:adjustRightInd w:val="0"/>
        <w:spacing w:before="156" w:after="158" w:line="360" w:lineRule="auto"/>
        <w:ind w:right="218" w:rightChars="104" w:firstLine="720" w:firstLineChars="20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贺州市金融机构线上“政采贷”业务办理联络表</w:t>
      </w:r>
    </w:p>
    <w:p w14:paraId="25890228">
      <w:pPr>
        <w:jc w:val="center"/>
        <w:outlineLvl w:val="0"/>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“政采贷”政策告知函</w:t>
      </w:r>
    </w:p>
    <w:p w14:paraId="2A7D0CB4">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4B00890F">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欢迎贵公司参与贺州市政府采购活动!</w:t>
      </w:r>
    </w:p>
    <w:p w14:paraId="7824EBE0">
      <w:pPr>
        <w:widowControl/>
        <w:adjustRightInd w:val="0"/>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46308BF5">
      <w:pPr>
        <w:widowControl/>
        <w:adjustRightInd w:val="0"/>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一、“政采贷”操作流程</w:t>
      </w:r>
    </w:p>
    <w:p w14:paraId="4E0156DE">
      <w:pPr>
        <w:widowControl/>
        <w:adjustRightInd w:val="0"/>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进入“广西政府采购网”（</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"http://zfcg.gxzf.gov.cn/" </w:instrText>
      </w:r>
      <w:r>
        <w:rPr>
          <w:rFonts w:hint="eastAsia" w:ascii="宋体" w:hAnsi="宋体" w:cs="宋体"/>
          <w:color w:val="auto"/>
          <w:szCs w:val="21"/>
          <w:highlight w:val="none"/>
        </w:rPr>
        <w:fldChar w:fldCharType="separate"/>
      </w:r>
      <w:r>
        <w:rPr>
          <w:rStyle w:val="44"/>
          <w:rFonts w:hint="eastAsia" w:ascii="宋体" w:hAnsi="宋体" w:cs="宋体"/>
          <w:color w:val="auto"/>
          <w:szCs w:val="21"/>
          <w:highlight w:val="none"/>
        </w:rPr>
        <w:t>http://zfcg.gxzf.gov.cn/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办事指南”专栏找到“金融融资”板块，进入“广西政府采购金融服务平台”登录，选择试点银行机构进行合同融资预申请。（详情请按照《贺州市财政局关于进一步推行“政采贷”工作的通知》（贺财采〔2024〕3号）文件执行）</w:t>
      </w:r>
    </w:p>
    <w:p w14:paraId="7E9E9760">
      <w:pPr>
        <w:widowControl/>
        <w:adjustRightInd w:val="0"/>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二、承接银行联系方式</w:t>
      </w:r>
    </w:p>
    <w:p w14:paraId="274EE8F6">
      <w:pPr>
        <w:widowControl/>
        <w:adjustRightInd w:val="0"/>
        <w:snapToGrid w:val="0"/>
        <w:spacing w:line="4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1.中国建设银行贺州分行</w:t>
      </w:r>
      <w:r>
        <w:rPr>
          <w:rFonts w:hint="eastAsia" w:ascii="黑体" w:hAnsi="黑体" w:eastAsia="黑体" w:cs="黑体"/>
          <w:color w:val="auto"/>
          <w:sz w:val="28"/>
          <w:szCs w:val="28"/>
          <w:highlight w:val="none"/>
        </w:rPr>
        <w:tab/>
      </w:r>
    </w:p>
    <w:tbl>
      <w:tblPr>
        <w:tblStyle w:val="33"/>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546C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1010BCE8">
            <w:pPr>
              <w:widowControl/>
              <w:tabs>
                <w:tab w:val="left" w:pos="2172"/>
              </w:tabs>
              <w:adjustRightInd w:val="0"/>
              <w:snapToGrid w:val="0"/>
              <w:rPr>
                <w:rFonts w:hint="eastAsia" w:ascii="宋体" w:hAnsi="宋体" w:cs="宋体"/>
                <w:color w:val="auto"/>
                <w:szCs w:val="21"/>
                <w:highlight w:val="none"/>
              </w:rPr>
            </w:pPr>
            <w:r>
              <w:rPr>
                <w:rFonts w:hint="eastAsia" w:ascii="宋体" w:hAnsi="宋体" w:cs="宋体"/>
                <w:color w:val="auto"/>
                <w:kern w:val="0"/>
                <w:szCs w:val="21"/>
                <w:highlight w:val="none"/>
                <w:lang w:bidi="ar"/>
              </w:rPr>
              <w:t>中国建设银行贺州分行 总协调人：杨宏毅  职务：公司业务部副总经理  手机号码：18077397188</w:t>
            </w:r>
          </w:p>
        </w:tc>
      </w:tr>
      <w:tr w14:paraId="539C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415C1594">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 w:val="24"/>
                <w:highlight w:val="none"/>
                <w:lang w:bidi="ar"/>
              </w:rPr>
              <w:t>序号</w:t>
            </w:r>
          </w:p>
        </w:tc>
        <w:tc>
          <w:tcPr>
            <w:tcW w:w="2360" w:type="dxa"/>
            <w:vAlign w:val="center"/>
          </w:tcPr>
          <w:p w14:paraId="306BA2CC">
            <w:pPr>
              <w:widowControl/>
              <w:tabs>
                <w:tab w:val="left" w:pos="2172"/>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金融机构</w:t>
            </w:r>
          </w:p>
        </w:tc>
        <w:tc>
          <w:tcPr>
            <w:tcW w:w="1172" w:type="dxa"/>
            <w:vAlign w:val="center"/>
          </w:tcPr>
          <w:p w14:paraId="6E644F39">
            <w:pPr>
              <w:widowControl/>
              <w:tabs>
                <w:tab w:val="left" w:pos="2172"/>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1137" w:type="dxa"/>
            <w:vAlign w:val="center"/>
          </w:tcPr>
          <w:p w14:paraId="425C5B4C">
            <w:pPr>
              <w:widowControl/>
              <w:tabs>
                <w:tab w:val="left" w:pos="2172"/>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916" w:type="dxa"/>
            <w:vAlign w:val="center"/>
          </w:tcPr>
          <w:p w14:paraId="15F8B0F5">
            <w:pPr>
              <w:widowControl/>
              <w:tabs>
                <w:tab w:val="left" w:pos="2172"/>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手机号码</w:t>
            </w:r>
          </w:p>
        </w:tc>
        <w:tc>
          <w:tcPr>
            <w:tcW w:w="2625" w:type="dxa"/>
            <w:vAlign w:val="center"/>
          </w:tcPr>
          <w:p w14:paraId="4FCCF172">
            <w:pPr>
              <w:widowControl/>
              <w:tabs>
                <w:tab w:val="left" w:pos="2172"/>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银行地址</w:t>
            </w:r>
          </w:p>
        </w:tc>
      </w:tr>
      <w:tr w14:paraId="0E4A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vAlign w:val="center"/>
          </w:tcPr>
          <w:p w14:paraId="1F0AC76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1</w:t>
            </w:r>
          </w:p>
        </w:tc>
        <w:tc>
          <w:tcPr>
            <w:tcW w:w="2360" w:type="dxa"/>
            <w:vAlign w:val="center"/>
          </w:tcPr>
          <w:p w14:paraId="2C7A8CF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中国建设银行贺州分行营业部</w:t>
            </w:r>
          </w:p>
        </w:tc>
        <w:tc>
          <w:tcPr>
            <w:tcW w:w="1172" w:type="dxa"/>
            <w:vAlign w:val="center"/>
          </w:tcPr>
          <w:p w14:paraId="53B2447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刘  雍</w:t>
            </w:r>
          </w:p>
        </w:tc>
        <w:tc>
          <w:tcPr>
            <w:tcW w:w="1137" w:type="dxa"/>
            <w:vAlign w:val="center"/>
          </w:tcPr>
          <w:p w14:paraId="1A1717E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客户经理</w:t>
            </w:r>
          </w:p>
        </w:tc>
        <w:tc>
          <w:tcPr>
            <w:tcW w:w="1916" w:type="dxa"/>
            <w:vAlign w:val="center"/>
          </w:tcPr>
          <w:p w14:paraId="4AC19A8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18778943521</w:t>
            </w:r>
          </w:p>
        </w:tc>
        <w:tc>
          <w:tcPr>
            <w:tcW w:w="2625" w:type="dxa"/>
            <w:vAlign w:val="center"/>
          </w:tcPr>
          <w:p w14:paraId="1254378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贺州市八步区建设中路1号</w:t>
            </w:r>
          </w:p>
        </w:tc>
      </w:tr>
      <w:tr w14:paraId="3C80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7E5A6F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4"/>
                <w:highlight w:val="none"/>
                <w:lang w:bidi="ar"/>
              </w:rPr>
              <w:t>2</w:t>
            </w:r>
          </w:p>
        </w:tc>
        <w:tc>
          <w:tcPr>
            <w:tcW w:w="2360" w:type="dxa"/>
            <w:vAlign w:val="center"/>
          </w:tcPr>
          <w:p w14:paraId="48F1716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中国建设银行贺州城东支行</w:t>
            </w:r>
          </w:p>
        </w:tc>
        <w:tc>
          <w:tcPr>
            <w:tcW w:w="1172" w:type="dxa"/>
            <w:vAlign w:val="center"/>
          </w:tcPr>
          <w:p w14:paraId="7FBE902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刘昭勇</w:t>
            </w:r>
          </w:p>
        </w:tc>
        <w:tc>
          <w:tcPr>
            <w:tcW w:w="1137" w:type="dxa"/>
            <w:vAlign w:val="center"/>
          </w:tcPr>
          <w:p w14:paraId="7420739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客户经理</w:t>
            </w:r>
          </w:p>
        </w:tc>
        <w:tc>
          <w:tcPr>
            <w:tcW w:w="1916" w:type="dxa"/>
            <w:vAlign w:val="center"/>
          </w:tcPr>
          <w:p w14:paraId="4861C4A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18877499257</w:t>
            </w:r>
          </w:p>
        </w:tc>
        <w:tc>
          <w:tcPr>
            <w:tcW w:w="2625" w:type="dxa"/>
            <w:vAlign w:val="center"/>
          </w:tcPr>
          <w:p w14:paraId="6036586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贺州市八步区平安西路266号贺州广场购物中心1号楼一层东面</w:t>
            </w:r>
          </w:p>
        </w:tc>
      </w:tr>
      <w:tr w14:paraId="0880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19B251D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4"/>
                <w:highlight w:val="none"/>
                <w:lang w:bidi="ar"/>
              </w:rPr>
              <w:t>3</w:t>
            </w:r>
          </w:p>
        </w:tc>
        <w:tc>
          <w:tcPr>
            <w:tcW w:w="2360" w:type="dxa"/>
            <w:vAlign w:val="center"/>
          </w:tcPr>
          <w:p w14:paraId="6D21681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中国建设银行贺州城西支行</w:t>
            </w:r>
          </w:p>
        </w:tc>
        <w:tc>
          <w:tcPr>
            <w:tcW w:w="1172" w:type="dxa"/>
            <w:vAlign w:val="center"/>
          </w:tcPr>
          <w:p w14:paraId="6657671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于丛家</w:t>
            </w:r>
          </w:p>
        </w:tc>
        <w:tc>
          <w:tcPr>
            <w:tcW w:w="1137" w:type="dxa"/>
            <w:vAlign w:val="center"/>
          </w:tcPr>
          <w:p w14:paraId="2AB9C53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客户经理</w:t>
            </w:r>
          </w:p>
        </w:tc>
        <w:tc>
          <w:tcPr>
            <w:tcW w:w="1916" w:type="dxa"/>
            <w:vAlign w:val="center"/>
          </w:tcPr>
          <w:p w14:paraId="1142C6A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15177666737</w:t>
            </w:r>
          </w:p>
        </w:tc>
        <w:tc>
          <w:tcPr>
            <w:tcW w:w="2625" w:type="dxa"/>
            <w:vAlign w:val="center"/>
          </w:tcPr>
          <w:p w14:paraId="4B5B429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贺州市八步区八达西路689号1栋11号商铺</w:t>
            </w:r>
          </w:p>
        </w:tc>
      </w:tr>
      <w:tr w14:paraId="660B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859C64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4"/>
                <w:highlight w:val="none"/>
                <w:lang w:bidi="ar"/>
              </w:rPr>
              <w:t>4</w:t>
            </w:r>
          </w:p>
        </w:tc>
        <w:tc>
          <w:tcPr>
            <w:tcW w:w="2360" w:type="dxa"/>
            <w:vAlign w:val="center"/>
          </w:tcPr>
          <w:p w14:paraId="0BB6AD1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中国建设银行贺州平桂支行</w:t>
            </w:r>
          </w:p>
        </w:tc>
        <w:tc>
          <w:tcPr>
            <w:tcW w:w="1172" w:type="dxa"/>
            <w:vAlign w:val="center"/>
          </w:tcPr>
          <w:p w14:paraId="0A48A27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邱  伟</w:t>
            </w:r>
          </w:p>
        </w:tc>
        <w:tc>
          <w:tcPr>
            <w:tcW w:w="1137" w:type="dxa"/>
            <w:vAlign w:val="center"/>
          </w:tcPr>
          <w:p w14:paraId="4089500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客户经理</w:t>
            </w:r>
          </w:p>
        </w:tc>
        <w:tc>
          <w:tcPr>
            <w:tcW w:w="1916" w:type="dxa"/>
            <w:vAlign w:val="center"/>
          </w:tcPr>
          <w:p w14:paraId="1F2ED8F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18007840720</w:t>
            </w:r>
          </w:p>
        </w:tc>
        <w:tc>
          <w:tcPr>
            <w:tcW w:w="2625" w:type="dxa"/>
            <w:vAlign w:val="center"/>
          </w:tcPr>
          <w:p w14:paraId="783C67E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贺州市平桂区平桂大道15号富旺小区1号楼105号商铺</w:t>
            </w:r>
          </w:p>
        </w:tc>
      </w:tr>
      <w:tr w14:paraId="2D38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268F8CF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4"/>
                <w:highlight w:val="none"/>
                <w:lang w:bidi="ar"/>
              </w:rPr>
              <w:t>5</w:t>
            </w:r>
          </w:p>
        </w:tc>
        <w:tc>
          <w:tcPr>
            <w:tcW w:w="2360" w:type="dxa"/>
            <w:vAlign w:val="center"/>
          </w:tcPr>
          <w:p w14:paraId="39C9DFB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中国建设银行钟山支行</w:t>
            </w:r>
          </w:p>
        </w:tc>
        <w:tc>
          <w:tcPr>
            <w:tcW w:w="1172" w:type="dxa"/>
            <w:vAlign w:val="center"/>
          </w:tcPr>
          <w:p w14:paraId="07894E6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张文韬</w:t>
            </w:r>
          </w:p>
        </w:tc>
        <w:tc>
          <w:tcPr>
            <w:tcW w:w="1137" w:type="dxa"/>
            <w:vAlign w:val="center"/>
          </w:tcPr>
          <w:p w14:paraId="7656FD7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客户经理</w:t>
            </w:r>
          </w:p>
        </w:tc>
        <w:tc>
          <w:tcPr>
            <w:tcW w:w="1916" w:type="dxa"/>
            <w:vAlign w:val="center"/>
          </w:tcPr>
          <w:p w14:paraId="47E45E5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13047836009</w:t>
            </w:r>
          </w:p>
        </w:tc>
        <w:tc>
          <w:tcPr>
            <w:tcW w:w="2625" w:type="dxa"/>
            <w:vAlign w:val="center"/>
          </w:tcPr>
          <w:p w14:paraId="3E583DF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贺州市钟山县城书香西路南侧</w:t>
            </w:r>
          </w:p>
        </w:tc>
      </w:tr>
      <w:tr w14:paraId="1C88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FA2D8E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2360" w:type="dxa"/>
            <w:vAlign w:val="center"/>
          </w:tcPr>
          <w:p w14:paraId="638A5A0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中国建设银行富川支行</w:t>
            </w:r>
          </w:p>
        </w:tc>
        <w:tc>
          <w:tcPr>
            <w:tcW w:w="1172" w:type="dxa"/>
            <w:vAlign w:val="center"/>
          </w:tcPr>
          <w:p w14:paraId="221FF58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邓李杰</w:t>
            </w:r>
          </w:p>
        </w:tc>
        <w:tc>
          <w:tcPr>
            <w:tcW w:w="1137" w:type="dxa"/>
            <w:vAlign w:val="center"/>
          </w:tcPr>
          <w:p w14:paraId="3004F7B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营业室总经理</w:t>
            </w:r>
          </w:p>
        </w:tc>
        <w:tc>
          <w:tcPr>
            <w:tcW w:w="1916" w:type="dxa"/>
            <w:vAlign w:val="center"/>
          </w:tcPr>
          <w:p w14:paraId="57F903E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18276498401</w:t>
            </w:r>
          </w:p>
        </w:tc>
        <w:tc>
          <w:tcPr>
            <w:tcW w:w="2625" w:type="dxa"/>
            <w:vAlign w:val="center"/>
          </w:tcPr>
          <w:p w14:paraId="596862D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贺州市富川瑶族自治县富阳镇凤凰路汇龙华府第13号楼</w:t>
            </w:r>
          </w:p>
        </w:tc>
      </w:tr>
      <w:tr w14:paraId="0981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888EAD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2360" w:type="dxa"/>
            <w:vAlign w:val="center"/>
          </w:tcPr>
          <w:p w14:paraId="1C61CA7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中国建设银行昭平支行</w:t>
            </w:r>
          </w:p>
        </w:tc>
        <w:tc>
          <w:tcPr>
            <w:tcW w:w="1172" w:type="dxa"/>
            <w:vAlign w:val="center"/>
          </w:tcPr>
          <w:p w14:paraId="0E469FC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贝晟延</w:t>
            </w:r>
          </w:p>
        </w:tc>
        <w:tc>
          <w:tcPr>
            <w:tcW w:w="1137" w:type="dxa"/>
            <w:vAlign w:val="center"/>
          </w:tcPr>
          <w:p w14:paraId="214416C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客户经理</w:t>
            </w:r>
          </w:p>
        </w:tc>
        <w:tc>
          <w:tcPr>
            <w:tcW w:w="1916" w:type="dxa"/>
            <w:vAlign w:val="center"/>
          </w:tcPr>
          <w:p w14:paraId="5F4D062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15676427374</w:t>
            </w:r>
          </w:p>
        </w:tc>
        <w:tc>
          <w:tcPr>
            <w:tcW w:w="2625" w:type="dxa"/>
            <w:vAlign w:val="center"/>
          </w:tcPr>
          <w:p w14:paraId="6BB5414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贺州市昭平县昭平镇东宁中路19号</w:t>
            </w:r>
          </w:p>
        </w:tc>
      </w:tr>
    </w:tbl>
    <w:p w14:paraId="3303CDF0">
      <w:pPr>
        <w:widowControl/>
        <w:adjustRightInd w:val="0"/>
        <w:snapToGrid w:val="0"/>
        <w:spacing w:line="4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2.广西北部湾银行</w:t>
      </w:r>
    </w:p>
    <w:tbl>
      <w:tblPr>
        <w:tblStyle w:val="33"/>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4239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7ABDA669">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广西北部湾银行贺州分行 总协调人：杨政  职务：普惠金融部总经理  手机号码：18978413000</w:t>
            </w:r>
          </w:p>
        </w:tc>
      </w:tr>
      <w:tr w14:paraId="1888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0692E0AD">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序号</w:t>
            </w:r>
          </w:p>
        </w:tc>
        <w:tc>
          <w:tcPr>
            <w:tcW w:w="2348" w:type="dxa"/>
            <w:vAlign w:val="center"/>
          </w:tcPr>
          <w:p w14:paraId="1A3B6CEA">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金融机构</w:t>
            </w:r>
          </w:p>
        </w:tc>
        <w:tc>
          <w:tcPr>
            <w:tcW w:w="685" w:type="dxa"/>
            <w:vAlign w:val="center"/>
          </w:tcPr>
          <w:p w14:paraId="3C447B57">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联系人</w:t>
            </w:r>
          </w:p>
        </w:tc>
        <w:tc>
          <w:tcPr>
            <w:tcW w:w="1210" w:type="dxa"/>
            <w:vAlign w:val="center"/>
          </w:tcPr>
          <w:p w14:paraId="44ECCDC3">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职务</w:t>
            </w:r>
          </w:p>
        </w:tc>
        <w:tc>
          <w:tcPr>
            <w:tcW w:w="917" w:type="dxa"/>
            <w:vAlign w:val="center"/>
          </w:tcPr>
          <w:p w14:paraId="4D844E06">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手机号码</w:t>
            </w:r>
          </w:p>
        </w:tc>
        <w:tc>
          <w:tcPr>
            <w:tcW w:w="3906" w:type="dxa"/>
            <w:vAlign w:val="center"/>
          </w:tcPr>
          <w:p w14:paraId="13EE9AD9">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银行地址</w:t>
            </w:r>
          </w:p>
        </w:tc>
      </w:tr>
      <w:tr w14:paraId="56E0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037EA97">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348" w:type="dxa"/>
            <w:vAlign w:val="center"/>
          </w:tcPr>
          <w:p w14:paraId="3536B41F">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广西北部湾银行贺州分行</w:t>
            </w:r>
          </w:p>
        </w:tc>
        <w:tc>
          <w:tcPr>
            <w:tcW w:w="685" w:type="dxa"/>
            <w:vAlign w:val="center"/>
          </w:tcPr>
          <w:p w14:paraId="1918E8E3">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黄剑锐</w:t>
            </w:r>
          </w:p>
        </w:tc>
        <w:tc>
          <w:tcPr>
            <w:tcW w:w="1210" w:type="dxa"/>
            <w:vAlign w:val="center"/>
          </w:tcPr>
          <w:p w14:paraId="614AC465">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个人金融部副经理</w:t>
            </w:r>
          </w:p>
        </w:tc>
        <w:tc>
          <w:tcPr>
            <w:tcW w:w="917" w:type="dxa"/>
            <w:vAlign w:val="center"/>
          </w:tcPr>
          <w:p w14:paraId="5F516B60">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15507848190</w:t>
            </w:r>
          </w:p>
        </w:tc>
        <w:tc>
          <w:tcPr>
            <w:tcW w:w="3906" w:type="dxa"/>
            <w:vAlign w:val="center"/>
          </w:tcPr>
          <w:p w14:paraId="6117A73A">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贺州市八步区太白西路153号8号楼</w:t>
            </w:r>
          </w:p>
        </w:tc>
      </w:tr>
      <w:tr w14:paraId="21DF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8F39621">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2348" w:type="dxa"/>
            <w:vAlign w:val="center"/>
          </w:tcPr>
          <w:p w14:paraId="6D3E5D50">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广西北部湾银行贺州市平桂支行</w:t>
            </w:r>
          </w:p>
        </w:tc>
        <w:tc>
          <w:tcPr>
            <w:tcW w:w="685" w:type="dxa"/>
            <w:vAlign w:val="center"/>
          </w:tcPr>
          <w:p w14:paraId="16768F8D">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刘  乐</w:t>
            </w:r>
          </w:p>
        </w:tc>
        <w:tc>
          <w:tcPr>
            <w:tcW w:w="1210" w:type="dxa"/>
            <w:vAlign w:val="center"/>
          </w:tcPr>
          <w:p w14:paraId="75161341">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公司客户经理</w:t>
            </w:r>
          </w:p>
        </w:tc>
        <w:tc>
          <w:tcPr>
            <w:tcW w:w="917" w:type="dxa"/>
            <w:vAlign w:val="center"/>
          </w:tcPr>
          <w:p w14:paraId="158624E2">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13036871008</w:t>
            </w:r>
          </w:p>
        </w:tc>
        <w:tc>
          <w:tcPr>
            <w:tcW w:w="3906" w:type="dxa"/>
            <w:vAlign w:val="center"/>
          </w:tcPr>
          <w:p w14:paraId="2389C7F7">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贺州市平桂区平桂大道4号3号楼103号商铺</w:t>
            </w:r>
          </w:p>
        </w:tc>
      </w:tr>
      <w:tr w14:paraId="204F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1BF9D9B">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2348" w:type="dxa"/>
            <w:vAlign w:val="center"/>
          </w:tcPr>
          <w:p w14:paraId="0C1786AD">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广西北部湾银行钟山支行</w:t>
            </w:r>
          </w:p>
        </w:tc>
        <w:tc>
          <w:tcPr>
            <w:tcW w:w="685" w:type="dxa"/>
            <w:vAlign w:val="center"/>
          </w:tcPr>
          <w:p w14:paraId="272B1D68">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唐振豪</w:t>
            </w:r>
          </w:p>
        </w:tc>
        <w:tc>
          <w:tcPr>
            <w:tcW w:w="1210" w:type="dxa"/>
            <w:vAlign w:val="center"/>
          </w:tcPr>
          <w:p w14:paraId="541F4389">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公司客户经理</w:t>
            </w:r>
          </w:p>
        </w:tc>
        <w:tc>
          <w:tcPr>
            <w:tcW w:w="917" w:type="dxa"/>
            <w:vAlign w:val="center"/>
          </w:tcPr>
          <w:p w14:paraId="62136C59">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18878480702</w:t>
            </w:r>
          </w:p>
        </w:tc>
        <w:tc>
          <w:tcPr>
            <w:tcW w:w="3906" w:type="dxa"/>
            <w:vAlign w:val="center"/>
          </w:tcPr>
          <w:p w14:paraId="3100B81E">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贺州市钟山县广场西路南侧悦城壹号院B区1#楼B09-13号商铺</w:t>
            </w:r>
          </w:p>
        </w:tc>
      </w:tr>
      <w:tr w14:paraId="72B7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0136E30">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2348" w:type="dxa"/>
            <w:vAlign w:val="center"/>
          </w:tcPr>
          <w:p w14:paraId="6588C919">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广西北部湾银行富川支行</w:t>
            </w:r>
          </w:p>
        </w:tc>
        <w:tc>
          <w:tcPr>
            <w:tcW w:w="685" w:type="dxa"/>
            <w:vAlign w:val="center"/>
          </w:tcPr>
          <w:p w14:paraId="76840B8A">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秦明龙</w:t>
            </w:r>
          </w:p>
        </w:tc>
        <w:tc>
          <w:tcPr>
            <w:tcW w:w="1210" w:type="dxa"/>
            <w:vAlign w:val="center"/>
          </w:tcPr>
          <w:p w14:paraId="56162E65">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业务发展部经理</w:t>
            </w:r>
          </w:p>
        </w:tc>
        <w:tc>
          <w:tcPr>
            <w:tcW w:w="917" w:type="dxa"/>
            <w:vAlign w:val="center"/>
          </w:tcPr>
          <w:p w14:paraId="336BD438">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17776119667</w:t>
            </w:r>
          </w:p>
        </w:tc>
        <w:tc>
          <w:tcPr>
            <w:tcW w:w="3906" w:type="dxa"/>
            <w:vAlign w:val="center"/>
          </w:tcPr>
          <w:p w14:paraId="63A357F5">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贺州市富川瑶族自治县富阳镇凤凰路121号</w:t>
            </w:r>
          </w:p>
        </w:tc>
      </w:tr>
      <w:tr w14:paraId="5978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71D4DCCD">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2348" w:type="dxa"/>
            <w:vAlign w:val="center"/>
          </w:tcPr>
          <w:p w14:paraId="24E78E58">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广西北部湾银行昭平支行</w:t>
            </w:r>
          </w:p>
        </w:tc>
        <w:tc>
          <w:tcPr>
            <w:tcW w:w="685" w:type="dxa"/>
            <w:vAlign w:val="center"/>
          </w:tcPr>
          <w:p w14:paraId="1956EFF9">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邱俊豪</w:t>
            </w:r>
          </w:p>
        </w:tc>
        <w:tc>
          <w:tcPr>
            <w:tcW w:w="1210" w:type="dxa"/>
            <w:vAlign w:val="center"/>
          </w:tcPr>
          <w:p w14:paraId="302AFE99">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综合客户经理</w:t>
            </w:r>
          </w:p>
        </w:tc>
        <w:tc>
          <w:tcPr>
            <w:tcW w:w="917" w:type="dxa"/>
            <w:vAlign w:val="center"/>
          </w:tcPr>
          <w:p w14:paraId="30D6CA0A">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18107842696</w:t>
            </w:r>
          </w:p>
        </w:tc>
        <w:tc>
          <w:tcPr>
            <w:tcW w:w="3906" w:type="dxa"/>
            <w:vAlign w:val="center"/>
          </w:tcPr>
          <w:p w14:paraId="12EFD483">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贺州市昭平县昭平镇河西东路（江湾一号）101-103铺面</w:t>
            </w:r>
          </w:p>
        </w:tc>
      </w:tr>
    </w:tbl>
    <w:p w14:paraId="7D9BB2A8">
      <w:pPr>
        <w:rPr>
          <w:color w:val="auto"/>
          <w:szCs w:val="21"/>
          <w:highlight w:val="none"/>
        </w:rPr>
      </w:pPr>
    </w:p>
    <w:p w14:paraId="0DFA0EA8">
      <w:pPr>
        <w:widowControl/>
        <w:adjustRightInd w:val="0"/>
        <w:snapToGrid w:val="0"/>
        <w:spacing w:line="460" w:lineRule="exact"/>
        <w:ind w:firstLine="560" w:firstLineChars="200"/>
        <w:rPr>
          <w:rFonts w:hint="eastAsia" w:ascii="黑体" w:hAnsi="黑体" w:eastAsia="黑体" w:cs="黑体"/>
          <w:color w:val="auto"/>
          <w:szCs w:val="21"/>
          <w:highlight w:val="none"/>
        </w:rPr>
      </w:pPr>
      <w:r>
        <w:rPr>
          <w:rFonts w:hint="eastAsia" w:ascii="黑体" w:hAnsi="黑体" w:eastAsia="黑体" w:cs="黑体"/>
          <w:color w:val="auto"/>
          <w:sz w:val="28"/>
          <w:szCs w:val="28"/>
          <w:highlight w:val="none"/>
        </w:rPr>
        <w:t>3.广西贺州桂东农村合作银行</w:t>
      </w:r>
    </w:p>
    <w:tbl>
      <w:tblPr>
        <w:tblStyle w:val="33"/>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41F3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4ED2A409">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广西贺州桂东农村合作银行 总协调人：卢士强  职务：授信审批部总经理  手机号码：18077409115</w:t>
            </w:r>
          </w:p>
        </w:tc>
      </w:tr>
      <w:tr w14:paraId="3572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4BA9E077">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序号</w:t>
            </w:r>
          </w:p>
        </w:tc>
        <w:tc>
          <w:tcPr>
            <w:tcW w:w="2348" w:type="dxa"/>
            <w:vAlign w:val="center"/>
          </w:tcPr>
          <w:p w14:paraId="079E232D">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金融机构</w:t>
            </w:r>
          </w:p>
        </w:tc>
        <w:tc>
          <w:tcPr>
            <w:tcW w:w="994" w:type="dxa"/>
            <w:vAlign w:val="center"/>
          </w:tcPr>
          <w:p w14:paraId="64BB5EF7">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联系人</w:t>
            </w:r>
          </w:p>
        </w:tc>
        <w:tc>
          <w:tcPr>
            <w:tcW w:w="1585" w:type="dxa"/>
            <w:vAlign w:val="center"/>
          </w:tcPr>
          <w:p w14:paraId="3629AC69">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职务</w:t>
            </w:r>
          </w:p>
        </w:tc>
        <w:tc>
          <w:tcPr>
            <w:tcW w:w="1565" w:type="dxa"/>
            <w:vAlign w:val="center"/>
          </w:tcPr>
          <w:p w14:paraId="74F84F1D">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手机号码</w:t>
            </w:r>
          </w:p>
        </w:tc>
        <w:tc>
          <w:tcPr>
            <w:tcW w:w="2574" w:type="dxa"/>
            <w:vAlign w:val="center"/>
          </w:tcPr>
          <w:p w14:paraId="28DAD598">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银行地址</w:t>
            </w:r>
          </w:p>
        </w:tc>
      </w:tr>
      <w:tr w14:paraId="1087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0A521E2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348" w:type="dxa"/>
            <w:vAlign w:val="center"/>
          </w:tcPr>
          <w:p w14:paraId="66E63245">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广西贺州桂东农村合作银行</w:t>
            </w:r>
          </w:p>
        </w:tc>
        <w:tc>
          <w:tcPr>
            <w:tcW w:w="994" w:type="dxa"/>
            <w:vAlign w:val="center"/>
          </w:tcPr>
          <w:p w14:paraId="34E15C6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黄  腾</w:t>
            </w:r>
          </w:p>
        </w:tc>
        <w:tc>
          <w:tcPr>
            <w:tcW w:w="1585" w:type="dxa"/>
            <w:vAlign w:val="center"/>
          </w:tcPr>
          <w:p w14:paraId="4C59F05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授信审批部审查员</w:t>
            </w:r>
          </w:p>
        </w:tc>
        <w:tc>
          <w:tcPr>
            <w:tcW w:w="1565" w:type="dxa"/>
            <w:vAlign w:val="center"/>
          </w:tcPr>
          <w:p w14:paraId="0EEE320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15078333887</w:t>
            </w:r>
          </w:p>
        </w:tc>
        <w:tc>
          <w:tcPr>
            <w:tcW w:w="2574" w:type="dxa"/>
            <w:vAlign w:val="center"/>
          </w:tcPr>
          <w:p w14:paraId="290E25F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贺州市八步区建设东路6号</w:t>
            </w:r>
          </w:p>
        </w:tc>
      </w:tr>
      <w:tr w14:paraId="538E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761A40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2348" w:type="dxa"/>
            <w:vAlign w:val="center"/>
          </w:tcPr>
          <w:p w14:paraId="684C51D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广西贺州桂东农村合作银行营业部</w:t>
            </w:r>
          </w:p>
        </w:tc>
        <w:tc>
          <w:tcPr>
            <w:tcW w:w="994" w:type="dxa"/>
            <w:vAlign w:val="center"/>
          </w:tcPr>
          <w:p w14:paraId="31B8376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刘  瑜</w:t>
            </w:r>
          </w:p>
        </w:tc>
        <w:tc>
          <w:tcPr>
            <w:tcW w:w="1585" w:type="dxa"/>
            <w:vAlign w:val="center"/>
          </w:tcPr>
          <w:p w14:paraId="7CF3A3A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营业部副总经理</w:t>
            </w:r>
          </w:p>
        </w:tc>
        <w:tc>
          <w:tcPr>
            <w:tcW w:w="1565" w:type="dxa"/>
            <w:vAlign w:val="center"/>
          </w:tcPr>
          <w:p w14:paraId="13F7E65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18007843000</w:t>
            </w:r>
          </w:p>
        </w:tc>
        <w:tc>
          <w:tcPr>
            <w:tcW w:w="2574" w:type="dxa"/>
            <w:vAlign w:val="center"/>
          </w:tcPr>
          <w:p w14:paraId="1BC83AE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贺州市八步区建设东路6号</w:t>
            </w:r>
          </w:p>
        </w:tc>
      </w:tr>
      <w:tr w14:paraId="26D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3270F8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2348" w:type="dxa"/>
            <w:vAlign w:val="center"/>
          </w:tcPr>
          <w:p w14:paraId="002161D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广西贺州桂东农村合作银行八步支行</w:t>
            </w:r>
          </w:p>
        </w:tc>
        <w:tc>
          <w:tcPr>
            <w:tcW w:w="994" w:type="dxa"/>
            <w:vAlign w:val="center"/>
          </w:tcPr>
          <w:p w14:paraId="37BCC35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谢地恩</w:t>
            </w:r>
          </w:p>
        </w:tc>
        <w:tc>
          <w:tcPr>
            <w:tcW w:w="1585" w:type="dxa"/>
            <w:vAlign w:val="center"/>
          </w:tcPr>
          <w:p w14:paraId="2F172E6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信贷副行长</w:t>
            </w:r>
          </w:p>
        </w:tc>
        <w:tc>
          <w:tcPr>
            <w:tcW w:w="1565" w:type="dxa"/>
            <w:vAlign w:val="center"/>
          </w:tcPr>
          <w:p w14:paraId="089F1EF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18007840168</w:t>
            </w:r>
          </w:p>
        </w:tc>
        <w:tc>
          <w:tcPr>
            <w:tcW w:w="2574" w:type="dxa"/>
            <w:vAlign w:val="center"/>
          </w:tcPr>
          <w:p w14:paraId="0F60A25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贺州市八步区八达西路652-1号</w:t>
            </w:r>
          </w:p>
        </w:tc>
      </w:tr>
      <w:tr w14:paraId="21B7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09BC774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2348" w:type="dxa"/>
            <w:vAlign w:val="center"/>
          </w:tcPr>
          <w:p w14:paraId="2B6ACDD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广西贺州桂东农村合作银行平桂支行</w:t>
            </w:r>
          </w:p>
        </w:tc>
        <w:tc>
          <w:tcPr>
            <w:tcW w:w="994" w:type="dxa"/>
            <w:vAlign w:val="center"/>
          </w:tcPr>
          <w:p w14:paraId="7A60B21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古  睿</w:t>
            </w:r>
          </w:p>
        </w:tc>
        <w:tc>
          <w:tcPr>
            <w:tcW w:w="1585" w:type="dxa"/>
            <w:vAlign w:val="center"/>
          </w:tcPr>
          <w:p w14:paraId="2AA81F3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信贷副行长</w:t>
            </w:r>
          </w:p>
        </w:tc>
        <w:tc>
          <w:tcPr>
            <w:tcW w:w="1565" w:type="dxa"/>
            <w:vAlign w:val="center"/>
          </w:tcPr>
          <w:p w14:paraId="0DA2615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18007840375</w:t>
            </w:r>
          </w:p>
        </w:tc>
        <w:tc>
          <w:tcPr>
            <w:tcW w:w="2574" w:type="dxa"/>
            <w:vAlign w:val="center"/>
          </w:tcPr>
          <w:p w14:paraId="22DC7F1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贺州市平桂区平桂大道财政局一楼</w:t>
            </w:r>
          </w:p>
        </w:tc>
      </w:tr>
    </w:tbl>
    <w:p w14:paraId="07C251FF">
      <w:pPr>
        <w:pStyle w:val="23"/>
        <w:tabs>
          <w:tab w:val="left" w:pos="0"/>
          <w:tab w:val="right" w:leader="dot" w:pos="9435"/>
        </w:tabs>
        <w:rPr>
          <w:color w:val="auto"/>
          <w:highlight w:val="none"/>
        </w:rPr>
      </w:pPr>
    </w:p>
    <w:p w14:paraId="5A9EBF0F">
      <w:pPr>
        <w:spacing w:line="360" w:lineRule="auto"/>
        <w:ind w:left="2940" w:leftChars="1400" w:right="218" w:rightChars="104"/>
        <w:rPr>
          <w:rFonts w:ascii="宋体" w:hAnsi="宋体" w:cs="宋体"/>
          <w:color w:val="auto"/>
          <w:sz w:val="24"/>
          <w:highlight w:val="none"/>
        </w:rPr>
      </w:pPr>
    </w:p>
    <w:p w14:paraId="6C2CD7B9">
      <w:pPr>
        <w:pStyle w:val="14"/>
        <w:spacing w:after="0"/>
        <w:ind w:right="218" w:rightChars="104"/>
        <w:rPr>
          <w:rFonts w:hint="eastAsia" w:ascii="宋体" w:hAnsi="宋体" w:cs="宋体"/>
          <w:color w:val="auto"/>
          <w:sz w:val="6"/>
          <w:szCs w:val="6"/>
          <w:highlight w:val="none"/>
        </w:rPr>
      </w:pPr>
    </w:p>
    <w:p w14:paraId="0BDBB90C">
      <w:pPr>
        <w:pStyle w:val="14"/>
        <w:spacing w:after="0"/>
        <w:ind w:right="218" w:rightChars="104"/>
        <w:rPr>
          <w:rFonts w:hint="default" w:ascii="宋体" w:hAnsi="宋体" w:cs="宋体"/>
          <w:color w:val="auto"/>
          <w:sz w:val="6"/>
          <w:szCs w:val="6"/>
          <w:highlight w:val="none"/>
        </w:rPr>
      </w:pPr>
    </w:p>
    <w:sectPr>
      <w:headerReference r:id="rId6" w:type="default"/>
      <w:footerReference r:id="rId7" w:type="default"/>
      <w:footerReference r:id="rId8" w:type="even"/>
      <w:pgSz w:w="11849" w:h="16781"/>
      <w:pgMar w:top="1134" w:right="1077" w:bottom="1134" w:left="1077" w:header="720" w:footer="72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IIIFGO+TimesNewRomanPSMT">
    <w:altName w:val="Sitka Text"/>
    <w:panose1 w:val="02000500000000000000"/>
    <w:charset w:val="01"/>
    <w:family w:val="auto"/>
    <w:pitch w:val="default"/>
    <w:sig w:usb0="00000000" w:usb1="00000000" w:usb2="01010101" w:usb3="01010101" w:csb0="01010101" w:csb1="01010101"/>
  </w:font>
  <w:font w:name="Sitka Text">
    <w:panose1 w:val="02000505000000020004"/>
    <w:charset w:val="00"/>
    <w:family w:val="auto"/>
    <w:pitch w:val="default"/>
    <w:sig w:usb0="A00002EF" w:usb1="4000204B" w:usb2="00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0AB3">
    <w:pPr>
      <w:pStyle w:val="21"/>
      <w:framePr w:wrap="around" w:vAnchor="text" w:hAnchor="margin" w:xAlign="center" w:y="1"/>
      <w:tabs>
        <w:tab w:val="clear" w:pos="4153"/>
        <w:tab w:val="clear" w:pos="8306"/>
      </w:tabs>
      <w:rPr>
        <w:rStyle w:val="37"/>
      </w:rPr>
    </w:pPr>
    <w:r>
      <w:fldChar w:fldCharType="begin"/>
    </w:r>
    <w:r>
      <w:rPr>
        <w:rStyle w:val="37"/>
      </w:rPr>
      <w:instrText xml:space="preserve">PAGE  </w:instrText>
    </w:r>
    <w:r>
      <w:fldChar w:fldCharType="separate"/>
    </w:r>
    <w:r>
      <w:rPr>
        <w:rStyle w:val="37"/>
      </w:rPr>
      <w:t>8</w:t>
    </w:r>
    <w:r>
      <w:fldChar w:fldCharType="end"/>
    </w:r>
  </w:p>
  <w:p w14:paraId="48EC61B6">
    <w:pPr>
      <w:pStyle w:val="2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C256B">
    <w:pPr>
      <w:pStyle w:val="21"/>
      <w:tabs>
        <w:tab w:val="clear" w:pos="4153"/>
        <w:tab w:val="clear" w:pos="8306"/>
      </w:tabs>
      <w:rPr>
        <w:rFonts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6769059">
                          <w:pPr>
                            <w:pStyle w:val="21"/>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C6&#10;ujjc7AEAANYDAAAOAAAAAAAAAAEAIAAAACIBAABkcnMvZTJvRG9jLnhtbFBLBQYAAAAABgAGAFkB&#10;AACABQAAAAA=&#10;">
              <v:fill on="f" focussize="0,0"/>
              <v:stroke on="f" weight="1.25pt"/>
              <v:imagedata o:title=""/>
              <o:lock v:ext="edit" aspectratio="f"/>
              <v:textbox inset="0mm,0mm,0mm,0mm" style="mso-fit-shape-to-text:t;">
                <w:txbxContent>
                  <w:p w14:paraId="6676905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8F2C">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8CAD6D9">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Bq&#10;4j9a7AEAANYDAAAOAAAAAAAAAAEAIAAAACIBAABkcnMvZTJvRG9jLnhtbFBLBQYAAAAABgAGAFkB&#10;AACABQAAAAA=&#10;">
              <v:fill on="f" focussize="0,0"/>
              <v:stroke on="f" weight="1.25pt"/>
              <v:imagedata o:title=""/>
              <o:lock v:ext="edit" aspectratio="f"/>
              <v:textbox inset="0mm,0mm,0mm,0mm" style="mso-fit-shape-to-text:t;">
                <w:txbxContent>
                  <w:p w14:paraId="78CAD6D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C4777">
    <w:pPr>
      <w:pStyle w:val="21"/>
      <w:tabs>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19CC875">
                          <w:pPr>
                            <w:pStyle w:val="21"/>
                          </w:pPr>
                          <w:r>
                            <w:fldChar w:fldCharType="begin"/>
                          </w:r>
                          <w:r>
                            <w:instrText xml:space="preserve"> PAGE  \* MERGEFORMAT </w:instrText>
                          </w:r>
                          <w:r>
                            <w:fldChar w:fldCharType="separate"/>
                          </w:r>
                          <w:r>
                            <w:t>27</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AI&#10;SyEB7AEAANYDAAAOAAAAAAAAAAEAIAAAACIBAABkcnMvZTJvRG9jLnhtbFBLBQYAAAAABgAGAFkB&#10;AACABQAAAAA=&#10;">
              <v:fill on="f" focussize="0,0"/>
              <v:stroke on="f" weight="1.25pt"/>
              <v:imagedata o:title=""/>
              <o:lock v:ext="edit" aspectratio="f"/>
              <v:textbox inset="0mm,0mm,0mm,0mm" style="mso-fit-shape-to-text:t;">
                <w:txbxContent>
                  <w:p w14:paraId="019CC875">
                    <w:pPr>
                      <w:pStyle w:val="2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BFAE">
    <w:pPr>
      <w:pStyle w:val="21"/>
      <w:framePr w:wrap="around" w:vAnchor="text" w:hAnchor="margin" w:xAlign="center" w:y="1"/>
      <w:tabs>
        <w:tab w:val="clear" w:pos="4153"/>
        <w:tab w:val="clear" w:pos="8306"/>
      </w:tabs>
      <w:rPr>
        <w:rStyle w:val="37"/>
      </w:rPr>
    </w:pPr>
    <w:r>
      <w:fldChar w:fldCharType="begin"/>
    </w:r>
    <w:r>
      <w:rPr>
        <w:rStyle w:val="37"/>
      </w:rPr>
      <w:instrText xml:space="preserve">PAGE  </w:instrText>
    </w:r>
    <w:r>
      <w:fldChar w:fldCharType="separate"/>
    </w:r>
    <w:r>
      <w:rPr>
        <w:rStyle w:val="37"/>
      </w:rPr>
      <w:t>31</w:t>
    </w:r>
    <w:r>
      <w:fldChar w:fldCharType="end"/>
    </w:r>
  </w:p>
  <w:p w14:paraId="7D4A2A30">
    <w:pPr>
      <w:pStyle w:val="21"/>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7379">
    <w:pPr>
      <w:rPr>
        <w:rFonts w:hint="eastAsia" w:ascii="Tahoma" w:hAnsi="Tahoma"/>
        <w:sz w:val="2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82"/>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2"/>
    <w:multiLevelType w:val="multilevel"/>
    <w:tmpl w:val="00000002"/>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0BD05365"/>
    <w:multiLevelType w:val="singleLevel"/>
    <w:tmpl w:val="0BD05365"/>
    <w:lvl w:ilvl="0" w:tentative="0">
      <w:start w:val="1"/>
      <w:numFmt w:val="chineseCounting"/>
      <w:suff w:val="nothing"/>
      <w:lvlText w:val="%1、"/>
      <w:lvlJc w:val="left"/>
      <w:rPr>
        <w:rFonts w:hint="eastAsia"/>
      </w:rPr>
    </w:lvl>
  </w:abstractNum>
  <w:abstractNum w:abstractNumId="3">
    <w:nsid w:val="5727C9FF"/>
    <w:multiLevelType w:val="singleLevel"/>
    <w:tmpl w:val="5727C9FF"/>
    <w:lvl w:ilvl="0" w:tentative="0">
      <w:start w:val="2"/>
      <w:numFmt w:val="chineseCounting"/>
      <w:suff w:val="space"/>
      <w:lvlText w:val="第%1章"/>
      <w:lvlJc w:val="left"/>
      <w:rPr>
        <w:rFonts w:hint="eastAsia"/>
      </w:rPr>
    </w:lvl>
  </w:abstractNum>
  <w:abstractNum w:abstractNumId="4">
    <w:nsid w:val="7645D0DF"/>
    <w:multiLevelType w:val="singleLevel"/>
    <w:tmpl w:val="7645D0DF"/>
    <w:lvl w:ilvl="0" w:tentative="0">
      <w:start w:val="1"/>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OGY2NGIzY2YyZDU2MDc4OGNjNWRjZjhlY2IzNTcifQ=="/>
  </w:docVars>
  <w:rsids>
    <w:rsidRoot w:val="00172A27"/>
    <w:rsid w:val="00001451"/>
    <w:rsid w:val="00007188"/>
    <w:rsid w:val="0000738A"/>
    <w:rsid w:val="00012E89"/>
    <w:rsid w:val="00024E6E"/>
    <w:rsid w:val="000278EE"/>
    <w:rsid w:val="00033FE1"/>
    <w:rsid w:val="000356F6"/>
    <w:rsid w:val="00040AC6"/>
    <w:rsid w:val="00041D81"/>
    <w:rsid w:val="00041E80"/>
    <w:rsid w:val="0005202A"/>
    <w:rsid w:val="00052CCA"/>
    <w:rsid w:val="0005574F"/>
    <w:rsid w:val="00057E78"/>
    <w:rsid w:val="00060639"/>
    <w:rsid w:val="00067126"/>
    <w:rsid w:val="00067EB6"/>
    <w:rsid w:val="00071B74"/>
    <w:rsid w:val="00077FD2"/>
    <w:rsid w:val="00081361"/>
    <w:rsid w:val="00082228"/>
    <w:rsid w:val="00083950"/>
    <w:rsid w:val="000859B4"/>
    <w:rsid w:val="00087FD7"/>
    <w:rsid w:val="00090B6D"/>
    <w:rsid w:val="00095C85"/>
    <w:rsid w:val="000A2C5B"/>
    <w:rsid w:val="000B27FD"/>
    <w:rsid w:val="000B4010"/>
    <w:rsid w:val="000C2655"/>
    <w:rsid w:val="000C407A"/>
    <w:rsid w:val="000D1E52"/>
    <w:rsid w:val="000D5E6F"/>
    <w:rsid w:val="000D6959"/>
    <w:rsid w:val="000D6E6C"/>
    <w:rsid w:val="000D7371"/>
    <w:rsid w:val="000F042E"/>
    <w:rsid w:val="000F3168"/>
    <w:rsid w:val="000F4EFC"/>
    <w:rsid w:val="000F7DBE"/>
    <w:rsid w:val="001019B8"/>
    <w:rsid w:val="00106494"/>
    <w:rsid w:val="0010681E"/>
    <w:rsid w:val="00106B07"/>
    <w:rsid w:val="00110CB5"/>
    <w:rsid w:val="0011423D"/>
    <w:rsid w:val="001178B8"/>
    <w:rsid w:val="001234E0"/>
    <w:rsid w:val="00126855"/>
    <w:rsid w:val="00130FE6"/>
    <w:rsid w:val="00136731"/>
    <w:rsid w:val="00145B95"/>
    <w:rsid w:val="00145F7C"/>
    <w:rsid w:val="001557FD"/>
    <w:rsid w:val="0015615F"/>
    <w:rsid w:val="00160096"/>
    <w:rsid w:val="00172015"/>
    <w:rsid w:val="00183AEF"/>
    <w:rsid w:val="001852C3"/>
    <w:rsid w:val="001872AA"/>
    <w:rsid w:val="0019187F"/>
    <w:rsid w:val="001932EF"/>
    <w:rsid w:val="00196EDF"/>
    <w:rsid w:val="00197957"/>
    <w:rsid w:val="001A32E6"/>
    <w:rsid w:val="001B0598"/>
    <w:rsid w:val="001B39ED"/>
    <w:rsid w:val="001B6943"/>
    <w:rsid w:val="001C4021"/>
    <w:rsid w:val="001C4DC9"/>
    <w:rsid w:val="001C7A85"/>
    <w:rsid w:val="001D6264"/>
    <w:rsid w:val="001E16A9"/>
    <w:rsid w:val="001E3754"/>
    <w:rsid w:val="001E3E37"/>
    <w:rsid w:val="001E4D31"/>
    <w:rsid w:val="001F1787"/>
    <w:rsid w:val="001F2B53"/>
    <w:rsid w:val="001F54DC"/>
    <w:rsid w:val="001F658D"/>
    <w:rsid w:val="001F7B91"/>
    <w:rsid w:val="0020053A"/>
    <w:rsid w:val="00202312"/>
    <w:rsid w:val="00204860"/>
    <w:rsid w:val="002065DD"/>
    <w:rsid w:val="00212F7D"/>
    <w:rsid w:val="002205BC"/>
    <w:rsid w:val="0022216B"/>
    <w:rsid w:val="00222B62"/>
    <w:rsid w:val="0022515A"/>
    <w:rsid w:val="002309BC"/>
    <w:rsid w:val="002376D8"/>
    <w:rsid w:val="00237704"/>
    <w:rsid w:val="00242E93"/>
    <w:rsid w:val="002437E1"/>
    <w:rsid w:val="00243DAD"/>
    <w:rsid w:val="00251B2A"/>
    <w:rsid w:val="00254746"/>
    <w:rsid w:val="0025678C"/>
    <w:rsid w:val="00257A6C"/>
    <w:rsid w:val="00270354"/>
    <w:rsid w:val="00283818"/>
    <w:rsid w:val="00286BED"/>
    <w:rsid w:val="0029290D"/>
    <w:rsid w:val="002941C9"/>
    <w:rsid w:val="00297682"/>
    <w:rsid w:val="002B0F94"/>
    <w:rsid w:val="002B3688"/>
    <w:rsid w:val="002B4CAA"/>
    <w:rsid w:val="002B5727"/>
    <w:rsid w:val="002C132E"/>
    <w:rsid w:val="002C1885"/>
    <w:rsid w:val="002C278C"/>
    <w:rsid w:val="002C4E72"/>
    <w:rsid w:val="002C598A"/>
    <w:rsid w:val="002C6E11"/>
    <w:rsid w:val="002D1EA8"/>
    <w:rsid w:val="002D41D1"/>
    <w:rsid w:val="002D72DE"/>
    <w:rsid w:val="002E2186"/>
    <w:rsid w:val="002E417E"/>
    <w:rsid w:val="002E46A7"/>
    <w:rsid w:val="002F0F29"/>
    <w:rsid w:val="002F28A2"/>
    <w:rsid w:val="002F3481"/>
    <w:rsid w:val="002F6127"/>
    <w:rsid w:val="00304CFB"/>
    <w:rsid w:val="00311880"/>
    <w:rsid w:val="003166A5"/>
    <w:rsid w:val="00320B95"/>
    <w:rsid w:val="003300C9"/>
    <w:rsid w:val="00332BB6"/>
    <w:rsid w:val="003418C2"/>
    <w:rsid w:val="0034715D"/>
    <w:rsid w:val="00351768"/>
    <w:rsid w:val="003601BE"/>
    <w:rsid w:val="003622FD"/>
    <w:rsid w:val="00365E07"/>
    <w:rsid w:val="00366D80"/>
    <w:rsid w:val="003678A3"/>
    <w:rsid w:val="00371E62"/>
    <w:rsid w:val="00372AFE"/>
    <w:rsid w:val="003743B4"/>
    <w:rsid w:val="003751AA"/>
    <w:rsid w:val="00377028"/>
    <w:rsid w:val="003776A5"/>
    <w:rsid w:val="00387102"/>
    <w:rsid w:val="00387730"/>
    <w:rsid w:val="00392941"/>
    <w:rsid w:val="003A1C5E"/>
    <w:rsid w:val="003A32EC"/>
    <w:rsid w:val="003C6014"/>
    <w:rsid w:val="003D052E"/>
    <w:rsid w:val="003D0F79"/>
    <w:rsid w:val="003E759B"/>
    <w:rsid w:val="003F1430"/>
    <w:rsid w:val="003F2A38"/>
    <w:rsid w:val="003F3964"/>
    <w:rsid w:val="003F4349"/>
    <w:rsid w:val="003F7C7C"/>
    <w:rsid w:val="00406B68"/>
    <w:rsid w:val="00407B28"/>
    <w:rsid w:val="004119C4"/>
    <w:rsid w:val="004143DC"/>
    <w:rsid w:val="00423D8E"/>
    <w:rsid w:val="00432FFE"/>
    <w:rsid w:val="00435AD4"/>
    <w:rsid w:val="00437590"/>
    <w:rsid w:val="00441184"/>
    <w:rsid w:val="004418C5"/>
    <w:rsid w:val="00441960"/>
    <w:rsid w:val="004447E1"/>
    <w:rsid w:val="0045079B"/>
    <w:rsid w:val="004579D3"/>
    <w:rsid w:val="00462AAB"/>
    <w:rsid w:val="00464B04"/>
    <w:rsid w:val="0046504D"/>
    <w:rsid w:val="0046535C"/>
    <w:rsid w:val="00465FB7"/>
    <w:rsid w:val="0047121E"/>
    <w:rsid w:val="004714A3"/>
    <w:rsid w:val="00471D5E"/>
    <w:rsid w:val="00472AA5"/>
    <w:rsid w:val="004809B1"/>
    <w:rsid w:val="0048176E"/>
    <w:rsid w:val="00482F31"/>
    <w:rsid w:val="004A681B"/>
    <w:rsid w:val="004A7E43"/>
    <w:rsid w:val="004B70C5"/>
    <w:rsid w:val="004C0520"/>
    <w:rsid w:val="004C3B37"/>
    <w:rsid w:val="004C461D"/>
    <w:rsid w:val="004C6A98"/>
    <w:rsid w:val="004D56C7"/>
    <w:rsid w:val="004D7A77"/>
    <w:rsid w:val="004E084E"/>
    <w:rsid w:val="004E58E2"/>
    <w:rsid w:val="004E6A82"/>
    <w:rsid w:val="004F13D4"/>
    <w:rsid w:val="005037AB"/>
    <w:rsid w:val="005037CD"/>
    <w:rsid w:val="005040FC"/>
    <w:rsid w:val="00506432"/>
    <w:rsid w:val="00507BEF"/>
    <w:rsid w:val="00510A0D"/>
    <w:rsid w:val="00511225"/>
    <w:rsid w:val="00514277"/>
    <w:rsid w:val="00515C5E"/>
    <w:rsid w:val="00516273"/>
    <w:rsid w:val="00522296"/>
    <w:rsid w:val="005255E2"/>
    <w:rsid w:val="00525DDA"/>
    <w:rsid w:val="00526E4F"/>
    <w:rsid w:val="00531250"/>
    <w:rsid w:val="00533570"/>
    <w:rsid w:val="0053411D"/>
    <w:rsid w:val="0053661E"/>
    <w:rsid w:val="005410DB"/>
    <w:rsid w:val="00541B67"/>
    <w:rsid w:val="005420C0"/>
    <w:rsid w:val="005449E1"/>
    <w:rsid w:val="005465E4"/>
    <w:rsid w:val="00551B0F"/>
    <w:rsid w:val="005545DA"/>
    <w:rsid w:val="00555C21"/>
    <w:rsid w:val="005568E7"/>
    <w:rsid w:val="0056124F"/>
    <w:rsid w:val="00566C3C"/>
    <w:rsid w:val="00575DAC"/>
    <w:rsid w:val="00580396"/>
    <w:rsid w:val="00586BF0"/>
    <w:rsid w:val="00594756"/>
    <w:rsid w:val="0059703C"/>
    <w:rsid w:val="005973D0"/>
    <w:rsid w:val="005975F1"/>
    <w:rsid w:val="005A2662"/>
    <w:rsid w:val="005A77E9"/>
    <w:rsid w:val="005B28F3"/>
    <w:rsid w:val="005B4ED5"/>
    <w:rsid w:val="005B6893"/>
    <w:rsid w:val="005B6D50"/>
    <w:rsid w:val="005C337C"/>
    <w:rsid w:val="005C7E73"/>
    <w:rsid w:val="005D79B0"/>
    <w:rsid w:val="005E1BF8"/>
    <w:rsid w:val="005E604F"/>
    <w:rsid w:val="005F04F7"/>
    <w:rsid w:val="005F3C94"/>
    <w:rsid w:val="005F727C"/>
    <w:rsid w:val="005F7A5F"/>
    <w:rsid w:val="00604EFC"/>
    <w:rsid w:val="0060708D"/>
    <w:rsid w:val="00621779"/>
    <w:rsid w:val="00623B73"/>
    <w:rsid w:val="006255ED"/>
    <w:rsid w:val="006267E1"/>
    <w:rsid w:val="0062760D"/>
    <w:rsid w:val="0063060A"/>
    <w:rsid w:val="006312F2"/>
    <w:rsid w:val="00634C07"/>
    <w:rsid w:val="00644118"/>
    <w:rsid w:val="00650FAF"/>
    <w:rsid w:val="006516D2"/>
    <w:rsid w:val="0065177B"/>
    <w:rsid w:val="00667DA8"/>
    <w:rsid w:val="0067155C"/>
    <w:rsid w:val="00671F86"/>
    <w:rsid w:val="00680FE3"/>
    <w:rsid w:val="006815F8"/>
    <w:rsid w:val="00684D18"/>
    <w:rsid w:val="00690288"/>
    <w:rsid w:val="006946A0"/>
    <w:rsid w:val="006A1AB5"/>
    <w:rsid w:val="006A4E28"/>
    <w:rsid w:val="006A7B7E"/>
    <w:rsid w:val="006B4B7E"/>
    <w:rsid w:val="006B5C6E"/>
    <w:rsid w:val="006C0AD3"/>
    <w:rsid w:val="006C2B6F"/>
    <w:rsid w:val="006C5790"/>
    <w:rsid w:val="006E2781"/>
    <w:rsid w:val="006E663E"/>
    <w:rsid w:val="006F23D3"/>
    <w:rsid w:val="006F2E4F"/>
    <w:rsid w:val="00707940"/>
    <w:rsid w:val="00713BAD"/>
    <w:rsid w:val="0071523B"/>
    <w:rsid w:val="0072457A"/>
    <w:rsid w:val="00727D05"/>
    <w:rsid w:val="00730215"/>
    <w:rsid w:val="007469A9"/>
    <w:rsid w:val="00746A75"/>
    <w:rsid w:val="0074762B"/>
    <w:rsid w:val="00755832"/>
    <w:rsid w:val="00761C38"/>
    <w:rsid w:val="007643DE"/>
    <w:rsid w:val="00765606"/>
    <w:rsid w:val="0077014A"/>
    <w:rsid w:val="00776005"/>
    <w:rsid w:val="00793E05"/>
    <w:rsid w:val="00796B1F"/>
    <w:rsid w:val="007A07A0"/>
    <w:rsid w:val="007A0A74"/>
    <w:rsid w:val="007A178C"/>
    <w:rsid w:val="007A4D50"/>
    <w:rsid w:val="007A7678"/>
    <w:rsid w:val="007B11B8"/>
    <w:rsid w:val="007C2358"/>
    <w:rsid w:val="007C24AF"/>
    <w:rsid w:val="007C2C6A"/>
    <w:rsid w:val="007D0ED4"/>
    <w:rsid w:val="007D2827"/>
    <w:rsid w:val="007D6134"/>
    <w:rsid w:val="007E5330"/>
    <w:rsid w:val="007F1CD0"/>
    <w:rsid w:val="007F4068"/>
    <w:rsid w:val="007F557F"/>
    <w:rsid w:val="007F5F86"/>
    <w:rsid w:val="008040B2"/>
    <w:rsid w:val="00804CA0"/>
    <w:rsid w:val="00804F79"/>
    <w:rsid w:val="008057EF"/>
    <w:rsid w:val="008240F1"/>
    <w:rsid w:val="008244B1"/>
    <w:rsid w:val="008349D4"/>
    <w:rsid w:val="00843ABA"/>
    <w:rsid w:val="00847EA2"/>
    <w:rsid w:val="0085130C"/>
    <w:rsid w:val="00853A26"/>
    <w:rsid w:val="00862B2E"/>
    <w:rsid w:val="00874D79"/>
    <w:rsid w:val="0087721E"/>
    <w:rsid w:val="00880CA3"/>
    <w:rsid w:val="00883226"/>
    <w:rsid w:val="008902D2"/>
    <w:rsid w:val="0089147D"/>
    <w:rsid w:val="008A13C2"/>
    <w:rsid w:val="008A2A88"/>
    <w:rsid w:val="008A2D2F"/>
    <w:rsid w:val="008A443A"/>
    <w:rsid w:val="008A6A3D"/>
    <w:rsid w:val="008B59DC"/>
    <w:rsid w:val="008B782F"/>
    <w:rsid w:val="008C09A1"/>
    <w:rsid w:val="008C1C68"/>
    <w:rsid w:val="008C64AF"/>
    <w:rsid w:val="008C7BD3"/>
    <w:rsid w:val="008D252C"/>
    <w:rsid w:val="008D455A"/>
    <w:rsid w:val="008D517C"/>
    <w:rsid w:val="008E7189"/>
    <w:rsid w:val="00903CF2"/>
    <w:rsid w:val="009111CA"/>
    <w:rsid w:val="0091333F"/>
    <w:rsid w:val="00922C21"/>
    <w:rsid w:val="009255B1"/>
    <w:rsid w:val="0093272B"/>
    <w:rsid w:val="00936CA2"/>
    <w:rsid w:val="00941288"/>
    <w:rsid w:val="00945322"/>
    <w:rsid w:val="009509D5"/>
    <w:rsid w:val="00951E43"/>
    <w:rsid w:val="00954E25"/>
    <w:rsid w:val="00960CFF"/>
    <w:rsid w:val="00962580"/>
    <w:rsid w:val="0096440C"/>
    <w:rsid w:val="00971ACE"/>
    <w:rsid w:val="00975703"/>
    <w:rsid w:val="00982AE4"/>
    <w:rsid w:val="00982FE3"/>
    <w:rsid w:val="00984CE5"/>
    <w:rsid w:val="00987A31"/>
    <w:rsid w:val="00996453"/>
    <w:rsid w:val="009A24F1"/>
    <w:rsid w:val="009A34E9"/>
    <w:rsid w:val="009A52C9"/>
    <w:rsid w:val="009A6904"/>
    <w:rsid w:val="009B4C18"/>
    <w:rsid w:val="009B603A"/>
    <w:rsid w:val="009C5654"/>
    <w:rsid w:val="009C609C"/>
    <w:rsid w:val="009C6814"/>
    <w:rsid w:val="009D21CD"/>
    <w:rsid w:val="009D3D55"/>
    <w:rsid w:val="009D5261"/>
    <w:rsid w:val="009D64F1"/>
    <w:rsid w:val="009E185F"/>
    <w:rsid w:val="009E24CF"/>
    <w:rsid w:val="009E51F9"/>
    <w:rsid w:val="009E6980"/>
    <w:rsid w:val="009E6E15"/>
    <w:rsid w:val="009F2AE2"/>
    <w:rsid w:val="009F5CD1"/>
    <w:rsid w:val="009F7C70"/>
    <w:rsid w:val="00A00F54"/>
    <w:rsid w:val="00A02EBD"/>
    <w:rsid w:val="00A034C8"/>
    <w:rsid w:val="00A0470D"/>
    <w:rsid w:val="00A07456"/>
    <w:rsid w:val="00A11243"/>
    <w:rsid w:val="00A12C04"/>
    <w:rsid w:val="00A3098B"/>
    <w:rsid w:val="00A33E75"/>
    <w:rsid w:val="00A36D07"/>
    <w:rsid w:val="00A47D4F"/>
    <w:rsid w:val="00A508D9"/>
    <w:rsid w:val="00A67729"/>
    <w:rsid w:val="00A71143"/>
    <w:rsid w:val="00A71A8B"/>
    <w:rsid w:val="00A7364E"/>
    <w:rsid w:val="00A74FD0"/>
    <w:rsid w:val="00A75D00"/>
    <w:rsid w:val="00A7648E"/>
    <w:rsid w:val="00A82107"/>
    <w:rsid w:val="00A90F95"/>
    <w:rsid w:val="00A9279D"/>
    <w:rsid w:val="00A946E7"/>
    <w:rsid w:val="00AA16D4"/>
    <w:rsid w:val="00AA1F7D"/>
    <w:rsid w:val="00AA51E0"/>
    <w:rsid w:val="00AA7306"/>
    <w:rsid w:val="00AB326B"/>
    <w:rsid w:val="00AB6B5A"/>
    <w:rsid w:val="00AC0158"/>
    <w:rsid w:val="00AC24C3"/>
    <w:rsid w:val="00AC39E3"/>
    <w:rsid w:val="00AC42FA"/>
    <w:rsid w:val="00AC6886"/>
    <w:rsid w:val="00AC6D70"/>
    <w:rsid w:val="00AD7BB4"/>
    <w:rsid w:val="00AD7D58"/>
    <w:rsid w:val="00AE1230"/>
    <w:rsid w:val="00AE3CB8"/>
    <w:rsid w:val="00AF1190"/>
    <w:rsid w:val="00AF3724"/>
    <w:rsid w:val="00AF483A"/>
    <w:rsid w:val="00AF58FF"/>
    <w:rsid w:val="00AF7999"/>
    <w:rsid w:val="00AF7E14"/>
    <w:rsid w:val="00B0059A"/>
    <w:rsid w:val="00B07653"/>
    <w:rsid w:val="00B32468"/>
    <w:rsid w:val="00B35E82"/>
    <w:rsid w:val="00B43313"/>
    <w:rsid w:val="00B45FF0"/>
    <w:rsid w:val="00B47448"/>
    <w:rsid w:val="00B47CEE"/>
    <w:rsid w:val="00B5113B"/>
    <w:rsid w:val="00B51B2E"/>
    <w:rsid w:val="00B54D09"/>
    <w:rsid w:val="00B57170"/>
    <w:rsid w:val="00B602E4"/>
    <w:rsid w:val="00B62BB2"/>
    <w:rsid w:val="00B74496"/>
    <w:rsid w:val="00B815AB"/>
    <w:rsid w:val="00B91396"/>
    <w:rsid w:val="00B91AF7"/>
    <w:rsid w:val="00B92593"/>
    <w:rsid w:val="00BA452D"/>
    <w:rsid w:val="00BA4A58"/>
    <w:rsid w:val="00BA7125"/>
    <w:rsid w:val="00BA78B4"/>
    <w:rsid w:val="00BB462B"/>
    <w:rsid w:val="00BB4D56"/>
    <w:rsid w:val="00BC604C"/>
    <w:rsid w:val="00BD3E36"/>
    <w:rsid w:val="00BE2FCE"/>
    <w:rsid w:val="00BF48C5"/>
    <w:rsid w:val="00BF7284"/>
    <w:rsid w:val="00C0262B"/>
    <w:rsid w:val="00C040A8"/>
    <w:rsid w:val="00C1019D"/>
    <w:rsid w:val="00C11058"/>
    <w:rsid w:val="00C11426"/>
    <w:rsid w:val="00C15952"/>
    <w:rsid w:val="00C16948"/>
    <w:rsid w:val="00C25513"/>
    <w:rsid w:val="00C27770"/>
    <w:rsid w:val="00C315ED"/>
    <w:rsid w:val="00C346B6"/>
    <w:rsid w:val="00C36C0D"/>
    <w:rsid w:val="00C40CBF"/>
    <w:rsid w:val="00C42D0C"/>
    <w:rsid w:val="00C467FB"/>
    <w:rsid w:val="00C51501"/>
    <w:rsid w:val="00C56F04"/>
    <w:rsid w:val="00C57D9D"/>
    <w:rsid w:val="00C60BF7"/>
    <w:rsid w:val="00C62380"/>
    <w:rsid w:val="00C706A4"/>
    <w:rsid w:val="00C7126F"/>
    <w:rsid w:val="00C8132E"/>
    <w:rsid w:val="00C83B52"/>
    <w:rsid w:val="00C85CAE"/>
    <w:rsid w:val="00C967DF"/>
    <w:rsid w:val="00C97019"/>
    <w:rsid w:val="00CA6D46"/>
    <w:rsid w:val="00CA70DF"/>
    <w:rsid w:val="00CB218B"/>
    <w:rsid w:val="00CB6905"/>
    <w:rsid w:val="00CB7080"/>
    <w:rsid w:val="00CC60F2"/>
    <w:rsid w:val="00CC672A"/>
    <w:rsid w:val="00CD24DA"/>
    <w:rsid w:val="00CD366B"/>
    <w:rsid w:val="00CD6F02"/>
    <w:rsid w:val="00CE1558"/>
    <w:rsid w:val="00CE2C31"/>
    <w:rsid w:val="00CE40F7"/>
    <w:rsid w:val="00CE73C3"/>
    <w:rsid w:val="00CF180F"/>
    <w:rsid w:val="00D02E8B"/>
    <w:rsid w:val="00D02ED9"/>
    <w:rsid w:val="00D044D7"/>
    <w:rsid w:val="00D11DED"/>
    <w:rsid w:val="00D14D3E"/>
    <w:rsid w:val="00D24BFF"/>
    <w:rsid w:val="00D24F49"/>
    <w:rsid w:val="00D25236"/>
    <w:rsid w:val="00D25356"/>
    <w:rsid w:val="00D36675"/>
    <w:rsid w:val="00D40B79"/>
    <w:rsid w:val="00D4382A"/>
    <w:rsid w:val="00D446EA"/>
    <w:rsid w:val="00D52A20"/>
    <w:rsid w:val="00D57F8E"/>
    <w:rsid w:val="00D61078"/>
    <w:rsid w:val="00D62CD7"/>
    <w:rsid w:val="00D66DC0"/>
    <w:rsid w:val="00D67202"/>
    <w:rsid w:val="00D72F97"/>
    <w:rsid w:val="00D73583"/>
    <w:rsid w:val="00D74C8C"/>
    <w:rsid w:val="00D83388"/>
    <w:rsid w:val="00D8437A"/>
    <w:rsid w:val="00D848D4"/>
    <w:rsid w:val="00D91D1A"/>
    <w:rsid w:val="00D91EFE"/>
    <w:rsid w:val="00DA370E"/>
    <w:rsid w:val="00DA50D3"/>
    <w:rsid w:val="00DB29DF"/>
    <w:rsid w:val="00DB3A13"/>
    <w:rsid w:val="00DB4EA9"/>
    <w:rsid w:val="00DB4FA4"/>
    <w:rsid w:val="00DB70CB"/>
    <w:rsid w:val="00DB7E25"/>
    <w:rsid w:val="00DC13E1"/>
    <w:rsid w:val="00DC1B57"/>
    <w:rsid w:val="00DC49C4"/>
    <w:rsid w:val="00DC5361"/>
    <w:rsid w:val="00DD0233"/>
    <w:rsid w:val="00DD2427"/>
    <w:rsid w:val="00DD7828"/>
    <w:rsid w:val="00DE349F"/>
    <w:rsid w:val="00DE3F48"/>
    <w:rsid w:val="00DE433B"/>
    <w:rsid w:val="00DF059C"/>
    <w:rsid w:val="00DF1B19"/>
    <w:rsid w:val="00DF5B3C"/>
    <w:rsid w:val="00E032BE"/>
    <w:rsid w:val="00E04466"/>
    <w:rsid w:val="00E05BD4"/>
    <w:rsid w:val="00E07D9C"/>
    <w:rsid w:val="00E12387"/>
    <w:rsid w:val="00E13302"/>
    <w:rsid w:val="00E15380"/>
    <w:rsid w:val="00E217F1"/>
    <w:rsid w:val="00E2207D"/>
    <w:rsid w:val="00E31EDD"/>
    <w:rsid w:val="00E339AE"/>
    <w:rsid w:val="00E43BE8"/>
    <w:rsid w:val="00E5152B"/>
    <w:rsid w:val="00E561EE"/>
    <w:rsid w:val="00E56DB3"/>
    <w:rsid w:val="00E708E8"/>
    <w:rsid w:val="00E72DD4"/>
    <w:rsid w:val="00E7311B"/>
    <w:rsid w:val="00E748ED"/>
    <w:rsid w:val="00E763E1"/>
    <w:rsid w:val="00E768BB"/>
    <w:rsid w:val="00E80CCD"/>
    <w:rsid w:val="00E8170F"/>
    <w:rsid w:val="00E85F8E"/>
    <w:rsid w:val="00E908D9"/>
    <w:rsid w:val="00E93B63"/>
    <w:rsid w:val="00EA1783"/>
    <w:rsid w:val="00EB1AA7"/>
    <w:rsid w:val="00EB2691"/>
    <w:rsid w:val="00EB40E0"/>
    <w:rsid w:val="00EB6F3C"/>
    <w:rsid w:val="00EC4CD6"/>
    <w:rsid w:val="00ED0E84"/>
    <w:rsid w:val="00EE1196"/>
    <w:rsid w:val="00EE1C6F"/>
    <w:rsid w:val="00EE4E63"/>
    <w:rsid w:val="00EF0C42"/>
    <w:rsid w:val="00EF3EF8"/>
    <w:rsid w:val="00EF6342"/>
    <w:rsid w:val="00F03981"/>
    <w:rsid w:val="00F04704"/>
    <w:rsid w:val="00F16982"/>
    <w:rsid w:val="00F16C20"/>
    <w:rsid w:val="00F22A4B"/>
    <w:rsid w:val="00F309C9"/>
    <w:rsid w:val="00F37E31"/>
    <w:rsid w:val="00F42968"/>
    <w:rsid w:val="00F42B68"/>
    <w:rsid w:val="00F54006"/>
    <w:rsid w:val="00F55496"/>
    <w:rsid w:val="00F61428"/>
    <w:rsid w:val="00F66E38"/>
    <w:rsid w:val="00F7037C"/>
    <w:rsid w:val="00F70ED4"/>
    <w:rsid w:val="00F713D8"/>
    <w:rsid w:val="00F7354F"/>
    <w:rsid w:val="00F73E22"/>
    <w:rsid w:val="00F807A6"/>
    <w:rsid w:val="00F861A5"/>
    <w:rsid w:val="00F8719C"/>
    <w:rsid w:val="00F970A5"/>
    <w:rsid w:val="00FA7403"/>
    <w:rsid w:val="00FB0C13"/>
    <w:rsid w:val="00FC0861"/>
    <w:rsid w:val="00FC78CB"/>
    <w:rsid w:val="00FD0C5E"/>
    <w:rsid w:val="00FD17B8"/>
    <w:rsid w:val="00FD3915"/>
    <w:rsid w:val="00FD3F1B"/>
    <w:rsid w:val="00FD549C"/>
    <w:rsid w:val="00FD62F7"/>
    <w:rsid w:val="00FE09C4"/>
    <w:rsid w:val="00FE2F66"/>
    <w:rsid w:val="00FE498D"/>
    <w:rsid w:val="00FF051C"/>
    <w:rsid w:val="01084A2A"/>
    <w:rsid w:val="015476DB"/>
    <w:rsid w:val="01EF08E1"/>
    <w:rsid w:val="02053C89"/>
    <w:rsid w:val="02A12167"/>
    <w:rsid w:val="02A500F8"/>
    <w:rsid w:val="02BA1505"/>
    <w:rsid w:val="0360740B"/>
    <w:rsid w:val="038A72B8"/>
    <w:rsid w:val="03AB5057"/>
    <w:rsid w:val="03B977DB"/>
    <w:rsid w:val="03DD725A"/>
    <w:rsid w:val="03E87E3F"/>
    <w:rsid w:val="040F6F71"/>
    <w:rsid w:val="0441541A"/>
    <w:rsid w:val="044758F1"/>
    <w:rsid w:val="044A32BB"/>
    <w:rsid w:val="047148F4"/>
    <w:rsid w:val="04BC223F"/>
    <w:rsid w:val="04DD16AB"/>
    <w:rsid w:val="04E62E18"/>
    <w:rsid w:val="04E8662B"/>
    <w:rsid w:val="050339CA"/>
    <w:rsid w:val="05091602"/>
    <w:rsid w:val="052D3F7A"/>
    <w:rsid w:val="05392773"/>
    <w:rsid w:val="05634469"/>
    <w:rsid w:val="05BA78E6"/>
    <w:rsid w:val="05E32A2A"/>
    <w:rsid w:val="06253E14"/>
    <w:rsid w:val="062718BA"/>
    <w:rsid w:val="06634524"/>
    <w:rsid w:val="067E2AB8"/>
    <w:rsid w:val="067F457F"/>
    <w:rsid w:val="06945354"/>
    <w:rsid w:val="06A72BB3"/>
    <w:rsid w:val="06CC4290"/>
    <w:rsid w:val="071B4E1A"/>
    <w:rsid w:val="073562D9"/>
    <w:rsid w:val="073F477F"/>
    <w:rsid w:val="07A9564E"/>
    <w:rsid w:val="08185C62"/>
    <w:rsid w:val="08192797"/>
    <w:rsid w:val="082D52AE"/>
    <w:rsid w:val="08442E5C"/>
    <w:rsid w:val="084859A3"/>
    <w:rsid w:val="08C2619C"/>
    <w:rsid w:val="08CE5AA1"/>
    <w:rsid w:val="08E458C1"/>
    <w:rsid w:val="093A6595"/>
    <w:rsid w:val="09AE731F"/>
    <w:rsid w:val="0A0007F1"/>
    <w:rsid w:val="0A21307A"/>
    <w:rsid w:val="0A4112C7"/>
    <w:rsid w:val="0A946796"/>
    <w:rsid w:val="0A9D49E3"/>
    <w:rsid w:val="0AA44A90"/>
    <w:rsid w:val="0AD025A1"/>
    <w:rsid w:val="0B1769B0"/>
    <w:rsid w:val="0B185CF6"/>
    <w:rsid w:val="0B1C6A6E"/>
    <w:rsid w:val="0B4505BC"/>
    <w:rsid w:val="0B487762"/>
    <w:rsid w:val="0B627231"/>
    <w:rsid w:val="0B7205B8"/>
    <w:rsid w:val="0BCB2D68"/>
    <w:rsid w:val="0C05073D"/>
    <w:rsid w:val="0C197004"/>
    <w:rsid w:val="0C733924"/>
    <w:rsid w:val="0C9A5241"/>
    <w:rsid w:val="0CE9152F"/>
    <w:rsid w:val="0D1150F2"/>
    <w:rsid w:val="0D1D3DAE"/>
    <w:rsid w:val="0D1F28BB"/>
    <w:rsid w:val="0D2063A6"/>
    <w:rsid w:val="0D5D2A32"/>
    <w:rsid w:val="0DA868AE"/>
    <w:rsid w:val="0DD01979"/>
    <w:rsid w:val="0DDC079C"/>
    <w:rsid w:val="0E4A575F"/>
    <w:rsid w:val="0E4B6E5E"/>
    <w:rsid w:val="0E7D6CBC"/>
    <w:rsid w:val="0E8B5C22"/>
    <w:rsid w:val="0EA12BEF"/>
    <w:rsid w:val="0EFE2EC2"/>
    <w:rsid w:val="0F2D73D2"/>
    <w:rsid w:val="0F516342"/>
    <w:rsid w:val="0F566DED"/>
    <w:rsid w:val="0F6567F4"/>
    <w:rsid w:val="0F6E4A5C"/>
    <w:rsid w:val="0F702F52"/>
    <w:rsid w:val="0FE60417"/>
    <w:rsid w:val="0FF7237E"/>
    <w:rsid w:val="102916BA"/>
    <w:rsid w:val="107D5DA7"/>
    <w:rsid w:val="107E38C1"/>
    <w:rsid w:val="117E618E"/>
    <w:rsid w:val="11845808"/>
    <w:rsid w:val="11AA1B96"/>
    <w:rsid w:val="11B04EDA"/>
    <w:rsid w:val="11B27688"/>
    <w:rsid w:val="11B76268"/>
    <w:rsid w:val="11BA12F6"/>
    <w:rsid w:val="124670E6"/>
    <w:rsid w:val="124E3A23"/>
    <w:rsid w:val="12631F4C"/>
    <w:rsid w:val="12A64675"/>
    <w:rsid w:val="12C2432F"/>
    <w:rsid w:val="12DF4462"/>
    <w:rsid w:val="12E54114"/>
    <w:rsid w:val="13520DF4"/>
    <w:rsid w:val="136F5304"/>
    <w:rsid w:val="13867E9E"/>
    <w:rsid w:val="13AF24FC"/>
    <w:rsid w:val="13C917B3"/>
    <w:rsid w:val="13D11138"/>
    <w:rsid w:val="13D4011F"/>
    <w:rsid w:val="144B70AB"/>
    <w:rsid w:val="14A1566D"/>
    <w:rsid w:val="14E174CD"/>
    <w:rsid w:val="14F6737F"/>
    <w:rsid w:val="153357D3"/>
    <w:rsid w:val="15844C81"/>
    <w:rsid w:val="15907F36"/>
    <w:rsid w:val="15D241DC"/>
    <w:rsid w:val="15D867AD"/>
    <w:rsid w:val="15F7693B"/>
    <w:rsid w:val="1605343B"/>
    <w:rsid w:val="160E6673"/>
    <w:rsid w:val="161F0F90"/>
    <w:rsid w:val="16BC1C2B"/>
    <w:rsid w:val="16C32FBA"/>
    <w:rsid w:val="16FF1DF7"/>
    <w:rsid w:val="1726737C"/>
    <w:rsid w:val="173A3ADC"/>
    <w:rsid w:val="17BA2579"/>
    <w:rsid w:val="17C36FE9"/>
    <w:rsid w:val="17EC4EE0"/>
    <w:rsid w:val="18224C0E"/>
    <w:rsid w:val="18347CAE"/>
    <w:rsid w:val="183F2B14"/>
    <w:rsid w:val="1844295B"/>
    <w:rsid w:val="185C7104"/>
    <w:rsid w:val="18757CA7"/>
    <w:rsid w:val="18A84BA2"/>
    <w:rsid w:val="18BE1B1E"/>
    <w:rsid w:val="1926427A"/>
    <w:rsid w:val="19355CC5"/>
    <w:rsid w:val="19CA24F7"/>
    <w:rsid w:val="19CE51CC"/>
    <w:rsid w:val="19F74DF1"/>
    <w:rsid w:val="19FA04DE"/>
    <w:rsid w:val="1A260BE9"/>
    <w:rsid w:val="1A2E3FC1"/>
    <w:rsid w:val="1A321923"/>
    <w:rsid w:val="1A5B551D"/>
    <w:rsid w:val="1ABC48F0"/>
    <w:rsid w:val="1AF81E8A"/>
    <w:rsid w:val="1B0B13D3"/>
    <w:rsid w:val="1B163E4B"/>
    <w:rsid w:val="1B6F129B"/>
    <w:rsid w:val="1BA1435F"/>
    <w:rsid w:val="1BA2042A"/>
    <w:rsid w:val="1BB43819"/>
    <w:rsid w:val="1BBB0703"/>
    <w:rsid w:val="1C1808A4"/>
    <w:rsid w:val="1C236DF9"/>
    <w:rsid w:val="1C2564C4"/>
    <w:rsid w:val="1C283F36"/>
    <w:rsid w:val="1C844F99"/>
    <w:rsid w:val="1CE46599"/>
    <w:rsid w:val="1CE866D1"/>
    <w:rsid w:val="1D0C565E"/>
    <w:rsid w:val="1D285CB5"/>
    <w:rsid w:val="1D4F7B0F"/>
    <w:rsid w:val="1D766955"/>
    <w:rsid w:val="1DA84CB7"/>
    <w:rsid w:val="1DB61B7F"/>
    <w:rsid w:val="1E0D7210"/>
    <w:rsid w:val="1E14600D"/>
    <w:rsid w:val="1E154A8B"/>
    <w:rsid w:val="1E4C7AFD"/>
    <w:rsid w:val="1E6750EF"/>
    <w:rsid w:val="1E9D4979"/>
    <w:rsid w:val="1EBD0C06"/>
    <w:rsid w:val="1ECA52BC"/>
    <w:rsid w:val="1EF770B9"/>
    <w:rsid w:val="1F011A6A"/>
    <w:rsid w:val="1F07193D"/>
    <w:rsid w:val="1F256233"/>
    <w:rsid w:val="1F574BE7"/>
    <w:rsid w:val="1F5E41C7"/>
    <w:rsid w:val="1FF468DA"/>
    <w:rsid w:val="20862BBB"/>
    <w:rsid w:val="20D719F1"/>
    <w:rsid w:val="215D400B"/>
    <w:rsid w:val="21B93937"/>
    <w:rsid w:val="21F50B98"/>
    <w:rsid w:val="22075A3F"/>
    <w:rsid w:val="22214D2F"/>
    <w:rsid w:val="22546571"/>
    <w:rsid w:val="228F534C"/>
    <w:rsid w:val="22AA48C0"/>
    <w:rsid w:val="22CE7E46"/>
    <w:rsid w:val="22D053EF"/>
    <w:rsid w:val="237036D4"/>
    <w:rsid w:val="23AD282B"/>
    <w:rsid w:val="23F0272B"/>
    <w:rsid w:val="23FD6B64"/>
    <w:rsid w:val="24107A5A"/>
    <w:rsid w:val="24733226"/>
    <w:rsid w:val="24EC35A3"/>
    <w:rsid w:val="24F07BEB"/>
    <w:rsid w:val="24FE0104"/>
    <w:rsid w:val="252F5CBE"/>
    <w:rsid w:val="2565751B"/>
    <w:rsid w:val="262D02A9"/>
    <w:rsid w:val="2637307C"/>
    <w:rsid w:val="26E441E5"/>
    <w:rsid w:val="273C0EE5"/>
    <w:rsid w:val="27843F24"/>
    <w:rsid w:val="27B150B0"/>
    <w:rsid w:val="27BD670A"/>
    <w:rsid w:val="27D33279"/>
    <w:rsid w:val="27FA489E"/>
    <w:rsid w:val="28505965"/>
    <w:rsid w:val="28AE7971"/>
    <w:rsid w:val="29151547"/>
    <w:rsid w:val="295503F1"/>
    <w:rsid w:val="2981342A"/>
    <w:rsid w:val="29A0718A"/>
    <w:rsid w:val="29BD661B"/>
    <w:rsid w:val="2A3014F7"/>
    <w:rsid w:val="2A4B2FE3"/>
    <w:rsid w:val="2B3B716B"/>
    <w:rsid w:val="2B675BC2"/>
    <w:rsid w:val="2B8F1E00"/>
    <w:rsid w:val="2BF873EC"/>
    <w:rsid w:val="2CCC3D79"/>
    <w:rsid w:val="2CF94C5A"/>
    <w:rsid w:val="2D087520"/>
    <w:rsid w:val="2D207014"/>
    <w:rsid w:val="2D301718"/>
    <w:rsid w:val="2D68312F"/>
    <w:rsid w:val="2D776261"/>
    <w:rsid w:val="2DE27D71"/>
    <w:rsid w:val="2E026666"/>
    <w:rsid w:val="2E3B183A"/>
    <w:rsid w:val="2E591A2F"/>
    <w:rsid w:val="2E5E08BD"/>
    <w:rsid w:val="2E845D28"/>
    <w:rsid w:val="2E9777CF"/>
    <w:rsid w:val="2EDE579C"/>
    <w:rsid w:val="2F0B1D39"/>
    <w:rsid w:val="2F2B2ABE"/>
    <w:rsid w:val="2F780147"/>
    <w:rsid w:val="2F861616"/>
    <w:rsid w:val="2F9103AC"/>
    <w:rsid w:val="2FBB75D0"/>
    <w:rsid w:val="2FDB716E"/>
    <w:rsid w:val="30080B29"/>
    <w:rsid w:val="30132D15"/>
    <w:rsid w:val="303058DB"/>
    <w:rsid w:val="308148CF"/>
    <w:rsid w:val="308B46F0"/>
    <w:rsid w:val="31016B13"/>
    <w:rsid w:val="312B295E"/>
    <w:rsid w:val="313A0A7D"/>
    <w:rsid w:val="314C22F8"/>
    <w:rsid w:val="315842DB"/>
    <w:rsid w:val="31927D00"/>
    <w:rsid w:val="31AD4B3A"/>
    <w:rsid w:val="321A6C0B"/>
    <w:rsid w:val="321B0B5D"/>
    <w:rsid w:val="32B40116"/>
    <w:rsid w:val="332D0AC8"/>
    <w:rsid w:val="334121BA"/>
    <w:rsid w:val="33583CFE"/>
    <w:rsid w:val="33E62899"/>
    <w:rsid w:val="34191340"/>
    <w:rsid w:val="343217A3"/>
    <w:rsid w:val="344D51FC"/>
    <w:rsid w:val="346A23A5"/>
    <w:rsid w:val="346E6803"/>
    <w:rsid w:val="34B87356"/>
    <w:rsid w:val="34C24829"/>
    <w:rsid w:val="35344277"/>
    <w:rsid w:val="355B5B18"/>
    <w:rsid w:val="3570240F"/>
    <w:rsid w:val="35855DB0"/>
    <w:rsid w:val="35BF0348"/>
    <w:rsid w:val="35D772CA"/>
    <w:rsid w:val="35F077E4"/>
    <w:rsid w:val="363D610B"/>
    <w:rsid w:val="364B6108"/>
    <w:rsid w:val="36623C7F"/>
    <w:rsid w:val="36794009"/>
    <w:rsid w:val="36E83CF1"/>
    <w:rsid w:val="37512AD1"/>
    <w:rsid w:val="37954FAC"/>
    <w:rsid w:val="37CE281A"/>
    <w:rsid w:val="380530DE"/>
    <w:rsid w:val="38517DE9"/>
    <w:rsid w:val="3879798B"/>
    <w:rsid w:val="38BE5C96"/>
    <w:rsid w:val="38F21AC9"/>
    <w:rsid w:val="38F944FA"/>
    <w:rsid w:val="3911775D"/>
    <w:rsid w:val="391626D9"/>
    <w:rsid w:val="396445F3"/>
    <w:rsid w:val="39900FC9"/>
    <w:rsid w:val="39F919AD"/>
    <w:rsid w:val="3A0E134F"/>
    <w:rsid w:val="3A1D17A2"/>
    <w:rsid w:val="3A1E5D66"/>
    <w:rsid w:val="3A290E05"/>
    <w:rsid w:val="3A4F4F45"/>
    <w:rsid w:val="3A5F1FAE"/>
    <w:rsid w:val="3A900B55"/>
    <w:rsid w:val="3AD079CD"/>
    <w:rsid w:val="3B3F2CA7"/>
    <w:rsid w:val="3B4958D4"/>
    <w:rsid w:val="3B5847E9"/>
    <w:rsid w:val="3BA22370"/>
    <w:rsid w:val="3BAD1CF4"/>
    <w:rsid w:val="3C1229AA"/>
    <w:rsid w:val="3C574020"/>
    <w:rsid w:val="3D042874"/>
    <w:rsid w:val="3D422565"/>
    <w:rsid w:val="3D4C16AB"/>
    <w:rsid w:val="3D4F5EFE"/>
    <w:rsid w:val="3D9708BD"/>
    <w:rsid w:val="3DBD51FA"/>
    <w:rsid w:val="3DDA05BE"/>
    <w:rsid w:val="3DEA6656"/>
    <w:rsid w:val="3E38323A"/>
    <w:rsid w:val="3E3E4F2C"/>
    <w:rsid w:val="3E5F2626"/>
    <w:rsid w:val="3E99447C"/>
    <w:rsid w:val="3EEF14D7"/>
    <w:rsid w:val="3EF50744"/>
    <w:rsid w:val="3EF8435F"/>
    <w:rsid w:val="3F6D76B7"/>
    <w:rsid w:val="3FC402EE"/>
    <w:rsid w:val="3FCD681A"/>
    <w:rsid w:val="3FE211D3"/>
    <w:rsid w:val="3FE636D8"/>
    <w:rsid w:val="40057EA2"/>
    <w:rsid w:val="404B441A"/>
    <w:rsid w:val="40574BF9"/>
    <w:rsid w:val="40920D1A"/>
    <w:rsid w:val="40DC06F8"/>
    <w:rsid w:val="4139520E"/>
    <w:rsid w:val="413D2159"/>
    <w:rsid w:val="41410DFB"/>
    <w:rsid w:val="41587786"/>
    <w:rsid w:val="41ED34E5"/>
    <w:rsid w:val="42311033"/>
    <w:rsid w:val="426033CA"/>
    <w:rsid w:val="42672AE3"/>
    <w:rsid w:val="429B4B25"/>
    <w:rsid w:val="43204F3D"/>
    <w:rsid w:val="432418B7"/>
    <w:rsid w:val="43245097"/>
    <w:rsid w:val="4324778D"/>
    <w:rsid w:val="43294307"/>
    <w:rsid w:val="433902C8"/>
    <w:rsid w:val="433F0812"/>
    <w:rsid w:val="434B17C6"/>
    <w:rsid w:val="446571DB"/>
    <w:rsid w:val="44715220"/>
    <w:rsid w:val="449C358C"/>
    <w:rsid w:val="44EC1B4C"/>
    <w:rsid w:val="4513774C"/>
    <w:rsid w:val="45307664"/>
    <w:rsid w:val="455F4883"/>
    <w:rsid w:val="45833790"/>
    <w:rsid w:val="4599344C"/>
    <w:rsid w:val="459C0CF6"/>
    <w:rsid w:val="45C64D7A"/>
    <w:rsid w:val="46266406"/>
    <w:rsid w:val="46684902"/>
    <w:rsid w:val="4691292E"/>
    <w:rsid w:val="46D8510C"/>
    <w:rsid w:val="46DF6E6E"/>
    <w:rsid w:val="470428E2"/>
    <w:rsid w:val="479D5CEC"/>
    <w:rsid w:val="47A7001D"/>
    <w:rsid w:val="47C368FA"/>
    <w:rsid w:val="48751A7C"/>
    <w:rsid w:val="487A21CF"/>
    <w:rsid w:val="48A239CE"/>
    <w:rsid w:val="48F1779B"/>
    <w:rsid w:val="49493CCA"/>
    <w:rsid w:val="49861C80"/>
    <w:rsid w:val="49F01E6E"/>
    <w:rsid w:val="49F95AFB"/>
    <w:rsid w:val="4A286FFC"/>
    <w:rsid w:val="4A6952B8"/>
    <w:rsid w:val="4AAC69E9"/>
    <w:rsid w:val="4B0436CF"/>
    <w:rsid w:val="4B2D4B72"/>
    <w:rsid w:val="4B666D05"/>
    <w:rsid w:val="4B745559"/>
    <w:rsid w:val="4B9E3538"/>
    <w:rsid w:val="4BDE0256"/>
    <w:rsid w:val="4C15710C"/>
    <w:rsid w:val="4C1603E0"/>
    <w:rsid w:val="4C1E7F70"/>
    <w:rsid w:val="4C3C4D34"/>
    <w:rsid w:val="4C520360"/>
    <w:rsid w:val="4C675832"/>
    <w:rsid w:val="4C860C45"/>
    <w:rsid w:val="4CB51937"/>
    <w:rsid w:val="4CC1705B"/>
    <w:rsid w:val="4CC81B06"/>
    <w:rsid w:val="4CCF25A6"/>
    <w:rsid w:val="4D3A1444"/>
    <w:rsid w:val="4D4D4350"/>
    <w:rsid w:val="4D643FDF"/>
    <w:rsid w:val="4D7721D3"/>
    <w:rsid w:val="4DA12C43"/>
    <w:rsid w:val="4DBB6142"/>
    <w:rsid w:val="4DF15621"/>
    <w:rsid w:val="4E4011FA"/>
    <w:rsid w:val="4E5E66AC"/>
    <w:rsid w:val="4E677E81"/>
    <w:rsid w:val="4E7351E2"/>
    <w:rsid w:val="4E7505EB"/>
    <w:rsid w:val="4E8741C6"/>
    <w:rsid w:val="4EE91D9C"/>
    <w:rsid w:val="4F196F13"/>
    <w:rsid w:val="4F1B5928"/>
    <w:rsid w:val="4F82202C"/>
    <w:rsid w:val="4FCF51CE"/>
    <w:rsid w:val="50066541"/>
    <w:rsid w:val="503868B1"/>
    <w:rsid w:val="504D50C7"/>
    <w:rsid w:val="506623AC"/>
    <w:rsid w:val="50A152A4"/>
    <w:rsid w:val="50A44D99"/>
    <w:rsid w:val="50CA563B"/>
    <w:rsid w:val="50E97159"/>
    <w:rsid w:val="50FF1894"/>
    <w:rsid w:val="51327901"/>
    <w:rsid w:val="5136587F"/>
    <w:rsid w:val="51382B2C"/>
    <w:rsid w:val="51556767"/>
    <w:rsid w:val="517B53A5"/>
    <w:rsid w:val="51876C31"/>
    <w:rsid w:val="51954A02"/>
    <w:rsid w:val="51BD44CE"/>
    <w:rsid w:val="520774F7"/>
    <w:rsid w:val="521D51BC"/>
    <w:rsid w:val="52614F66"/>
    <w:rsid w:val="52642B9B"/>
    <w:rsid w:val="5266633B"/>
    <w:rsid w:val="52871754"/>
    <w:rsid w:val="53272025"/>
    <w:rsid w:val="53820E6B"/>
    <w:rsid w:val="53823F95"/>
    <w:rsid w:val="53863E0D"/>
    <w:rsid w:val="53CC6C4A"/>
    <w:rsid w:val="54391E02"/>
    <w:rsid w:val="54596730"/>
    <w:rsid w:val="545B47EB"/>
    <w:rsid w:val="54AD69B3"/>
    <w:rsid w:val="54C346B4"/>
    <w:rsid w:val="54E56D6E"/>
    <w:rsid w:val="5516450C"/>
    <w:rsid w:val="55525508"/>
    <w:rsid w:val="556C0EAF"/>
    <w:rsid w:val="55887D3F"/>
    <w:rsid w:val="55963E2F"/>
    <w:rsid w:val="55AD24CB"/>
    <w:rsid w:val="560519C2"/>
    <w:rsid w:val="560F4AEA"/>
    <w:rsid w:val="561011CB"/>
    <w:rsid w:val="56130B60"/>
    <w:rsid w:val="561B01CD"/>
    <w:rsid w:val="56794E67"/>
    <w:rsid w:val="56F3176F"/>
    <w:rsid w:val="571A3372"/>
    <w:rsid w:val="576B5B9C"/>
    <w:rsid w:val="578B78C7"/>
    <w:rsid w:val="57961B4F"/>
    <w:rsid w:val="57AB2634"/>
    <w:rsid w:val="582721AE"/>
    <w:rsid w:val="58492617"/>
    <w:rsid w:val="59140E77"/>
    <w:rsid w:val="592C2E0C"/>
    <w:rsid w:val="593E6E05"/>
    <w:rsid w:val="59547BCF"/>
    <w:rsid w:val="596A5C75"/>
    <w:rsid w:val="596B201C"/>
    <w:rsid w:val="59821F0D"/>
    <w:rsid w:val="59870A5C"/>
    <w:rsid w:val="59C57739"/>
    <w:rsid w:val="59E84ADB"/>
    <w:rsid w:val="59F03D05"/>
    <w:rsid w:val="5A114B53"/>
    <w:rsid w:val="5A1924BD"/>
    <w:rsid w:val="5A2E48FE"/>
    <w:rsid w:val="5A3E1486"/>
    <w:rsid w:val="5AA95E67"/>
    <w:rsid w:val="5AB90A5B"/>
    <w:rsid w:val="5ADE51A0"/>
    <w:rsid w:val="5B2D4026"/>
    <w:rsid w:val="5B601981"/>
    <w:rsid w:val="5B863B03"/>
    <w:rsid w:val="5BB05DA2"/>
    <w:rsid w:val="5BCE7A03"/>
    <w:rsid w:val="5BD95E96"/>
    <w:rsid w:val="5BEA5AF2"/>
    <w:rsid w:val="5C607497"/>
    <w:rsid w:val="5C651491"/>
    <w:rsid w:val="5C797A9F"/>
    <w:rsid w:val="5CB25C27"/>
    <w:rsid w:val="5CE943C9"/>
    <w:rsid w:val="5D1F7CFC"/>
    <w:rsid w:val="5D477420"/>
    <w:rsid w:val="5D606EC3"/>
    <w:rsid w:val="5D721DD5"/>
    <w:rsid w:val="5D8461C8"/>
    <w:rsid w:val="5DAE74E0"/>
    <w:rsid w:val="5DB3003F"/>
    <w:rsid w:val="5E05208C"/>
    <w:rsid w:val="5E197FB4"/>
    <w:rsid w:val="5E380125"/>
    <w:rsid w:val="5E51143D"/>
    <w:rsid w:val="5E5B4E53"/>
    <w:rsid w:val="5E6A1973"/>
    <w:rsid w:val="5EBE2E39"/>
    <w:rsid w:val="5EE908B6"/>
    <w:rsid w:val="5EE94B54"/>
    <w:rsid w:val="5F983CF6"/>
    <w:rsid w:val="5F9E33A4"/>
    <w:rsid w:val="5FAF237A"/>
    <w:rsid w:val="5FD93432"/>
    <w:rsid w:val="601A2BC6"/>
    <w:rsid w:val="602B6916"/>
    <w:rsid w:val="603B3DE5"/>
    <w:rsid w:val="605E5C6C"/>
    <w:rsid w:val="608D764D"/>
    <w:rsid w:val="60BE3FCA"/>
    <w:rsid w:val="60EB2729"/>
    <w:rsid w:val="61150271"/>
    <w:rsid w:val="611A75FF"/>
    <w:rsid w:val="613978E2"/>
    <w:rsid w:val="61C8031F"/>
    <w:rsid w:val="61CE32EC"/>
    <w:rsid w:val="622D4D58"/>
    <w:rsid w:val="62533235"/>
    <w:rsid w:val="625C1A5B"/>
    <w:rsid w:val="625F0F04"/>
    <w:rsid w:val="62777E59"/>
    <w:rsid w:val="62874A52"/>
    <w:rsid w:val="62BA41A1"/>
    <w:rsid w:val="62D7000D"/>
    <w:rsid w:val="62E73159"/>
    <w:rsid w:val="62EA161F"/>
    <w:rsid w:val="62F67815"/>
    <w:rsid w:val="630168EF"/>
    <w:rsid w:val="634718F6"/>
    <w:rsid w:val="634B514E"/>
    <w:rsid w:val="63777987"/>
    <w:rsid w:val="63D6576C"/>
    <w:rsid w:val="63EE6B05"/>
    <w:rsid w:val="645266DE"/>
    <w:rsid w:val="645D3156"/>
    <w:rsid w:val="6462146B"/>
    <w:rsid w:val="64B41760"/>
    <w:rsid w:val="64BD1053"/>
    <w:rsid w:val="65480C10"/>
    <w:rsid w:val="654D4A40"/>
    <w:rsid w:val="65C70913"/>
    <w:rsid w:val="66103945"/>
    <w:rsid w:val="66332F76"/>
    <w:rsid w:val="669B7740"/>
    <w:rsid w:val="66CD1474"/>
    <w:rsid w:val="66F02910"/>
    <w:rsid w:val="66F90A12"/>
    <w:rsid w:val="671D4AAA"/>
    <w:rsid w:val="674B2F0B"/>
    <w:rsid w:val="6794487B"/>
    <w:rsid w:val="68025942"/>
    <w:rsid w:val="687E657B"/>
    <w:rsid w:val="68F02866"/>
    <w:rsid w:val="68FC3B18"/>
    <w:rsid w:val="69105DAA"/>
    <w:rsid w:val="69185D7B"/>
    <w:rsid w:val="692F0B61"/>
    <w:rsid w:val="694D15DB"/>
    <w:rsid w:val="6985782A"/>
    <w:rsid w:val="699E048F"/>
    <w:rsid w:val="6A164EC1"/>
    <w:rsid w:val="6A3428C4"/>
    <w:rsid w:val="6A544F96"/>
    <w:rsid w:val="6AA23FC4"/>
    <w:rsid w:val="6B4C487E"/>
    <w:rsid w:val="6B9742C9"/>
    <w:rsid w:val="6BFD18EE"/>
    <w:rsid w:val="6C6D3270"/>
    <w:rsid w:val="6C755C79"/>
    <w:rsid w:val="6CA97A19"/>
    <w:rsid w:val="6D06341D"/>
    <w:rsid w:val="6D1B57D7"/>
    <w:rsid w:val="6D2538E6"/>
    <w:rsid w:val="6D6C0825"/>
    <w:rsid w:val="6D8330AD"/>
    <w:rsid w:val="6DA822F6"/>
    <w:rsid w:val="6DBE3A56"/>
    <w:rsid w:val="6DD22434"/>
    <w:rsid w:val="6DF565A2"/>
    <w:rsid w:val="6E0666D0"/>
    <w:rsid w:val="6E1C2A99"/>
    <w:rsid w:val="6EBC31D6"/>
    <w:rsid w:val="6EC157D9"/>
    <w:rsid w:val="6F076758"/>
    <w:rsid w:val="6F2B430C"/>
    <w:rsid w:val="6F5C26F7"/>
    <w:rsid w:val="6FA60494"/>
    <w:rsid w:val="6FC3279B"/>
    <w:rsid w:val="6FD26583"/>
    <w:rsid w:val="6FD71FC3"/>
    <w:rsid w:val="6FE15037"/>
    <w:rsid w:val="6FF9096F"/>
    <w:rsid w:val="7000585A"/>
    <w:rsid w:val="704742F9"/>
    <w:rsid w:val="70530D40"/>
    <w:rsid w:val="70676BFD"/>
    <w:rsid w:val="70984BC8"/>
    <w:rsid w:val="70AA1AA4"/>
    <w:rsid w:val="70C251BD"/>
    <w:rsid w:val="70C978CF"/>
    <w:rsid w:val="710C1D14"/>
    <w:rsid w:val="710F129A"/>
    <w:rsid w:val="7127461C"/>
    <w:rsid w:val="71467BE4"/>
    <w:rsid w:val="71AC1521"/>
    <w:rsid w:val="71C47785"/>
    <w:rsid w:val="722B21DA"/>
    <w:rsid w:val="72447AB0"/>
    <w:rsid w:val="72624F3C"/>
    <w:rsid w:val="727C0190"/>
    <w:rsid w:val="730872FA"/>
    <w:rsid w:val="73166CD3"/>
    <w:rsid w:val="73192AD8"/>
    <w:rsid w:val="73201B17"/>
    <w:rsid w:val="73651B9D"/>
    <w:rsid w:val="73A74FEE"/>
    <w:rsid w:val="73AA1F7F"/>
    <w:rsid w:val="73E4199B"/>
    <w:rsid w:val="73F52728"/>
    <w:rsid w:val="740643A1"/>
    <w:rsid w:val="7426402A"/>
    <w:rsid w:val="74296810"/>
    <w:rsid w:val="742E0254"/>
    <w:rsid w:val="745D14CD"/>
    <w:rsid w:val="74703BA3"/>
    <w:rsid w:val="749A65CD"/>
    <w:rsid w:val="749E5F35"/>
    <w:rsid w:val="74EF1B86"/>
    <w:rsid w:val="75114A6F"/>
    <w:rsid w:val="755235C4"/>
    <w:rsid w:val="75850D6F"/>
    <w:rsid w:val="75B72F05"/>
    <w:rsid w:val="75E84F8B"/>
    <w:rsid w:val="76132587"/>
    <w:rsid w:val="764A1463"/>
    <w:rsid w:val="76595CC4"/>
    <w:rsid w:val="766F1A66"/>
    <w:rsid w:val="76832322"/>
    <w:rsid w:val="76A157EB"/>
    <w:rsid w:val="76A258BD"/>
    <w:rsid w:val="76E95C5F"/>
    <w:rsid w:val="77300F90"/>
    <w:rsid w:val="7759436E"/>
    <w:rsid w:val="776023A1"/>
    <w:rsid w:val="77857EE3"/>
    <w:rsid w:val="778634DF"/>
    <w:rsid w:val="77E66BA2"/>
    <w:rsid w:val="77F4020A"/>
    <w:rsid w:val="77FA6186"/>
    <w:rsid w:val="784C015C"/>
    <w:rsid w:val="784F7AB5"/>
    <w:rsid w:val="786D349E"/>
    <w:rsid w:val="78BB4305"/>
    <w:rsid w:val="78C86137"/>
    <w:rsid w:val="78E6347B"/>
    <w:rsid w:val="79083BAB"/>
    <w:rsid w:val="790E57CD"/>
    <w:rsid w:val="799B6200"/>
    <w:rsid w:val="79C57617"/>
    <w:rsid w:val="79C7685A"/>
    <w:rsid w:val="79DE343C"/>
    <w:rsid w:val="79F1233F"/>
    <w:rsid w:val="7A08152C"/>
    <w:rsid w:val="7A231F79"/>
    <w:rsid w:val="7A2B2263"/>
    <w:rsid w:val="7A2C0CA4"/>
    <w:rsid w:val="7A392622"/>
    <w:rsid w:val="7AB3090F"/>
    <w:rsid w:val="7AE150CB"/>
    <w:rsid w:val="7B1719C9"/>
    <w:rsid w:val="7B1864E9"/>
    <w:rsid w:val="7B3059F7"/>
    <w:rsid w:val="7B3A744C"/>
    <w:rsid w:val="7B6F730F"/>
    <w:rsid w:val="7BB56D83"/>
    <w:rsid w:val="7BC82AD2"/>
    <w:rsid w:val="7BDC4B30"/>
    <w:rsid w:val="7C012976"/>
    <w:rsid w:val="7C06116F"/>
    <w:rsid w:val="7C306881"/>
    <w:rsid w:val="7C4B2B74"/>
    <w:rsid w:val="7C684D83"/>
    <w:rsid w:val="7C8F3808"/>
    <w:rsid w:val="7C947506"/>
    <w:rsid w:val="7C991510"/>
    <w:rsid w:val="7CD16D6E"/>
    <w:rsid w:val="7CEA2CFB"/>
    <w:rsid w:val="7D0D4BD8"/>
    <w:rsid w:val="7D1E492C"/>
    <w:rsid w:val="7D5262CF"/>
    <w:rsid w:val="7D700653"/>
    <w:rsid w:val="7D8F5EA6"/>
    <w:rsid w:val="7E0E123E"/>
    <w:rsid w:val="7E1846B6"/>
    <w:rsid w:val="7E2113A6"/>
    <w:rsid w:val="7E2124F6"/>
    <w:rsid w:val="7E435033"/>
    <w:rsid w:val="7E7E3CFE"/>
    <w:rsid w:val="7E8D3655"/>
    <w:rsid w:val="7ED808B7"/>
    <w:rsid w:val="7F2D03CD"/>
    <w:rsid w:val="7F3551C0"/>
    <w:rsid w:val="7F5F6DF6"/>
    <w:rsid w:val="7F7D4D63"/>
    <w:rsid w:val="7FA77645"/>
    <w:rsid w:val="7FFE466E"/>
    <w:rsid w:val="BFAF5C18"/>
    <w:rsid w:val="DAF3F3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rFonts w:ascii="Times New Roman" w:hAnsi="Times New Roman" w:eastAsia="宋体" w:cs="Times New Roman"/>
      <w:b/>
      <w:bCs/>
    </w:rPr>
  </w:style>
  <w:style w:type="paragraph" w:styleId="3">
    <w:name w:val="heading 2"/>
    <w:basedOn w:val="1"/>
    <w:next w:val="1"/>
    <w:link w:val="5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beforeLines="0" w:after="260" w:afterLines="0" w:line="416" w:lineRule="auto"/>
      <w:outlineLvl w:val="2"/>
    </w:pPr>
    <w:rPr>
      <w:rFonts w:ascii="Times New Roman" w:hAnsi="Times New Roman"/>
      <w:b/>
      <w:bCs/>
      <w:sz w:val="32"/>
      <w:szCs w:val="32"/>
    </w:rPr>
  </w:style>
  <w:style w:type="paragraph" w:styleId="5">
    <w:name w:val="heading 4"/>
    <w:basedOn w:val="1"/>
    <w:next w:val="6"/>
    <w:qFormat/>
    <w:uiPriority w:val="0"/>
    <w:pPr>
      <w:keepNext/>
      <w:keepLines/>
      <w:numPr>
        <w:ilvl w:val="3"/>
        <w:numId w:val="1"/>
      </w:numPr>
      <w:spacing w:before="280" w:beforeLines="0" w:after="290" w:afterLines="0" w:line="376" w:lineRule="auto"/>
      <w:outlineLvl w:val="3"/>
    </w:pPr>
    <w:rPr>
      <w:rFonts w:ascii="宋体" w:hAnsi="Arial" w:eastAsia="黑体" w:cs="Times New Roman"/>
      <w:b/>
      <w:sz w:val="24"/>
      <w:szCs w:val="20"/>
    </w:rPr>
  </w:style>
  <w:style w:type="paragraph" w:styleId="7">
    <w:name w:val="heading 5"/>
    <w:basedOn w:val="1"/>
    <w:next w:val="6"/>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sz w:val="28"/>
      <w:szCs w:val="20"/>
    </w:rPr>
  </w:style>
  <w:style w:type="paragraph" w:styleId="8">
    <w:name w:val="heading 6"/>
    <w:basedOn w:val="1"/>
    <w:next w:val="6"/>
    <w:qFormat/>
    <w:uiPriority w:val="0"/>
    <w:pPr>
      <w:keepNext/>
      <w:keepLines/>
      <w:numPr>
        <w:ilvl w:val="5"/>
        <w:numId w:val="1"/>
      </w:numPr>
      <w:spacing w:before="240" w:beforeLines="0" w:after="64" w:afterLines="0" w:line="320" w:lineRule="auto"/>
      <w:outlineLvl w:val="5"/>
    </w:pPr>
    <w:rPr>
      <w:rFonts w:ascii="Arial" w:hAnsi="Arial" w:eastAsia="黑体" w:cs="Times New Roman"/>
      <w:b/>
      <w:sz w:val="24"/>
      <w:szCs w:val="20"/>
    </w:rPr>
  </w:style>
  <w:style w:type="paragraph" w:styleId="9">
    <w:name w:val="heading 7"/>
    <w:basedOn w:val="1"/>
    <w:next w:val="6"/>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sz w:val="24"/>
      <w:szCs w:val="20"/>
    </w:rPr>
  </w:style>
  <w:style w:type="paragraph" w:styleId="10">
    <w:name w:val="heading 8"/>
    <w:basedOn w:val="1"/>
    <w:next w:val="6"/>
    <w:qFormat/>
    <w:uiPriority w:val="0"/>
    <w:pPr>
      <w:keepNext/>
      <w:keepLines/>
      <w:numPr>
        <w:ilvl w:val="7"/>
        <w:numId w:val="1"/>
      </w:numPr>
      <w:spacing w:before="240" w:beforeLines="0" w:after="64" w:afterLines="0" w:line="320" w:lineRule="auto"/>
      <w:outlineLvl w:val="7"/>
    </w:pPr>
    <w:rPr>
      <w:rFonts w:ascii="Arial" w:hAnsi="Arial" w:eastAsia="黑体" w:cs="Times New Roman"/>
      <w:sz w:val="24"/>
      <w:szCs w:val="20"/>
    </w:rPr>
  </w:style>
  <w:style w:type="paragraph" w:styleId="11">
    <w:name w:val="heading 9"/>
    <w:basedOn w:val="1"/>
    <w:next w:val="6"/>
    <w:qFormat/>
    <w:uiPriority w:val="0"/>
    <w:pPr>
      <w:keepNext/>
      <w:keepLines/>
      <w:numPr>
        <w:ilvl w:val="8"/>
        <w:numId w:val="1"/>
      </w:numPr>
      <w:spacing w:before="240" w:beforeLines="0" w:after="64" w:afterLines="0" w:line="320" w:lineRule="auto"/>
      <w:outlineLvl w:val="8"/>
    </w:pPr>
    <w:rPr>
      <w:rFonts w:ascii="Arial" w:hAnsi="Arial" w:eastAsia="黑体" w:cs="Times New Roman"/>
      <w:szCs w:val="20"/>
    </w:rPr>
  </w:style>
  <w:style w:type="character" w:default="1" w:styleId="35">
    <w:name w:val="Default Paragraph Font"/>
    <w:qFormat/>
    <w:uiPriority w:val="0"/>
    <w:rPr>
      <w:rFonts w:ascii="Tahoma" w:hAnsi="Tahoma" w:eastAsia="宋体" w:cs="Times New Roman"/>
      <w:sz w:val="24"/>
      <w:szCs w:val="20"/>
    </w:rPr>
  </w:style>
  <w:style w:type="table" w:default="1" w:styleId="3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Normal Indent"/>
    <w:basedOn w:val="1"/>
    <w:next w:val="1"/>
    <w:qFormat/>
    <w:uiPriority w:val="99"/>
    <w:pPr>
      <w:ind w:firstLine="420"/>
    </w:pPr>
    <w:rPr>
      <w:rFonts w:ascii="Times New Roman" w:hAnsi="Times New Roman" w:eastAsia="宋体" w:cs="Times New Roman"/>
      <w:szCs w:val="20"/>
    </w:rPr>
  </w:style>
  <w:style w:type="paragraph" w:styleId="12">
    <w:name w:val="Document Map"/>
    <w:basedOn w:val="1"/>
    <w:qFormat/>
    <w:uiPriority w:val="0"/>
    <w:pPr>
      <w:shd w:val="clear" w:color="auto" w:fill="000080"/>
    </w:pPr>
    <w:rPr>
      <w:rFonts w:ascii="Times New Roman" w:hAnsi="Times New Roman" w:eastAsia="宋体" w:cs="Times New Roman"/>
    </w:rPr>
  </w:style>
  <w:style w:type="paragraph" w:styleId="13">
    <w:name w:val="annotation text"/>
    <w:basedOn w:val="1"/>
    <w:link w:val="53"/>
    <w:qFormat/>
    <w:uiPriority w:val="0"/>
    <w:pPr>
      <w:jc w:val="left"/>
    </w:pPr>
    <w:rPr>
      <w:rFonts w:ascii="Tahoma" w:hAnsi="Tahoma"/>
    </w:rPr>
  </w:style>
  <w:style w:type="paragraph" w:styleId="14">
    <w:name w:val="Body Text"/>
    <w:basedOn w:val="1"/>
    <w:next w:val="1"/>
    <w:qFormat/>
    <w:uiPriority w:val="0"/>
    <w:pPr>
      <w:spacing w:line="312" w:lineRule="auto"/>
    </w:pPr>
    <w:rPr>
      <w:rFonts w:ascii="宋体" w:hAnsi="Times New Roman" w:eastAsia="宋体" w:cs="Times New Roman"/>
      <w:spacing w:val="20"/>
      <w:kern w:val="0"/>
      <w:szCs w:val="20"/>
    </w:rPr>
  </w:style>
  <w:style w:type="paragraph" w:styleId="15">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16">
    <w:name w:val="toc 3"/>
    <w:basedOn w:val="1"/>
    <w:next w:val="1"/>
    <w:qFormat/>
    <w:uiPriority w:val="0"/>
    <w:rPr>
      <w:rFonts w:ascii="Times New Roman" w:hAnsi="Times New Roman" w:eastAsia="宋体" w:cs="Times New Roman"/>
      <w:sz w:val="28"/>
    </w:rPr>
  </w:style>
  <w:style w:type="paragraph" w:styleId="17">
    <w:name w:val="Plain Text"/>
    <w:basedOn w:val="1"/>
    <w:next w:val="1"/>
    <w:link w:val="54"/>
    <w:qFormat/>
    <w:uiPriority w:val="0"/>
    <w:pPr>
      <w:widowControl w:val="0"/>
      <w:spacing w:line="240" w:lineRule="auto"/>
      <w:textAlignment w:val="auto"/>
    </w:pPr>
    <w:rPr>
      <w:rFonts w:ascii="宋体" w:hAnsi="Courier New"/>
      <w:szCs w:val="20"/>
    </w:rPr>
  </w:style>
  <w:style w:type="paragraph" w:styleId="18">
    <w:name w:val="Date"/>
    <w:basedOn w:val="1"/>
    <w:next w:val="1"/>
    <w:qFormat/>
    <w:uiPriority w:val="0"/>
    <w:pPr>
      <w:ind w:left="100" w:leftChars="2500"/>
    </w:pPr>
    <w:rPr>
      <w:rFonts w:ascii="Times New Roman" w:hAnsi="Times New Roman" w:eastAsia="宋体" w:cs="Times New Roman"/>
      <w:spacing w:val="30"/>
      <w:sz w:val="28"/>
    </w:rPr>
  </w:style>
  <w:style w:type="paragraph" w:styleId="19">
    <w:name w:val="Body Text Indent 2"/>
    <w:basedOn w:val="1"/>
    <w:qFormat/>
    <w:uiPriority w:val="0"/>
    <w:pPr>
      <w:spacing w:line="400" w:lineRule="exact"/>
      <w:ind w:firstLine="480"/>
    </w:pPr>
    <w:rPr>
      <w:rFonts w:ascii="Times New Roman" w:hAnsi="Times New Roman" w:eastAsia="宋体" w:cs="Times New Roman"/>
    </w:rPr>
  </w:style>
  <w:style w:type="paragraph" w:styleId="20">
    <w:name w:val="Balloon Text"/>
    <w:basedOn w:val="1"/>
    <w:qFormat/>
    <w:uiPriority w:val="0"/>
    <w:rPr>
      <w:rFonts w:ascii="Times New Roman" w:hAnsi="Times New Roman" w:eastAsia="宋体" w:cs="Times New Roman"/>
      <w:sz w:val="18"/>
      <w:szCs w:val="18"/>
    </w:rPr>
  </w:style>
  <w:style w:type="paragraph" w:styleId="21">
    <w:name w:val="footer"/>
    <w:basedOn w:val="1"/>
    <w:link w:val="55"/>
    <w:qFormat/>
    <w:uiPriority w:val="0"/>
    <w:pPr>
      <w:tabs>
        <w:tab w:val="center" w:pos="4153"/>
        <w:tab w:val="right" w:pos="8306"/>
      </w:tabs>
      <w:snapToGrid w:val="0"/>
      <w:jc w:val="left"/>
    </w:pPr>
    <w:rPr>
      <w:rFonts w:ascii="宋体" w:hAnsi="Courier New"/>
      <w:sz w:val="18"/>
      <w:szCs w:val="20"/>
    </w:rPr>
  </w:style>
  <w:style w:type="paragraph" w:styleId="22">
    <w:name w:val="header"/>
    <w:basedOn w:val="1"/>
    <w:link w:val="56"/>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3">
    <w:name w:val="toc 1"/>
    <w:basedOn w:val="1"/>
    <w:next w:val="1"/>
    <w:qFormat/>
    <w:uiPriority w:val="0"/>
    <w:rPr>
      <w:rFonts w:ascii="Times New Roman" w:hAnsi="Times New Roman" w:eastAsia="宋体" w:cs="Times New Roman"/>
      <w:sz w:val="28"/>
    </w:rPr>
  </w:style>
  <w:style w:type="paragraph" w:styleId="24">
    <w:name w:val="toc 4"/>
    <w:basedOn w:val="1"/>
    <w:next w:val="1"/>
    <w:qFormat/>
    <w:uiPriority w:val="0"/>
    <w:rPr>
      <w:rFonts w:ascii="Times New Roman" w:hAnsi="Times New Roman" w:eastAsia="宋体" w:cs="Times New Roman"/>
      <w:sz w:val="28"/>
    </w:rPr>
  </w:style>
  <w:style w:type="paragraph" w:styleId="25">
    <w:name w:val="Body Text Indent 3"/>
    <w:basedOn w:val="1"/>
    <w:link w:val="57"/>
    <w:qFormat/>
    <w:uiPriority w:val="0"/>
    <w:pPr>
      <w:spacing w:after="120" w:afterLines="0"/>
      <w:ind w:left="420" w:leftChars="200"/>
    </w:pPr>
    <w:rPr>
      <w:rFonts w:ascii="Times New Roman" w:hAnsi="Times New Roman"/>
      <w:sz w:val="16"/>
      <w:szCs w:val="16"/>
    </w:rPr>
  </w:style>
  <w:style w:type="paragraph" w:styleId="26">
    <w:name w:val="toc 2"/>
    <w:basedOn w:val="1"/>
    <w:next w:val="1"/>
    <w:qFormat/>
    <w:uiPriority w:val="0"/>
    <w:rPr>
      <w:rFonts w:ascii="Times New Roman" w:hAnsi="Times New Roman" w:eastAsia="宋体" w:cs="Times New Roman"/>
      <w:sz w:val="28"/>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8">
    <w:name w:val="Normal (Web)"/>
    <w:basedOn w:val="1"/>
    <w:qFormat/>
    <w:uiPriority w:val="0"/>
    <w:pPr>
      <w:widowControl/>
      <w:spacing w:before="100" w:beforeLines="0" w:beforeAutospacing="1" w:after="100" w:afterLines="0" w:afterAutospacing="1"/>
      <w:jc w:val="left"/>
    </w:pPr>
    <w:rPr>
      <w:rFonts w:ascii="Arial" w:hAnsi="Arial" w:eastAsia="宋体" w:cs="Arial"/>
      <w:color w:val="000000"/>
      <w:kern w:val="0"/>
      <w:sz w:val="18"/>
      <w:szCs w:val="18"/>
    </w:rPr>
  </w:style>
  <w:style w:type="paragraph" w:styleId="29">
    <w:name w:val="index 1"/>
    <w:basedOn w:val="1"/>
    <w:next w:val="1"/>
    <w:qFormat/>
    <w:uiPriority w:val="0"/>
    <w:pPr>
      <w:spacing w:line="360" w:lineRule="auto"/>
    </w:pPr>
    <w:rPr>
      <w:rFonts w:ascii="宋体" w:hAnsi="宋体" w:eastAsia="宋体" w:cs="Times New Roman"/>
      <w:bCs/>
      <w:szCs w:val="21"/>
    </w:rPr>
  </w:style>
  <w:style w:type="paragraph" w:styleId="30">
    <w:name w:val="Title"/>
    <w:basedOn w:val="1"/>
    <w:next w:val="1"/>
    <w:qFormat/>
    <w:uiPriority w:val="0"/>
    <w:pPr>
      <w:jc w:val="left"/>
      <w:outlineLvl w:val="0"/>
    </w:pPr>
    <w:rPr>
      <w:rFonts w:ascii="Cambria" w:hAnsi="Cambria" w:cs="Times New Roman"/>
      <w:b/>
      <w:bCs/>
      <w:szCs w:val="32"/>
    </w:rPr>
  </w:style>
  <w:style w:type="paragraph" w:styleId="31">
    <w:name w:val="annotation subject"/>
    <w:basedOn w:val="13"/>
    <w:next w:val="13"/>
    <w:qFormat/>
    <w:uiPriority w:val="0"/>
    <w:rPr>
      <w:rFonts w:ascii="Times New Roman" w:hAnsi="Times New Roman" w:eastAsia="宋体" w:cs="Times New Roman"/>
      <w:b/>
      <w:bCs/>
    </w:rPr>
  </w:style>
  <w:style w:type="paragraph" w:styleId="32">
    <w:name w:val="Body Text First Indent 2"/>
    <w:qFormat/>
    <w:uiPriority w:val="0"/>
    <w:pPr>
      <w:ind w:left="420" w:firstLine="420" w:firstLineChars="200"/>
    </w:pPr>
    <w:rPr>
      <w:rFonts w:ascii="Calibri" w:hAnsi="Calibri" w:eastAsia="宋体" w:cs="Times New Roman"/>
      <w:szCs w:val="24"/>
      <w:lang w:val="en-US" w:eastAsia="zh-CN" w:bidi="ar-SA"/>
    </w:rPr>
  </w:style>
  <w:style w:type="table" w:styleId="34">
    <w:name w:val="Table Grid"/>
    <w:basedOn w:val="33"/>
    <w:qFormat/>
    <w:uiPriority w:val="3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qFormat/>
    <w:uiPriority w:val="0"/>
    <w:rPr>
      <w:rFonts w:ascii="Times New Roman" w:hAnsi="Times New Roman" w:eastAsia="宋体" w:cs="Times New Roman"/>
      <w:b/>
      <w:bCs/>
      <w:sz w:val="24"/>
      <w:szCs w:val="20"/>
    </w:rPr>
  </w:style>
  <w:style w:type="character" w:styleId="37">
    <w:name w:val="page number"/>
    <w:qFormat/>
    <w:uiPriority w:val="0"/>
    <w:rPr>
      <w:rFonts w:ascii="Times New Roman" w:hAnsi="Times New Roman" w:eastAsia="宋体" w:cs="Times New Roman"/>
      <w:sz w:val="24"/>
      <w:szCs w:val="20"/>
    </w:rPr>
  </w:style>
  <w:style w:type="character" w:styleId="38">
    <w:name w:val="FollowedHyperlink"/>
    <w:qFormat/>
    <w:uiPriority w:val="0"/>
    <w:rPr>
      <w:rFonts w:ascii="Times New Roman" w:hAnsi="Times New Roman" w:eastAsia="宋体" w:cs="Times New Roman"/>
      <w:color w:val="800080"/>
      <w:sz w:val="24"/>
      <w:szCs w:val="20"/>
      <w:u w:val="single"/>
    </w:rPr>
  </w:style>
  <w:style w:type="character" w:styleId="39">
    <w:name w:val="Emphasis"/>
    <w:basedOn w:val="35"/>
    <w:qFormat/>
    <w:uiPriority w:val="0"/>
    <w:rPr>
      <w:b/>
      <w:bCs/>
    </w:rPr>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qFormat/>
    <w:uiPriority w:val="0"/>
    <w:rPr>
      <w:rFonts w:ascii="Times New Roman" w:hAnsi="Times New Roman" w:eastAsia="宋体" w:cs="Times New Roman"/>
      <w:color w:val="0000FF"/>
      <w:sz w:val="24"/>
      <w:szCs w:val="20"/>
      <w:u w:val="single"/>
    </w:rPr>
  </w:style>
  <w:style w:type="character" w:styleId="45">
    <w:name w:val="HTML Code"/>
    <w:basedOn w:val="35"/>
    <w:qFormat/>
    <w:uiPriority w:val="0"/>
    <w:rPr>
      <w:rFonts w:ascii="monospace" w:hAnsi="monospace" w:eastAsia="monospace" w:cs="monospace"/>
      <w:sz w:val="20"/>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Cite"/>
    <w:basedOn w:val="35"/>
    <w:qFormat/>
    <w:uiPriority w:val="0"/>
  </w:style>
  <w:style w:type="character" w:styleId="48">
    <w:name w:val="HTML Keyboard"/>
    <w:basedOn w:val="35"/>
    <w:qFormat/>
    <w:uiPriority w:val="0"/>
    <w:rPr>
      <w:rFonts w:hint="default" w:ascii="monospace" w:hAnsi="monospace" w:eastAsia="monospace" w:cs="monospace"/>
      <w:sz w:val="20"/>
    </w:rPr>
  </w:style>
  <w:style w:type="character" w:styleId="49">
    <w:name w:val="HTML Sample"/>
    <w:basedOn w:val="35"/>
    <w:qFormat/>
    <w:uiPriority w:val="0"/>
    <w:rPr>
      <w:rFonts w:hint="default" w:ascii="monospace" w:hAnsi="monospace" w:eastAsia="monospace" w:cs="monospace"/>
    </w:rPr>
  </w:style>
  <w:style w:type="paragraph" w:customStyle="1" w:styleId="50">
    <w:name w:val="样式 0正文 + 首行缩进:  2 字符1"/>
    <w:qFormat/>
    <w:uiPriority w:val="0"/>
    <w:pPr>
      <w:widowControl w:val="0"/>
      <w:spacing w:line="360" w:lineRule="auto"/>
      <w:ind w:firstLine="200" w:firstLineChars="200"/>
      <w:jc w:val="both"/>
    </w:pPr>
    <w:rPr>
      <w:rFonts w:ascii="Times New Roman" w:hAnsi="Times New Roman" w:eastAsia="宋体" w:cs="Times New Roman"/>
      <w:kern w:val="2"/>
      <w:sz w:val="28"/>
      <w:szCs w:val="28"/>
      <w:lang w:val="en-US" w:eastAsia="zh-CN" w:bidi="ar-SA"/>
    </w:rPr>
  </w:style>
  <w:style w:type="character" w:customStyle="1" w:styleId="51">
    <w:name w:val="标题 2 Char"/>
    <w:link w:val="3"/>
    <w:qFormat/>
    <w:uiPriority w:val="0"/>
    <w:rPr>
      <w:rFonts w:ascii="Arial" w:hAnsi="Arial" w:eastAsia="黑体" w:cs="Times New Roman"/>
      <w:b/>
      <w:bCs/>
      <w:kern w:val="2"/>
      <w:sz w:val="32"/>
      <w:szCs w:val="32"/>
      <w:lang w:val="en-US" w:eastAsia="zh-CN" w:bidi="ar-SA"/>
    </w:rPr>
  </w:style>
  <w:style w:type="character" w:customStyle="1" w:styleId="52">
    <w:name w:val="标题 3 Char"/>
    <w:link w:val="4"/>
    <w:qFormat/>
    <w:uiPriority w:val="0"/>
    <w:rPr>
      <w:rFonts w:ascii="Times New Roman" w:hAnsi="Times New Roman" w:eastAsia="宋体" w:cs="Times New Roman"/>
      <w:b/>
      <w:bCs/>
      <w:kern w:val="2"/>
      <w:sz w:val="32"/>
      <w:szCs w:val="32"/>
      <w:lang w:val="en-US" w:eastAsia="zh-CN" w:bidi="ar-SA"/>
    </w:rPr>
  </w:style>
  <w:style w:type="character" w:customStyle="1" w:styleId="53">
    <w:name w:val="批注文字 Char"/>
    <w:link w:val="13"/>
    <w:qFormat/>
    <w:uiPriority w:val="0"/>
    <w:rPr>
      <w:rFonts w:ascii="Tahoma" w:hAnsi="Tahoma" w:eastAsia="宋体" w:cs="Times New Roman"/>
      <w:kern w:val="2"/>
      <w:sz w:val="21"/>
      <w:szCs w:val="24"/>
    </w:rPr>
  </w:style>
  <w:style w:type="character" w:customStyle="1" w:styleId="54">
    <w:name w:val="纯文本 Char"/>
    <w:link w:val="17"/>
    <w:qFormat/>
    <w:uiPriority w:val="0"/>
    <w:rPr>
      <w:rFonts w:ascii="宋体" w:hAnsi="Courier New" w:eastAsia="宋体" w:cs="Times New Roman"/>
      <w:kern w:val="2"/>
      <w:sz w:val="21"/>
      <w:szCs w:val="20"/>
      <w:lang w:val="en-US" w:eastAsia="zh-CN" w:bidi="ar-SA"/>
    </w:rPr>
  </w:style>
  <w:style w:type="character" w:customStyle="1" w:styleId="55">
    <w:name w:val="页脚 Char"/>
    <w:link w:val="21"/>
    <w:qFormat/>
    <w:uiPriority w:val="0"/>
    <w:rPr>
      <w:rFonts w:ascii="宋体" w:hAnsi="Courier New" w:eastAsia="宋体" w:cs="Times New Roman"/>
      <w:kern w:val="2"/>
      <w:sz w:val="18"/>
      <w:szCs w:val="20"/>
      <w:lang w:val="en-US" w:eastAsia="zh-CN" w:bidi="ar-SA"/>
    </w:rPr>
  </w:style>
  <w:style w:type="character" w:customStyle="1" w:styleId="56">
    <w:name w:val="页眉 Char"/>
    <w:link w:val="22"/>
    <w:qFormat/>
    <w:uiPriority w:val="0"/>
    <w:rPr>
      <w:rFonts w:ascii="宋体" w:hAnsi="Courier New" w:eastAsia="宋体" w:cs="Times New Roman"/>
      <w:kern w:val="2"/>
      <w:sz w:val="18"/>
      <w:szCs w:val="20"/>
      <w:lang w:val="en-US" w:eastAsia="zh-CN" w:bidi="ar-SA"/>
    </w:rPr>
  </w:style>
  <w:style w:type="character" w:customStyle="1" w:styleId="57">
    <w:name w:val="正文文本缩进 3 Char"/>
    <w:link w:val="25"/>
    <w:qFormat/>
    <w:uiPriority w:val="0"/>
    <w:rPr>
      <w:rFonts w:ascii="Times New Roman" w:hAnsi="Times New Roman" w:eastAsia="宋体" w:cs="Times New Roman"/>
      <w:kern w:val="2"/>
      <w:sz w:val="16"/>
      <w:szCs w:val="16"/>
    </w:rPr>
  </w:style>
  <w:style w:type="character" w:customStyle="1" w:styleId="58">
    <w:name w:val="font21"/>
    <w:basedOn w:val="35"/>
    <w:qFormat/>
    <w:uiPriority w:val="0"/>
    <w:rPr>
      <w:rFonts w:hint="eastAsia" w:ascii="宋体" w:hAnsi="宋体" w:eastAsia="宋体" w:cs="宋体"/>
      <w:color w:val="000000"/>
      <w:sz w:val="20"/>
      <w:szCs w:val="20"/>
      <w:u w:val="none"/>
    </w:rPr>
  </w:style>
  <w:style w:type="character" w:customStyle="1" w:styleId="59">
    <w:name w:val="font01"/>
    <w:basedOn w:val="35"/>
    <w:qFormat/>
    <w:uiPriority w:val="0"/>
    <w:rPr>
      <w:rFonts w:hint="eastAsia" w:ascii="宋体" w:hAnsi="宋体" w:eastAsia="宋体" w:cs="宋体"/>
      <w:color w:val="FF0000"/>
      <w:sz w:val="20"/>
      <w:szCs w:val="20"/>
      <w:u w:val="none"/>
    </w:rPr>
  </w:style>
  <w:style w:type="character" w:customStyle="1" w:styleId="60">
    <w:name w:val="font31"/>
    <w:basedOn w:val="35"/>
    <w:qFormat/>
    <w:uiPriority w:val="0"/>
    <w:rPr>
      <w:rFonts w:hint="eastAsia" w:ascii="宋体" w:hAnsi="宋体" w:eastAsia="宋体" w:cs="宋体"/>
      <w:color w:val="000000"/>
      <w:sz w:val="28"/>
      <w:szCs w:val="28"/>
      <w:u w:val="none"/>
    </w:rPr>
  </w:style>
  <w:style w:type="character" w:customStyle="1" w:styleId="61">
    <w:name w:val="style201"/>
    <w:qFormat/>
    <w:uiPriority w:val="0"/>
    <w:rPr>
      <w:rFonts w:ascii="Times New Roman" w:hAnsi="Times New Roman" w:eastAsia="宋体" w:cs="Times New Roman"/>
      <w:sz w:val="27"/>
      <w:szCs w:val="27"/>
    </w:rPr>
  </w:style>
  <w:style w:type="character" w:customStyle="1" w:styleId="62">
    <w:name w:val="font51"/>
    <w:basedOn w:val="35"/>
    <w:qFormat/>
    <w:uiPriority w:val="0"/>
    <w:rPr>
      <w:rFonts w:hint="eastAsia" w:ascii="宋体" w:hAnsi="宋体" w:eastAsia="宋体" w:cs="宋体"/>
      <w:color w:val="FF0000"/>
      <w:sz w:val="20"/>
      <w:szCs w:val="20"/>
      <w:u w:val="none"/>
    </w:rPr>
  </w:style>
  <w:style w:type="character" w:customStyle="1" w:styleId="63">
    <w:name w:val="bsharetext"/>
    <w:basedOn w:val="35"/>
    <w:qFormat/>
    <w:uiPriority w:val="0"/>
  </w:style>
  <w:style w:type="character" w:customStyle="1" w:styleId="64">
    <w:name w:val="font11"/>
    <w:basedOn w:val="35"/>
    <w:qFormat/>
    <w:uiPriority w:val="0"/>
    <w:rPr>
      <w:rFonts w:hint="eastAsia" w:ascii="宋体" w:hAnsi="宋体" w:eastAsia="宋体" w:cs="宋体"/>
      <w:color w:val="000000"/>
      <w:sz w:val="20"/>
      <w:szCs w:val="20"/>
      <w:u w:val="none"/>
    </w:rPr>
  </w:style>
  <w:style w:type="character" w:customStyle="1" w:styleId="65">
    <w:name w:val=" Char Char7"/>
    <w:semiHidden/>
    <w:qFormat/>
    <w:locked/>
    <w:uiPriority w:val="0"/>
    <w:rPr>
      <w:rFonts w:ascii="宋体" w:hAnsi="Courier New" w:eastAsia="宋体" w:cs="Courier New"/>
      <w:sz w:val="21"/>
      <w:szCs w:val="21"/>
    </w:rPr>
  </w:style>
  <w:style w:type="paragraph" w:customStyle="1" w:styleId="66">
    <w:name w:val="Table Paragraph"/>
    <w:basedOn w:val="1"/>
    <w:qFormat/>
    <w:uiPriority w:val="0"/>
    <w:pPr>
      <w:autoSpaceDE w:val="0"/>
      <w:autoSpaceDN w:val="0"/>
      <w:jc w:val="left"/>
    </w:pPr>
    <w:rPr>
      <w:rFonts w:ascii="宋体" w:hAnsi="宋体" w:eastAsia="宋体" w:cs="宋体"/>
      <w:kern w:val="0"/>
      <w:sz w:val="22"/>
      <w:szCs w:val="22"/>
      <w:lang w:val="zh-CN" w:bidi="zh-CN"/>
    </w:rPr>
  </w:style>
  <w:style w:type="paragraph" w:customStyle="1" w:styleId="67">
    <w:name w:val="Char3"/>
    <w:basedOn w:val="1"/>
    <w:qFormat/>
    <w:uiPriority w:val="0"/>
    <w:pPr>
      <w:widowControl/>
      <w:snapToGrid w:val="0"/>
      <w:ind w:left="27" w:leftChars="13"/>
      <w:jc w:val="center"/>
    </w:pPr>
    <w:rPr>
      <w:rFonts w:ascii="宋体" w:hAnsi="宋体"/>
      <w:color w:val="0000FF"/>
      <w:kern w:val="0"/>
      <w:szCs w:val="21"/>
    </w:rPr>
  </w:style>
  <w:style w:type="paragraph" w:customStyle="1" w:styleId="68">
    <w:name w:val="Char Char Char Char Char Char Char"/>
    <w:basedOn w:val="1"/>
    <w:qFormat/>
    <w:uiPriority w:val="0"/>
    <w:pPr>
      <w:widowControl w:val="0"/>
      <w:snapToGrid w:val="0"/>
      <w:spacing w:after="0" w:line="360" w:lineRule="auto"/>
      <w:ind w:firstLine="200" w:firstLineChars="200"/>
      <w:jc w:val="both"/>
    </w:pPr>
    <w:rPr>
      <w:rFonts w:ascii="Tahoma" w:hAnsi="Tahoma" w:eastAsia="宋体" w:cs="Times New Roman"/>
      <w:kern w:val="2"/>
      <w:sz w:val="24"/>
      <w:szCs w:val="20"/>
      <w:lang w:val="en-US" w:eastAsia="zh-CN" w:bidi="ar-SA"/>
    </w:rPr>
  </w:style>
  <w:style w:type="paragraph" w:customStyle="1" w:styleId="69">
    <w:name w:val="Blockquote"/>
    <w:basedOn w:val="1"/>
    <w:qFormat/>
    <w:uiPriority w:val="0"/>
    <w:pPr>
      <w:autoSpaceDE w:val="0"/>
      <w:autoSpaceDN w:val="0"/>
      <w:adjustRightInd w:val="0"/>
      <w:spacing w:before="100" w:beforeLines="0" w:after="100" w:afterLines="0"/>
      <w:ind w:left="360" w:right="360"/>
      <w:jc w:val="left"/>
    </w:pPr>
    <w:rPr>
      <w:rFonts w:ascii="Times New Roman" w:hAnsi="Times New Roman" w:eastAsia="宋体" w:cs="Times New Roman"/>
      <w:kern w:val="0"/>
      <w:sz w:val="24"/>
      <w:szCs w:val="20"/>
    </w:rPr>
  </w:style>
  <w:style w:type="paragraph" w:customStyle="1" w:styleId="70">
    <w:name w:val=" Char Char Char"/>
    <w:basedOn w:val="1"/>
    <w:qFormat/>
    <w:uiPriority w:val="0"/>
    <w:rPr>
      <w:rFonts w:ascii="Tahoma" w:hAnsi="Tahoma" w:eastAsia="宋体" w:cs="Times New Roman"/>
      <w:sz w:val="24"/>
      <w:szCs w:val="20"/>
    </w:rPr>
  </w:style>
  <w:style w:type="paragraph" w:customStyle="1" w:styleId="71">
    <w:name w:val=" Char Char Char Char Char Char Char"/>
    <w:basedOn w:val="1"/>
    <w:qFormat/>
    <w:uiPriority w:val="0"/>
    <w:pPr>
      <w:snapToGrid w:val="0"/>
      <w:spacing w:line="360" w:lineRule="auto"/>
      <w:ind w:firstLine="200" w:firstLineChars="200"/>
    </w:pPr>
    <w:rPr>
      <w:rFonts w:ascii="Tahoma" w:hAnsi="Tahoma" w:eastAsia="宋体" w:cs="Times New Roman"/>
      <w:sz w:val="24"/>
      <w:szCs w:val="20"/>
    </w:rPr>
  </w:style>
  <w:style w:type="paragraph" w:customStyle="1" w:styleId="72">
    <w:name w:val="默认段落字体 Para Char Char Char Char Char Char Char Char Char1 Char Char Char Char Char Char Char"/>
    <w:basedOn w:val="12"/>
    <w:qFormat/>
    <w:uiPriority w:val="0"/>
    <w:rPr>
      <w:rFonts w:ascii="宋体" w:hAnsi="宋体" w:eastAsia="宋体" w:cs="Arial"/>
      <w:szCs w:val="21"/>
      <w:shd w:val="clear" w:color="auto" w:fill="000080"/>
    </w:rPr>
  </w:style>
  <w:style w:type="paragraph" w:customStyle="1" w:styleId="73">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 w:type="paragraph" w:customStyle="1" w:styleId="74">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75">
    <w:name w:val="p0"/>
    <w:basedOn w:val="1"/>
    <w:qFormat/>
    <w:uiPriority w:val="0"/>
    <w:pPr>
      <w:widowControl/>
    </w:pPr>
    <w:rPr>
      <w:rFonts w:ascii="Calibri" w:hAnsi="Calibri" w:eastAsia="宋体" w:cs="宋体"/>
      <w:kern w:val="0"/>
      <w:szCs w:val="21"/>
    </w:rPr>
  </w:style>
  <w:style w:type="paragraph" w:customStyle="1" w:styleId="76">
    <w:name w:val="列表4"/>
    <w:basedOn w:val="1"/>
    <w:qFormat/>
    <w:uiPriority w:val="0"/>
    <w:pPr>
      <w:snapToGrid w:val="0"/>
    </w:pPr>
    <w:rPr>
      <w:rFonts w:ascii="Times New Roman" w:hAnsi="Times New Roman" w:eastAsia="宋体" w:cs="Times New Roman"/>
      <w:sz w:val="28"/>
      <w:szCs w:val="20"/>
    </w:rPr>
  </w:style>
  <w:style w:type="paragraph" w:customStyle="1" w:styleId="77">
    <w:name w:val="5 Char Char Char Char Char Char Char Char Char Char"/>
    <w:basedOn w:val="1"/>
    <w:qFormat/>
    <w:uiPriority w:val="0"/>
    <w:rPr>
      <w:rFonts w:ascii="Times New Roman" w:hAnsi="Times New Roman" w:eastAsia="宋体" w:cs="Times New Roman"/>
    </w:rPr>
  </w:style>
  <w:style w:type="paragraph" w:customStyle="1" w:styleId="78">
    <w:name w:val="Char Char1 Char Char Char Char Char Char"/>
    <w:basedOn w:val="1"/>
    <w:qFormat/>
    <w:uiPriority w:val="0"/>
    <w:pPr>
      <w:widowControl/>
      <w:spacing w:after="160" w:afterLines="0" w:line="240" w:lineRule="exact"/>
      <w:jc w:val="left"/>
    </w:pPr>
    <w:rPr>
      <w:rFonts w:ascii="宋体" w:hAnsi="宋体" w:eastAsia="宋体" w:cs="Times New Roman"/>
      <w:b/>
      <w:kern w:val="0"/>
      <w:sz w:val="28"/>
      <w:szCs w:val="28"/>
      <w:lang w:eastAsia="en-US"/>
    </w:rPr>
  </w:style>
  <w:style w:type="paragraph" w:customStyle="1" w:styleId="79">
    <w:name w:val="1"/>
    <w:basedOn w:val="1"/>
    <w:next w:val="17"/>
    <w:qFormat/>
    <w:uiPriority w:val="0"/>
    <w:rPr>
      <w:rFonts w:ascii="宋体" w:hAnsi="Courier New"/>
      <w:szCs w:val="20"/>
    </w:rPr>
  </w:style>
  <w:style w:type="paragraph" w:customStyle="1" w:styleId="80">
    <w:name w:val="5"/>
    <w:basedOn w:val="1"/>
    <w:next w:val="17"/>
    <w:qFormat/>
    <w:uiPriority w:val="0"/>
    <w:rPr>
      <w:rFonts w:ascii="宋体" w:hAnsi="Courier New" w:eastAsia="宋体" w:cs="Times New Roman"/>
      <w:szCs w:val="20"/>
    </w:rPr>
  </w:style>
  <w:style w:type="paragraph" w:customStyle="1" w:styleId="81">
    <w:name w:val="样式1"/>
    <w:basedOn w:val="1"/>
    <w:qFormat/>
    <w:uiPriority w:val="0"/>
    <w:rPr>
      <w:rFonts w:ascii="Times New Roman" w:hAnsi="Times New Roman" w:eastAsia="宋体" w:cs="Times New Roman"/>
    </w:rPr>
  </w:style>
  <w:style w:type="paragraph" w:customStyle="1" w:styleId="82">
    <w:name w:val="Char1 Char Char Char Char Char Char Char Char Char Char Char Char Char Char Char"/>
    <w:basedOn w:val="7"/>
    <w:qFormat/>
    <w:uiPriority w:val="0"/>
    <w:pPr>
      <w:numPr>
        <w:ilvl w:val="3"/>
        <w:numId w:val="2"/>
      </w:numPr>
      <w:tabs>
        <w:tab w:val="left" w:pos="0"/>
        <w:tab w:val="clear" w:pos="2100"/>
      </w:tabs>
      <w:adjustRightInd w:val="0"/>
      <w:spacing w:line="372" w:lineRule="auto"/>
      <w:textAlignment w:val="baseline"/>
    </w:pPr>
    <w:rPr>
      <w:rFonts w:ascii="Times New Roman" w:hAnsi="Times New Roman" w:eastAsia="宋体" w:cs="Times New Roman"/>
    </w:rPr>
  </w:style>
  <w:style w:type="paragraph" w:customStyle="1" w:styleId="83">
    <w:name w:val="Body Text First Indent 2"/>
    <w:basedOn w:val="74"/>
    <w:qFormat/>
    <w:uiPriority w:val="0"/>
    <w:pPr>
      <w:ind w:firstLine="420"/>
    </w:pPr>
  </w:style>
  <w:style w:type="paragraph" w:customStyle="1" w:styleId="84">
    <w:name w:val="Char Char Char"/>
    <w:basedOn w:val="1"/>
    <w:qFormat/>
    <w:uiPriority w:val="0"/>
    <w:pPr>
      <w:widowControl w:val="0"/>
      <w:spacing w:after="0"/>
      <w:jc w:val="both"/>
    </w:pPr>
    <w:rPr>
      <w:rFonts w:ascii="Tahoma" w:hAnsi="Tahoma" w:eastAsia="宋体" w:cs="Times New Roman"/>
      <w:kern w:val="2"/>
      <w:sz w:val="24"/>
      <w:szCs w:val="20"/>
      <w:lang w:val="en-US" w:eastAsia="zh-CN" w:bidi="ar-SA"/>
    </w:rPr>
  </w:style>
  <w:style w:type="paragraph" w:customStyle="1" w:styleId="85">
    <w:name w:val="！正文"/>
    <w:basedOn w:val="1"/>
    <w:qFormat/>
    <w:uiPriority w:val="0"/>
    <w:pPr>
      <w:spacing w:line="360" w:lineRule="auto"/>
      <w:ind w:firstLine="200" w:firstLineChars="200"/>
    </w:pPr>
    <w:rPr>
      <w:rFonts w:ascii="Calibri" w:hAnsi="Calibri" w:eastAsia="宋体" w:cs="Times New Roman"/>
      <w:sz w:val="24"/>
      <w:szCs w:val="21"/>
    </w:rPr>
  </w:style>
  <w:style w:type="paragraph" w:customStyle="1" w:styleId="86">
    <w:name w:val="Default Paragraph Font Para Char Char Char 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87">
    <w:name w:val="List Paragraph"/>
    <w:basedOn w:val="1"/>
    <w:qFormat/>
    <w:uiPriority w:val="34"/>
    <w:pPr>
      <w:ind w:firstLine="420" w:firstLineChars="200"/>
    </w:pPr>
    <w:rPr>
      <w:rFonts w:ascii="Calibri" w:hAnsi="Calibri" w:eastAsia="宋体" w:cs="Times New Roman"/>
      <w:szCs w:val="22"/>
    </w:rPr>
  </w:style>
  <w:style w:type="paragraph" w:customStyle="1" w:styleId="8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hover"/>
    <w:basedOn w:val="35"/>
    <w:qFormat/>
    <w:uiPriority w:val="0"/>
  </w:style>
  <w:style w:type="character" w:customStyle="1" w:styleId="90">
    <w:name w:val="hover1"/>
    <w:basedOn w:val="35"/>
    <w:qFormat/>
    <w:uiPriority w:val="0"/>
    <w:rPr>
      <w:color w:val="2590EB"/>
    </w:rPr>
  </w:style>
  <w:style w:type="character" w:customStyle="1" w:styleId="91">
    <w:name w:val="hover2"/>
    <w:basedOn w:val="35"/>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19447</Words>
  <Characters>21480</Characters>
  <Lines>1</Lines>
  <Paragraphs>1</Paragraphs>
  <TotalTime>17</TotalTime>
  <ScaleCrop>false</ScaleCrop>
  <LinksUpToDate>false</LinksUpToDate>
  <CharactersWithSpaces>21619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2020-09-02T23:28:00Z</dcterms:created>
  <dc:creator>huang</dc:creator>
  <cp:lastModifiedBy>静</cp:lastModifiedBy>
  <cp:lastPrinted>2023-04-10T16:57:00Z</cp:lastPrinted>
  <dcterms:modified xsi:type="dcterms:W3CDTF">2025-12-23T01:26:55Z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666408A4FD404435AC24D660B043EEBE_13</vt:lpwstr>
  </property>
  <property fmtid="{D5CDD505-2E9C-101B-9397-08002B2CF9AE}" pid="4" name="KSOTemplateDocerSaveRecord">
    <vt:lpwstr>eyJoZGlkIjoiNjZhMWU5OWFlYTlkMTg2N2U2M2I1NWM5YzhkNGQyMTYiLCJ1c2VySWQiOiIyNjkwNjE2MDQifQ==</vt:lpwstr>
  </property>
</Properties>
</file>