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1294D">
      <w:pPr>
        <w:tabs>
          <w:tab w:val="left" w:pos="5443"/>
        </w:tabs>
        <w:jc w:val="right"/>
        <w:rPr>
          <w:rFonts w:hint="eastAsia" w:ascii="宋体" w:hAnsi="宋体"/>
          <w:b/>
          <w:bCs/>
          <w:sz w:val="66"/>
          <w:szCs w:val="66"/>
          <w:lang w:eastAsia="zh-CN"/>
          <w14:shadow w14:blurRad="50800" w14:dist="38100" w14:dir="2700000" w14:sx="100000" w14:sy="100000" w14:kx="0" w14:ky="0" w14:algn="tl">
            <w14:srgbClr w14:val="000000">
              <w14:alpha w14:val="60000"/>
            </w14:srgbClr>
          </w14:shadow>
        </w:rPr>
      </w:pPr>
      <w:r>
        <w:rPr>
          <w:rFonts w:hint="eastAsia" w:ascii="Times New Roman" w:eastAsia="黑体"/>
          <w:highlight w:val="none"/>
          <w:lang w:eastAsia="zh-CN"/>
        </w:rPr>
        <w:drawing>
          <wp:anchor distT="0" distB="0" distL="114300" distR="114300" simplePos="0" relativeHeight="251661312" behindDoc="1" locked="0" layoutInCell="1" allowOverlap="1">
            <wp:simplePos x="0" y="0"/>
            <wp:positionH relativeFrom="column">
              <wp:posOffset>-216535</wp:posOffset>
            </wp:positionH>
            <wp:positionV relativeFrom="paragraph">
              <wp:posOffset>156210</wp:posOffset>
            </wp:positionV>
            <wp:extent cx="1199515" cy="1379220"/>
            <wp:effectExtent l="0" t="0" r="635" b="11430"/>
            <wp:wrapNone/>
            <wp:docPr id="1" name="图片 1" descr="66a855ba2932c3bfeddb8709a506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6a855ba2932c3bfeddb8709a506941"/>
                    <pic:cNvPicPr>
                      <a:picLocks noChangeAspect="1"/>
                    </pic:cNvPicPr>
                  </pic:nvPicPr>
                  <pic:blipFill>
                    <a:blip r:embed="rId17"/>
                    <a:stretch>
                      <a:fillRect/>
                    </a:stretch>
                  </pic:blipFill>
                  <pic:spPr>
                    <a:xfrm>
                      <a:off x="0" y="0"/>
                      <a:ext cx="1199515" cy="1379220"/>
                    </a:xfrm>
                    <a:prstGeom prst="rect">
                      <a:avLst/>
                    </a:prstGeom>
                    <a:noFill/>
                    <a:ln>
                      <a:noFill/>
                    </a:ln>
                  </pic:spPr>
                </pic:pic>
              </a:graphicData>
            </a:graphic>
          </wp:anchor>
        </w:drawing>
      </w:r>
    </w:p>
    <w:p w14:paraId="6CADADE4">
      <w:pPr>
        <w:tabs>
          <w:tab w:val="left" w:pos="5443"/>
        </w:tabs>
        <w:jc w:val="right"/>
        <w:rPr>
          <w:rFonts w:hint="eastAsia" w:ascii="宋体" w:hAnsi="宋体" w:eastAsia="宋体"/>
          <w:b/>
          <w:bCs/>
          <w:sz w:val="72"/>
          <w:szCs w:val="72"/>
          <w:lang w:eastAsia="zh-CN"/>
          <w14:shadow w14:blurRad="50800" w14:dist="38100" w14:dir="2700000" w14:sx="100000" w14:sy="100000" w14:kx="0" w14:ky="0" w14:algn="tl">
            <w14:srgbClr w14:val="000000">
              <w14:alpha w14:val="60000"/>
            </w14:srgbClr>
          </w14:shadow>
        </w:rPr>
      </w:pPr>
      <w:r>
        <w:rPr>
          <w:rFonts w:hint="eastAsia" w:ascii="宋体" w:hAnsi="宋体"/>
          <w:b/>
          <w:bCs/>
          <w:sz w:val="66"/>
          <w:szCs w:val="66"/>
          <w:lang w:eastAsia="zh-CN"/>
          <w14:shadow w14:blurRad="50800" w14:dist="38100" w14:dir="2700000" w14:sx="100000" w14:sy="100000" w14:kx="0" w14:ky="0" w14:algn="tl">
            <w14:srgbClr w14:val="000000">
              <w14:alpha w14:val="60000"/>
            </w14:srgbClr>
          </w14:shadow>
        </w:rPr>
        <w:t>广西林光工程咨询有限公司</w:t>
      </w:r>
    </w:p>
    <w:p w14:paraId="24C0F436">
      <w:pPr>
        <w:rPr>
          <w:rFonts w:hint="eastAsia"/>
        </w:rPr>
      </w:pPr>
    </w:p>
    <w:p w14:paraId="416B8D9C">
      <w:pPr>
        <w:spacing w:line="360" w:lineRule="auto"/>
        <w:rPr>
          <w:rFonts w:hint="eastAsia"/>
          <w:sz w:val="44"/>
          <w:szCs w:val="44"/>
        </w:rPr>
      </w:pPr>
    </w:p>
    <w:p w14:paraId="7C2202AB">
      <w:pPr>
        <w:jc w:val="center"/>
        <w:rPr>
          <w:rFonts w:hint="eastAsia"/>
          <w:b/>
          <w:sz w:val="72"/>
          <w:szCs w:val="72"/>
          <w:lang w:eastAsia="zh-CN"/>
        </w:rPr>
      </w:pPr>
    </w:p>
    <w:p w14:paraId="6D7E5E7A">
      <w:pPr>
        <w:jc w:val="center"/>
        <w:rPr>
          <w:rFonts w:hint="eastAsia"/>
          <w:b/>
          <w:sz w:val="72"/>
          <w:szCs w:val="72"/>
          <w:lang w:eastAsia="zh-CN"/>
        </w:rPr>
      </w:pPr>
    </w:p>
    <w:p w14:paraId="1B932DB8">
      <w:pPr>
        <w:spacing w:before="120" w:beforeLines="50" w:line="360" w:lineRule="auto"/>
        <w:jc w:val="center"/>
        <w:rPr>
          <w:rFonts w:hint="eastAsia" w:ascii="Times New Roman" w:hAnsi="Times New Roman" w:eastAsia="宋体" w:cs="Times New Roman"/>
          <w:b/>
          <w:sz w:val="72"/>
          <w:szCs w:val="72"/>
        </w:rPr>
      </w:pPr>
      <w:r>
        <w:rPr>
          <w:rFonts w:hint="eastAsia" w:ascii="Times New Roman" w:hAnsi="Times New Roman" w:eastAsia="宋体" w:cs="Times New Roman"/>
          <w:b/>
          <w:sz w:val="72"/>
          <w:szCs w:val="72"/>
          <w:lang w:eastAsia="zh-CN"/>
        </w:rPr>
        <w:t>招</w:t>
      </w:r>
      <w:r>
        <w:rPr>
          <w:rFonts w:hint="eastAsia" w:ascii="Times New Roman" w:hAnsi="Times New Roman" w:eastAsia="宋体" w:cs="Times New Roman"/>
          <w:b/>
          <w:sz w:val="72"/>
          <w:szCs w:val="72"/>
          <w:lang w:val="en-US" w:eastAsia="zh-CN"/>
        </w:rPr>
        <w:t xml:space="preserve"> </w:t>
      </w:r>
      <w:r>
        <w:rPr>
          <w:rFonts w:hint="eastAsia" w:ascii="Times New Roman" w:hAnsi="Times New Roman" w:eastAsia="宋体" w:cs="Times New Roman"/>
          <w:b/>
          <w:sz w:val="72"/>
          <w:szCs w:val="72"/>
          <w:lang w:eastAsia="zh-CN"/>
        </w:rPr>
        <w:t>标</w:t>
      </w:r>
      <w:r>
        <w:rPr>
          <w:rFonts w:hint="eastAsia" w:ascii="Times New Roman" w:hAnsi="Times New Roman" w:eastAsia="宋体" w:cs="Times New Roman"/>
          <w:b/>
          <w:sz w:val="72"/>
          <w:szCs w:val="72"/>
          <w:lang w:val="en-US" w:eastAsia="zh-CN"/>
        </w:rPr>
        <w:t xml:space="preserve"> </w:t>
      </w:r>
      <w:r>
        <w:rPr>
          <w:rFonts w:hint="eastAsia" w:ascii="Times New Roman" w:hAnsi="Times New Roman" w:eastAsia="宋体" w:cs="Times New Roman"/>
          <w:b/>
          <w:sz w:val="72"/>
          <w:szCs w:val="72"/>
        </w:rPr>
        <w:t>文</w:t>
      </w:r>
      <w:r>
        <w:rPr>
          <w:rFonts w:hint="eastAsia" w:ascii="Times New Roman" w:hAnsi="Times New Roman" w:eastAsia="宋体" w:cs="Times New Roman"/>
          <w:b/>
          <w:sz w:val="72"/>
          <w:szCs w:val="72"/>
          <w:lang w:val="en-US" w:eastAsia="zh-CN"/>
        </w:rPr>
        <w:t xml:space="preserve"> </w:t>
      </w:r>
      <w:r>
        <w:rPr>
          <w:rFonts w:hint="eastAsia" w:ascii="Times New Roman" w:hAnsi="Times New Roman" w:eastAsia="宋体" w:cs="Times New Roman"/>
          <w:b/>
          <w:sz w:val="72"/>
          <w:szCs w:val="72"/>
        </w:rPr>
        <w:t>件</w:t>
      </w:r>
    </w:p>
    <w:p w14:paraId="563901B7">
      <w:pPr>
        <w:rPr>
          <w:rFonts w:hint="eastAsia"/>
          <w:sz w:val="28"/>
        </w:rPr>
      </w:pPr>
    </w:p>
    <w:p w14:paraId="70899A23">
      <w:pPr>
        <w:rPr>
          <w:rFonts w:hint="eastAsia"/>
          <w:sz w:val="28"/>
        </w:rPr>
      </w:pPr>
    </w:p>
    <w:p w14:paraId="71A9F43F">
      <w:pPr>
        <w:rPr>
          <w:rFonts w:hint="eastAsia"/>
          <w:sz w:val="28"/>
        </w:rPr>
      </w:pPr>
    </w:p>
    <w:p w14:paraId="1A44989F">
      <w:pPr>
        <w:rPr>
          <w:rFonts w:hint="eastAsia"/>
          <w:sz w:val="28"/>
        </w:rPr>
      </w:pPr>
    </w:p>
    <w:p w14:paraId="041FA106">
      <w:pPr>
        <w:pStyle w:val="3"/>
        <w:rPr>
          <w:rFonts w:hint="eastAsia"/>
        </w:rPr>
      </w:pPr>
    </w:p>
    <w:p w14:paraId="75F26DE7">
      <w:pPr>
        <w:rPr>
          <w:rFonts w:hint="eastAsia"/>
        </w:rPr>
      </w:pPr>
    </w:p>
    <w:p w14:paraId="4CA84C33">
      <w:pPr>
        <w:rPr>
          <w:rFonts w:hint="eastAsia"/>
        </w:rPr>
      </w:pPr>
    </w:p>
    <w:p w14:paraId="4EE4594D">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sz w:val="30"/>
          <w:szCs w:val="30"/>
          <w:highlight w:val="none"/>
          <w:lang w:val="en-US" w:eastAsia="zh-CN"/>
        </w:rPr>
      </w:pPr>
      <w:r>
        <w:rPr>
          <w:rFonts w:ascii="Times New Roman" w:hAnsi="Times New Roman" w:eastAsia="宋体" w:cs="Times New Roman"/>
          <w:sz w:val="30"/>
          <w:szCs w:val="30"/>
          <w:highlight w:val="none"/>
        </w:rPr>
        <w:t>项目编号</w:t>
      </w:r>
      <w:r>
        <w:rPr>
          <w:rFonts w:ascii="Times New Roman" w:hAnsi="Times New Roman" w:eastAsia="宋体" w:cs="Times New Roman"/>
          <w:sz w:val="30"/>
          <w:szCs w:val="30"/>
        </w:rPr>
        <w:t>：</w:t>
      </w:r>
      <w:bookmarkStart w:id="0" w:name="OLE_LINK3"/>
      <w:r>
        <w:rPr>
          <w:rFonts w:hint="eastAsia" w:cs="Times New Roman"/>
          <w:sz w:val="30"/>
          <w:szCs w:val="30"/>
          <w:highlight w:val="none"/>
          <w:lang w:eastAsia="zh-CN"/>
        </w:rPr>
        <w:t>WZZC2026-G3-230010-GXLG</w:t>
      </w:r>
    </w:p>
    <w:bookmarkEnd w:id="0"/>
    <w:p w14:paraId="7BA6B213">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cs="Times New Roman"/>
          <w:sz w:val="30"/>
          <w:szCs w:val="30"/>
          <w:lang w:eastAsia="zh-CN"/>
        </w:rPr>
      </w:pPr>
      <w:r>
        <w:rPr>
          <w:sz w:val="30"/>
          <w:szCs w:val="30"/>
        </w:rPr>
        <w:t>项目名称</w:t>
      </w:r>
      <w:r>
        <w:rPr>
          <w:rFonts w:ascii="Times New Roman" w:hAnsi="Times New Roman" w:eastAsia="宋体" w:cs="Times New Roman"/>
          <w:sz w:val="30"/>
          <w:szCs w:val="30"/>
        </w:rPr>
        <w:t>：</w:t>
      </w:r>
      <w:bookmarkStart w:id="1" w:name="OLE_LINK2"/>
      <w:r>
        <w:rPr>
          <w:rFonts w:hint="eastAsia" w:cs="Times New Roman"/>
          <w:sz w:val="30"/>
          <w:szCs w:val="30"/>
          <w:lang w:eastAsia="zh-CN"/>
        </w:rPr>
        <w:t>2026-2028年度蒙山县公务员补充医疗保险</w:t>
      </w:r>
    </w:p>
    <w:p w14:paraId="2AC5D8CC">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sz w:val="30"/>
          <w:szCs w:val="30"/>
        </w:rPr>
      </w:pPr>
      <w:r>
        <w:rPr>
          <w:rFonts w:hint="eastAsia" w:cs="Times New Roman"/>
          <w:sz w:val="30"/>
          <w:szCs w:val="30"/>
          <w:highlight w:val="none"/>
          <w:lang w:eastAsia="zh-CN"/>
        </w:rPr>
        <w:t>（</w:t>
      </w:r>
      <w:r>
        <w:rPr>
          <w:rFonts w:hint="eastAsia" w:cs="Times New Roman"/>
          <w:sz w:val="30"/>
          <w:szCs w:val="30"/>
          <w:highlight w:val="none"/>
          <w:lang w:val="en-US" w:eastAsia="zh-CN"/>
        </w:rPr>
        <w:t>医疗补助）</w:t>
      </w:r>
      <w:r>
        <w:rPr>
          <w:rFonts w:hint="eastAsia" w:cs="Times New Roman"/>
          <w:sz w:val="30"/>
          <w:szCs w:val="30"/>
          <w:lang w:eastAsia="zh-CN"/>
        </w:rPr>
        <w:t>服务采购项目（重）</w:t>
      </w:r>
    </w:p>
    <w:bookmarkEnd w:id="1"/>
    <w:p w14:paraId="71E7C1B0">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sz w:val="30"/>
          <w:szCs w:val="30"/>
          <w:lang w:eastAsia="zh-CN"/>
        </w:rPr>
      </w:pPr>
      <w:r>
        <w:rPr>
          <w:rFonts w:hint="eastAsia"/>
          <w:sz w:val="30"/>
          <w:szCs w:val="30"/>
        </w:rPr>
        <w:t>采购人</w:t>
      </w:r>
      <w:r>
        <w:rPr>
          <w:rFonts w:hint="eastAsia" w:ascii="Times New Roman" w:hAnsi="Times New Roman" w:eastAsia="宋体" w:cs="Times New Roman"/>
          <w:sz w:val="30"/>
          <w:szCs w:val="30"/>
          <w:lang w:eastAsia="zh-CN"/>
        </w:rPr>
        <w:t>：</w:t>
      </w:r>
      <w:r>
        <w:rPr>
          <w:rFonts w:hint="eastAsia" w:cs="Times New Roman"/>
          <w:sz w:val="30"/>
          <w:szCs w:val="30"/>
          <w:lang w:eastAsia="zh-CN"/>
        </w:rPr>
        <w:t>蒙山县医疗保障事业管理中心</w:t>
      </w:r>
    </w:p>
    <w:p w14:paraId="42D0F3A9">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eastAsia="宋体"/>
          <w:sz w:val="30"/>
          <w:szCs w:val="30"/>
          <w:lang w:eastAsia="zh-CN"/>
        </w:rPr>
      </w:pPr>
      <w:r>
        <w:rPr>
          <w:sz w:val="30"/>
          <w:szCs w:val="30"/>
        </w:rPr>
        <w:t>采购代理机构</w:t>
      </w:r>
      <w:r>
        <w:rPr>
          <w:rFonts w:hint="eastAsia"/>
          <w:sz w:val="30"/>
          <w:szCs w:val="30"/>
        </w:rPr>
        <w:t>：</w:t>
      </w:r>
      <w:r>
        <w:rPr>
          <w:rFonts w:hint="eastAsia"/>
          <w:sz w:val="30"/>
          <w:szCs w:val="30"/>
          <w:lang w:eastAsia="zh-CN"/>
        </w:rPr>
        <w:t>广西林光工程咨询有限公司</w:t>
      </w:r>
    </w:p>
    <w:p w14:paraId="629221D1">
      <w:pPr>
        <w:widowControl/>
        <w:tabs>
          <w:tab w:val="left" w:pos="7403"/>
        </w:tabs>
        <w:spacing w:before="156" w:beforeLines="50" w:line="640" w:lineRule="exact"/>
        <w:jc w:val="center"/>
        <w:rPr>
          <w:rFonts w:hint="eastAsia"/>
          <w:sz w:val="30"/>
          <w:szCs w:val="30"/>
        </w:rPr>
      </w:pPr>
    </w:p>
    <w:p w14:paraId="44E3198A">
      <w:pPr>
        <w:widowControl/>
        <w:tabs>
          <w:tab w:val="left" w:pos="7403"/>
        </w:tabs>
        <w:spacing w:before="156" w:beforeLines="50" w:line="640" w:lineRule="exact"/>
        <w:jc w:val="center"/>
        <w:rPr>
          <w:rFonts w:ascii="宋体" w:hAnsi="宋体" w:cs="宋体"/>
          <w:b/>
          <w:sz w:val="44"/>
          <w:szCs w:val="44"/>
        </w:rPr>
      </w:pPr>
      <w:r>
        <w:rPr>
          <w:rFonts w:hint="eastAsia"/>
          <w:sz w:val="30"/>
          <w:szCs w:val="30"/>
        </w:rPr>
        <w:t>202</w:t>
      </w:r>
      <w:r>
        <w:rPr>
          <w:rFonts w:hint="eastAsia"/>
          <w:sz w:val="30"/>
          <w:szCs w:val="30"/>
          <w:lang w:val="en-US" w:eastAsia="zh-CN"/>
        </w:rPr>
        <w:t>6</w:t>
      </w:r>
      <w:r>
        <w:rPr>
          <w:rFonts w:hint="eastAsia"/>
          <w:sz w:val="30"/>
          <w:szCs w:val="30"/>
        </w:rPr>
        <w:t>年</w:t>
      </w:r>
      <w:r>
        <w:rPr>
          <w:rFonts w:hint="eastAsia"/>
          <w:sz w:val="30"/>
          <w:szCs w:val="30"/>
          <w:lang w:val="en-US" w:eastAsia="zh-CN"/>
        </w:rPr>
        <w:t>3</w:t>
      </w:r>
      <w:r>
        <w:rPr>
          <w:rFonts w:hint="eastAsia"/>
          <w:sz w:val="30"/>
          <w:szCs w:val="30"/>
        </w:rPr>
        <w:t>月</w:t>
      </w:r>
    </w:p>
    <w:p w14:paraId="112864EE">
      <w:pPr>
        <w:widowControl/>
        <w:spacing w:before="240" w:beforeLines="100" w:after="459" w:line="260" w:lineRule="auto"/>
        <w:ind w:right="-78" w:rightChars="-37"/>
        <w:rPr>
          <w:sz w:val="44"/>
          <w:szCs w:val="44"/>
        </w:rPr>
        <w:sectPr>
          <w:headerReference r:id="rId5" w:type="first"/>
          <w:footerReference r:id="rId8" w:type="first"/>
          <w:headerReference r:id="rId3" w:type="default"/>
          <w:footerReference r:id="rId6" w:type="default"/>
          <w:headerReference r:id="rId4" w:type="even"/>
          <w:footerReference r:id="rId7" w:type="even"/>
          <w:footnotePr>
            <w:numRestart w:val="eachPage"/>
          </w:footnotePr>
          <w:pgSz w:w="11906" w:h="16841"/>
          <w:pgMar w:top="1134" w:right="1134" w:bottom="1134" w:left="1134" w:header="709" w:footer="629" w:gutter="0"/>
          <w:pgNumType w:start="0"/>
          <w:cols w:space="720" w:num="1"/>
          <w:titlePg/>
          <w:docGrid w:linePitch="1" w:charSpace="0"/>
        </w:sectPr>
      </w:pPr>
    </w:p>
    <w:p w14:paraId="40693FBD">
      <w:pPr>
        <w:spacing w:before="156" w:beforeLines="50" w:line="360" w:lineRule="auto"/>
        <w:jc w:val="center"/>
        <w:rPr>
          <w:rFonts w:ascii="仿宋_GB2312" w:hAnsi="宋体" w:eastAsia="仿宋_GB2312"/>
          <w:b/>
          <w:sz w:val="32"/>
          <w:szCs w:val="32"/>
        </w:rPr>
      </w:pPr>
    </w:p>
    <w:p w14:paraId="306C7223">
      <w:pPr>
        <w:spacing w:before="156" w:beforeLines="50" w:line="360" w:lineRule="auto"/>
        <w:jc w:val="center"/>
        <w:rPr>
          <w:rFonts w:ascii="宋体" w:hAnsi="宋体"/>
          <w:b/>
          <w:sz w:val="36"/>
          <w:szCs w:val="36"/>
        </w:rPr>
      </w:pPr>
      <w:r>
        <w:rPr>
          <w:rFonts w:hint="eastAsia" w:ascii="宋体" w:hAnsi="宋体"/>
          <w:b/>
          <w:sz w:val="36"/>
          <w:szCs w:val="36"/>
        </w:rPr>
        <w:t>目   录</w:t>
      </w:r>
    </w:p>
    <w:p w14:paraId="087D4C32">
      <w:pPr>
        <w:spacing w:line="400" w:lineRule="exact"/>
        <w:jc w:val="center"/>
        <w:rPr>
          <w:rFonts w:ascii="宋体" w:hAnsi="宋体"/>
          <w:b/>
          <w:sz w:val="44"/>
          <w:szCs w:val="44"/>
        </w:rPr>
      </w:pPr>
    </w:p>
    <w:p w14:paraId="3A7F6AA6">
      <w:pPr>
        <w:pStyle w:val="25"/>
        <w:tabs>
          <w:tab w:val="right" w:leader="dot" w:pos="8820"/>
          <w:tab w:val="clear" w:pos="8296"/>
        </w:tabs>
        <w:spacing w:line="480" w:lineRule="auto"/>
        <w:ind w:left="0" w:leftChars="0"/>
        <w:rPr>
          <w:rFonts w:ascii="宋体" w:hAnsi="宋体"/>
          <w:b/>
          <w:sz w:val="24"/>
        </w:rPr>
      </w:pPr>
    </w:p>
    <w:p w14:paraId="3DF569A3">
      <w:pPr>
        <w:pStyle w:val="25"/>
        <w:tabs>
          <w:tab w:val="right" w:leader="dot" w:pos="9240"/>
          <w:tab w:val="clear" w:pos="8296"/>
        </w:tabs>
        <w:spacing w:line="480" w:lineRule="auto"/>
        <w:ind w:left="210" w:leftChars="100"/>
        <w:rPr>
          <w:rFonts w:hint="eastAsia"/>
          <w:sz w:val="24"/>
          <w:lang w:val="en-US" w:eastAsia="zh-CN"/>
        </w:rPr>
      </w:pPr>
      <w:r>
        <w:rPr>
          <w:rFonts w:hint="eastAsia"/>
          <w:sz w:val="24"/>
          <w:lang w:val="en-US" w:eastAsia="zh-CN"/>
        </w:rPr>
        <w:fldChar w:fldCharType="begin"/>
      </w:r>
      <w:r>
        <w:rPr>
          <w:rFonts w:hint="eastAsia"/>
          <w:sz w:val="24"/>
          <w:lang w:val="en-US" w:eastAsia="zh-CN"/>
        </w:rPr>
        <w:instrText xml:space="preserve"> TOC \o "1-3" \h \z \u </w:instrText>
      </w:r>
      <w:r>
        <w:rPr>
          <w:rFonts w:hint="eastAsia"/>
          <w:sz w:val="24"/>
          <w:lang w:val="en-US" w:eastAsia="zh-CN"/>
        </w:rPr>
        <w:fldChar w:fldCharType="separate"/>
      </w:r>
      <w:r>
        <w:rPr>
          <w:rFonts w:hint="eastAsia"/>
          <w:sz w:val="24"/>
          <w:lang w:val="en-US" w:eastAsia="zh-CN"/>
        </w:rPr>
        <w:fldChar w:fldCharType="begin"/>
      </w:r>
      <w:r>
        <w:rPr>
          <w:rFonts w:hint="eastAsia"/>
          <w:sz w:val="24"/>
          <w:lang w:val="en-US" w:eastAsia="zh-CN"/>
        </w:rPr>
        <w:instrText xml:space="preserve"> HYPERLINK \l "_Toc44229877" </w:instrText>
      </w:r>
      <w:r>
        <w:rPr>
          <w:rFonts w:hint="eastAsia"/>
          <w:sz w:val="24"/>
          <w:lang w:val="en-US" w:eastAsia="zh-CN"/>
        </w:rPr>
        <w:fldChar w:fldCharType="separate"/>
      </w:r>
      <w:r>
        <w:rPr>
          <w:rFonts w:hint="eastAsia"/>
          <w:sz w:val="24"/>
          <w:lang w:val="en-US" w:eastAsia="zh-CN"/>
        </w:rPr>
        <w:t>第一章 招标公告</w:t>
      </w:r>
      <w:r>
        <w:rPr>
          <w:rFonts w:hint="eastAsia"/>
          <w:sz w:val="24"/>
          <w:lang w:val="en-US" w:eastAsia="zh-CN"/>
        </w:rPr>
        <w:tab/>
      </w:r>
      <w:r>
        <w:rPr>
          <w:rFonts w:hint="eastAsia"/>
          <w:sz w:val="24"/>
          <w:lang w:val="en-US" w:eastAsia="zh-CN"/>
        </w:rPr>
        <w:t>2</w:t>
      </w:r>
      <w:r>
        <w:rPr>
          <w:rFonts w:hint="eastAsia"/>
          <w:sz w:val="24"/>
          <w:lang w:val="en-US" w:eastAsia="zh-CN"/>
        </w:rPr>
        <w:fldChar w:fldCharType="end"/>
      </w:r>
    </w:p>
    <w:p w14:paraId="04DF5293">
      <w:pPr>
        <w:pStyle w:val="25"/>
        <w:tabs>
          <w:tab w:val="right" w:leader="dot" w:pos="9240"/>
          <w:tab w:val="clear" w:pos="8296"/>
        </w:tabs>
        <w:spacing w:line="480" w:lineRule="auto"/>
        <w:ind w:left="210" w:leftChars="100"/>
        <w:rPr>
          <w:rFonts w:hint="eastAsia"/>
          <w:sz w:val="24"/>
          <w:lang w:val="en-US" w:eastAsia="zh-CN"/>
        </w:rPr>
      </w:pPr>
      <w:r>
        <w:rPr>
          <w:rFonts w:hint="eastAsia"/>
          <w:sz w:val="24"/>
          <w:lang w:val="en-US" w:eastAsia="zh-CN"/>
        </w:rPr>
        <w:fldChar w:fldCharType="begin"/>
      </w:r>
      <w:r>
        <w:rPr>
          <w:rFonts w:hint="eastAsia"/>
          <w:sz w:val="24"/>
          <w:lang w:val="en-US" w:eastAsia="zh-CN"/>
        </w:rPr>
        <w:instrText xml:space="preserve"> HYPERLINK \l "_Toc44229894" </w:instrText>
      </w:r>
      <w:r>
        <w:rPr>
          <w:rFonts w:hint="eastAsia"/>
          <w:sz w:val="24"/>
          <w:lang w:val="en-US" w:eastAsia="zh-CN"/>
        </w:rPr>
        <w:fldChar w:fldCharType="separate"/>
      </w:r>
      <w:r>
        <w:rPr>
          <w:rFonts w:hint="eastAsia"/>
          <w:sz w:val="24"/>
          <w:lang w:val="en-US" w:eastAsia="zh-CN"/>
        </w:rPr>
        <w:t>第二章 采购需求</w:t>
      </w:r>
      <w:r>
        <w:rPr>
          <w:rFonts w:hint="eastAsia"/>
          <w:sz w:val="24"/>
          <w:lang w:val="en-US" w:eastAsia="zh-CN"/>
        </w:rPr>
        <w:tab/>
      </w:r>
      <w:r>
        <w:rPr>
          <w:rFonts w:hint="eastAsia"/>
          <w:sz w:val="24"/>
          <w:lang w:val="en-US" w:eastAsia="zh-CN"/>
        </w:rPr>
        <w:fldChar w:fldCharType="end"/>
      </w:r>
      <w:r>
        <w:rPr>
          <w:rFonts w:hint="eastAsia"/>
          <w:sz w:val="24"/>
          <w:lang w:val="en-US" w:eastAsia="zh-CN"/>
        </w:rPr>
        <w:t>....5</w:t>
      </w:r>
    </w:p>
    <w:p w14:paraId="2C19E5DF">
      <w:pPr>
        <w:pStyle w:val="25"/>
        <w:tabs>
          <w:tab w:val="right" w:leader="dot" w:pos="9240"/>
          <w:tab w:val="clear" w:pos="8296"/>
        </w:tabs>
        <w:spacing w:line="480" w:lineRule="auto"/>
        <w:ind w:left="210" w:leftChars="100"/>
        <w:rPr>
          <w:rFonts w:hint="default"/>
          <w:sz w:val="24"/>
          <w:lang w:val="en-US" w:eastAsia="zh-CN"/>
        </w:rPr>
      </w:pPr>
      <w:r>
        <w:rPr>
          <w:rFonts w:hint="eastAsia"/>
          <w:sz w:val="24"/>
          <w:lang w:val="en-US" w:eastAsia="zh-CN"/>
        </w:rPr>
        <w:fldChar w:fldCharType="begin"/>
      </w:r>
      <w:r>
        <w:rPr>
          <w:rFonts w:hint="eastAsia"/>
          <w:sz w:val="24"/>
          <w:lang w:val="en-US" w:eastAsia="zh-CN"/>
        </w:rPr>
        <w:instrText xml:space="preserve"> HYPERLINK \l "_Toc44229895" </w:instrText>
      </w:r>
      <w:r>
        <w:rPr>
          <w:rFonts w:hint="eastAsia"/>
          <w:sz w:val="24"/>
          <w:lang w:val="en-US" w:eastAsia="zh-CN"/>
        </w:rPr>
        <w:fldChar w:fldCharType="separate"/>
      </w:r>
      <w:r>
        <w:rPr>
          <w:rFonts w:hint="eastAsia"/>
          <w:sz w:val="24"/>
          <w:lang w:val="en-US" w:eastAsia="zh-CN"/>
        </w:rPr>
        <w:t xml:space="preserve">第三章 </w:t>
      </w:r>
      <w:r>
        <w:rPr>
          <w:rFonts w:hint="eastAsia" w:ascii="Times New Roman" w:hAnsi="Times New Roman" w:eastAsia="宋体" w:cs="Times New Roman"/>
          <w:sz w:val="24"/>
          <w:lang w:val="en-US" w:eastAsia="zh-CN"/>
        </w:rPr>
        <w:t>投标人须知</w:t>
      </w:r>
      <w:r>
        <w:rPr>
          <w:rFonts w:hint="eastAsia"/>
          <w:sz w:val="24"/>
          <w:lang w:val="en-US" w:eastAsia="zh-CN"/>
        </w:rPr>
        <w:tab/>
      </w:r>
      <w:r>
        <w:rPr>
          <w:rFonts w:hint="eastAsia"/>
          <w:sz w:val="24"/>
          <w:lang w:val="en-US" w:eastAsia="zh-CN"/>
        </w:rPr>
        <w:fldChar w:fldCharType="end"/>
      </w:r>
      <w:r>
        <w:rPr>
          <w:rFonts w:hint="eastAsia"/>
          <w:sz w:val="24"/>
          <w:lang w:val="en-US" w:eastAsia="zh-CN"/>
        </w:rPr>
        <w:t>8</w:t>
      </w:r>
    </w:p>
    <w:p w14:paraId="791B2322">
      <w:pPr>
        <w:pStyle w:val="25"/>
        <w:tabs>
          <w:tab w:val="right" w:leader="dot" w:pos="9240"/>
          <w:tab w:val="clear" w:pos="8296"/>
        </w:tabs>
        <w:spacing w:line="480" w:lineRule="auto"/>
        <w:ind w:left="210" w:leftChars="100"/>
        <w:rPr>
          <w:rFonts w:hint="default"/>
          <w:sz w:val="24"/>
          <w:lang w:val="en-US" w:eastAsia="zh-CN"/>
        </w:rPr>
      </w:pPr>
      <w:r>
        <w:rPr>
          <w:rFonts w:hint="eastAsia"/>
          <w:sz w:val="24"/>
          <w:lang w:val="en-US" w:eastAsia="zh-CN"/>
        </w:rPr>
        <w:fldChar w:fldCharType="begin"/>
      </w:r>
      <w:r>
        <w:rPr>
          <w:rFonts w:hint="eastAsia"/>
          <w:sz w:val="24"/>
          <w:lang w:val="en-US" w:eastAsia="zh-CN"/>
        </w:rPr>
        <w:instrText xml:space="preserve"> HYPERLINK \l "_Toc44229896" </w:instrText>
      </w:r>
      <w:r>
        <w:rPr>
          <w:rFonts w:hint="eastAsia"/>
          <w:sz w:val="24"/>
          <w:lang w:val="en-US" w:eastAsia="zh-CN"/>
        </w:rPr>
        <w:fldChar w:fldCharType="separate"/>
      </w:r>
      <w:r>
        <w:rPr>
          <w:rFonts w:hint="eastAsia"/>
          <w:sz w:val="24"/>
          <w:lang w:val="en-US" w:eastAsia="zh-CN"/>
        </w:rPr>
        <w:t>第四章 评标方法及评标标准</w:t>
      </w:r>
      <w:r>
        <w:rPr>
          <w:rFonts w:hint="eastAsia"/>
          <w:sz w:val="24"/>
          <w:lang w:val="en-US" w:eastAsia="zh-CN"/>
        </w:rPr>
        <w:tab/>
      </w:r>
      <w:r>
        <w:rPr>
          <w:rFonts w:hint="eastAsia"/>
          <w:sz w:val="24"/>
          <w:lang w:val="en-US" w:eastAsia="zh-CN"/>
        </w:rPr>
        <w:fldChar w:fldCharType="end"/>
      </w:r>
      <w:r>
        <w:rPr>
          <w:rFonts w:hint="eastAsia"/>
          <w:sz w:val="24"/>
          <w:lang w:val="en-US" w:eastAsia="zh-CN"/>
        </w:rPr>
        <w:t>25</w:t>
      </w:r>
    </w:p>
    <w:p w14:paraId="2EEB203B">
      <w:pPr>
        <w:pStyle w:val="25"/>
        <w:tabs>
          <w:tab w:val="right" w:leader="dot" w:pos="9240"/>
          <w:tab w:val="clear" w:pos="8296"/>
        </w:tabs>
        <w:spacing w:line="480" w:lineRule="auto"/>
        <w:ind w:left="210" w:leftChars="100"/>
        <w:rPr>
          <w:rFonts w:hint="default"/>
          <w:sz w:val="24"/>
          <w:lang w:val="en-US" w:eastAsia="zh-CN"/>
        </w:rPr>
      </w:pPr>
      <w:r>
        <w:rPr>
          <w:rFonts w:hint="eastAsia"/>
          <w:sz w:val="24"/>
          <w:lang w:val="en-US" w:eastAsia="zh-CN"/>
        </w:rPr>
        <w:fldChar w:fldCharType="begin"/>
      </w:r>
      <w:r>
        <w:rPr>
          <w:rFonts w:hint="eastAsia"/>
          <w:sz w:val="24"/>
          <w:lang w:val="en-US" w:eastAsia="zh-CN"/>
        </w:rPr>
        <w:instrText xml:space="preserve"> HYPERLINK \l "_Toc44229897" </w:instrText>
      </w:r>
      <w:r>
        <w:rPr>
          <w:rFonts w:hint="eastAsia"/>
          <w:sz w:val="24"/>
          <w:lang w:val="en-US" w:eastAsia="zh-CN"/>
        </w:rPr>
        <w:fldChar w:fldCharType="separate"/>
      </w:r>
      <w:r>
        <w:rPr>
          <w:rFonts w:hint="eastAsia"/>
          <w:sz w:val="24"/>
          <w:lang w:val="en-US" w:eastAsia="zh-CN"/>
        </w:rPr>
        <w:t>第五章 拟签订的合同文本</w:t>
      </w:r>
      <w:r>
        <w:rPr>
          <w:rFonts w:hint="eastAsia"/>
          <w:sz w:val="24"/>
          <w:lang w:val="en-US" w:eastAsia="zh-CN"/>
        </w:rPr>
        <w:tab/>
      </w:r>
      <w:r>
        <w:rPr>
          <w:rFonts w:hint="eastAsia"/>
          <w:sz w:val="24"/>
          <w:lang w:val="en-US" w:eastAsia="zh-CN"/>
        </w:rPr>
        <w:t>3</w:t>
      </w:r>
      <w:r>
        <w:rPr>
          <w:rFonts w:hint="eastAsia"/>
          <w:sz w:val="24"/>
          <w:lang w:val="en-US" w:eastAsia="zh-CN"/>
        </w:rPr>
        <w:fldChar w:fldCharType="end"/>
      </w:r>
      <w:r>
        <w:rPr>
          <w:rFonts w:hint="eastAsia"/>
          <w:sz w:val="24"/>
          <w:lang w:val="en-US" w:eastAsia="zh-CN"/>
        </w:rPr>
        <w:t>1</w:t>
      </w:r>
    </w:p>
    <w:p w14:paraId="2E2D0BE7">
      <w:pPr>
        <w:pStyle w:val="25"/>
        <w:tabs>
          <w:tab w:val="right" w:leader="dot" w:pos="9240"/>
          <w:tab w:val="clear" w:pos="8296"/>
        </w:tabs>
        <w:spacing w:line="480" w:lineRule="auto"/>
        <w:ind w:left="210" w:leftChars="100"/>
        <w:rPr>
          <w:rFonts w:hint="default" w:eastAsia="宋体"/>
          <w:sz w:val="28"/>
          <w:szCs w:val="28"/>
          <w:lang w:val="en-US" w:eastAsia="zh-CN"/>
        </w:rPr>
      </w:pPr>
      <w:r>
        <w:rPr>
          <w:rFonts w:hint="eastAsia"/>
          <w:sz w:val="24"/>
          <w:lang w:val="en-US" w:eastAsia="zh-CN"/>
        </w:rPr>
        <w:fldChar w:fldCharType="begin"/>
      </w:r>
      <w:r>
        <w:rPr>
          <w:rFonts w:hint="eastAsia"/>
          <w:sz w:val="24"/>
          <w:lang w:val="en-US" w:eastAsia="zh-CN"/>
        </w:rPr>
        <w:instrText xml:space="preserve"> HYPERLINK \l "_Toc44229900" </w:instrText>
      </w:r>
      <w:r>
        <w:rPr>
          <w:rFonts w:hint="eastAsia"/>
          <w:sz w:val="24"/>
          <w:lang w:val="en-US" w:eastAsia="zh-CN"/>
        </w:rPr>
        <w:fldChar w:fldCharType="separate"/>
      </w:r>
      <w:r>
        <w:rPr>
          <w:rFonts w:hint="eastAsia"/>
          <w:sz w:val="24"/>
          <w:lang w:val="en-US" w:eastAsia="zh-CN"/>
        </w:rPr>
        <w:t>第六章 投标文件格式</w:t>
      </w:r>
      <w:r>
        <w:rPr>
          <w:rFonts w:hint="eastAsia"/>
          <w:sz w:val="24"/>
          <w:lang w:val="en-US" w:eastAsia="zh-CN"/>
        </w:rPr>
        <w:tab/>
      </w:r>
      <w:r>
        <w:rPr>
          <w:rFonts w:hint="eastAsia"/>
          <w:sz w:val="24"/>
          <w:lang w:val="en-US" w:eastAsia="zh-CN"/>
        </w:rPr>
        <w:fldChar w:fldCharType="end"/>
      </w:r>
      <w:r>
        <w:rPr>
          <w:rFonts w:hint="eastAsia"/>
          <w:sz w:val="24"/>
          <w:lang w:val="en-US" w:eastAsia="zh-CN"/>
        </w:rPr>
        <w:fldChar w:fldCharType="end"/>
      </w:r>
      <w:r>
        <w:rPr>
          <w:rFonts w:hint="eastAsia"/>
          <w:sz w:val="24"/>
          <w:lang w:val="en-US" w:eastAsia="zh-CN"/>
        </w:rPr>
        <w:t>37</w:t>
      </w:r>
    </w:p>
    <w:p w14:paraId="74E96D61">
      <w:pPr>
        <w:spacing w:line="400" w:lineRule="exact"/>
        <w:jc w:val="left"/>
        <w:rPr>
          <w:rFonts w:ascii="宋体" w:hAnsi="宋体"/>
          <w:b/>
          <w:sz w:val="32"/>
          <w:szCs w:val="32"/>
        </w:rPr>
      </w:pPr>
    </w:p>
    <w:p w14:paraId="6F508316">
      <w:pPr>
        <w:spacing w:line="400" w:lineRule="exact"/>
        <w:jc w:val="center"/>
        <w:rPr>
          <w:rFonts w:ascii="宋体" w:hAnsi="宋体"/>
          <w:b/>
          <w:sz w:val="32"/>
          <w:szCs w:val="32"/>
        </w:rPr>
      </w:pPr>
    </w:p>
    <w:p w14:paraId="1EE920A3">
      <w:pPr>
        <w:spacing w:line="400" w:lineRule="exact"/>
        <w:jc w:val="center"/>
        <w:rPr>
          <w:rFonts w:ascii="宋体" w:hAnsi="宋体"/>
          <w:b/>
          <w:sz w:val="32"/>
          <w:szCs w:val="32"/>
        </w:rPr>
      </w:pPr>
    </w:p>
    <w:p w14:paraId="45F9FD1F">
      <w:pPr>
        <w:spacing w:line="400" w:lineRule="exact"/>
        <w:jc w:val="center"/>
        <w:rPr>
          <w:rFonts w:ascii="宋体" w:hAnsi="宋体"/>
          <w:b/>
          <w:sz w:val="32"/>
          <w:szCs w:val="32"/>
        </w:rPr>
      </w:pPr>
    </w:p>
    <w:p w14:paraId="4422F00D">
      <w:pPr>
        <w:spacing w:line="400" w:lineRule="exact"/>
        <w:jc w:val="center"/>
        <w:rPr>
          <w:rFonts w:ascii="宋体" w:hAnsi="宋体"/>
          <w:b/>
          <w:sz w:val="32"/>
          <w:szCs w:val="32"/>
        </w:rPr>
      </w:pPr>
    </w:p>
    <w:p w14:paraId="5D8AC12E">
      <w:pPr>
        <w:spacing w:line="400" w:lineRule="exact"/>
        <w:rPr>
          <w:rFonts w:ascii="宋体" w:hAnsi="宋体"/>
          <w:b/>
          <w:sz w:val="32"/>
          <w:szCs w:val="32"/>
        </w:rPr>
        <w:sectPr>
          <w:headerReference r:id="rId10" w:type="first"/>
          <w:footerReference r:id="rId12" w:type="first"/>
          <w:headerReference r:id="rId9" w:type="default"/>
          <w:footerReference r:id="rId11" w:type="default"/>
          <w:pgSz w:w="11906" w:h="16838"/>
          <w:pgMar w:top="1440" w:right="1079" w:bottom="1440" w:left="1387" w:header="624" w:footer="992" w:gutter="0"/>
          <w:cols w:space="720" w:num="1"/>
          <w:titlePg/>
          <w:docGrid w:type="lines" w:linePitch="312" w:charSpace="0"/>
        </w:sectPr>
      </w:pPr>
    </w:p>
    <w:p w14:paraId="789A7400">
      <w:pPr>
        <w:pStyle w:val="3"/>
        <w:spacing w:before="20" w:after="20" w:line="360" w:lineRule="auto"/>
        <w:jc w:val="center"/>
      </w:pPr>
      <w:bookmarkStart w:id="2" w:name="_Toc44229877"/>
      <w:r>
        <w:rPr>
          <w:rFonts w:hint="eastAsia"/>
        </w:rPr>
        <w:t xml:space="preserve">第一章 </w:t>
      </w:r>
      <w:r>
        <w:rPr>
          <w:rFonts w:hint="eastAsia"/>
          <w:lang w:eastAsia="zh-CN"/>
        </w:rPr>
        <w:t>招标</w:t>
      </w:r>
      <w:r>
        <w:rPr>
          <w:rFonts w:hint="eastAsia"/>
        </w:rPr>
        <w:t>公告</w:t>
      </w:r>
      <w:bookmarkEnd w:id="2"/>
    </w:p>
    <w:p w14:paraId="7C011461">
      <w:pPr>
        <w:spacing w:line="440" w:lineRule="exact"/>
        <w:jc w:val="center"/>
        <w:rPr>
          <w:rFonts w:hint="eastAsia" w:ascii="Times New Roman" w:hAnsi="Times New Roman" w:eastAsia="宋体" w:cs="Times New Roman"/>
          <w:sz w:val="28"/>
          <w:szCs w:val="28"/>
        </w:rPr>
      </w:pPr>
      <w:r>
        <w:rPr>
          <w:rFonts w:hint="eastAsia" w:cs="Times New Roman"/>
          <w:sz w:val="28"/>
          <w:szCs w:val="28"/>
          <w:lang w:eastAsia="zh-CN"/>
        </w:rPr>
        <w:t>2026-2028年度蒙山县公务员补充医疗保险（医疗补助）服务采购项目（重）</w:t>
      </w:r>
    </w:p>
    <w:p w14:paraId="65B6825C">
      <w:pPr>
        <w:spacing w:line="440" w:lineRule="exact"/>
        <w:jc w:val="center"/>
        <w:rPr>
          <w:rFonts w:ascii="Times New Roman" w:hAnsi="Times New Roman" w:eastAsia="宋体" w:cs="Times New Roman"/>
          <w:sz w:val="28"/>
          <w:szCs w:val="28"/>
          <w:highlight w:val="none"/>
        </w:rPr>
      </w:pPr>
      <w:r>
        <w:rPr>
          <w:rFonts w:ascii="Times New Roman" w:hAnsi="Times New Roman" w:eastAsia="宋体" w:cs="Times New Roman"/>
          <w:sz w:val="28"/>
          <w:szCs w:val="28"/>
          <w:highlight w:val="none"/>
        </w:rPr>
        <w:t>【</w:t>
      </w:r>
      <w:r>
        <w:rPr>
          <w:rFonts w:hint="eastAsia" w:cs="Times New Roman"/>
          <w:sz w:val="28"/>
          <w:szCs w:val="28"/>
          <w:highlight w:val="none"/>
          <w:lang w:eastAsia="zh-CN"/>
        </w:rPr>
        <w:t>WZZC2026-G3-230010-GXLG</w:t>
      </w:r>
      <w:r>
        <w:rPr>
          <w:rFonts w:ascii="Times New Roman" w:hAnsi="Times New Roman" w:eastAsia="宋体" w:cs="Times New Roman"/>
          <w:sz w:val="28"/>
          <w:szCs w:val="28"/>
          <w:highlight w:val="none"/>
        </w:rPr>
        <w:t>】</w:t>
      </w:r>
    </w:p>
    <w:p w14:paraId="0F7BBB9F">
      <w:pPr>
        <w:spacing w:line="440" w:lineRule="exact"/>
        <w:jc w:val="center"/>
        <w:rPr>
          <w:rFonts w:ascii="Times New Roman" w:hAnsi="Times New Roman" w:eastAsia="宋体" w:cs="Times New Roman"/>
          <w:b/>
          <w:bCs/>
          <w:sz w:val="28"/>
          <w:szCs w:val="28"/>
        </w:rPr>
      </w:pPr>
      <w:r>
        <w:rPr>
          <w:rFonts w:hint="eastAsia" w:cs="Times New Roman"/>
          <w:b/>
          <w:bCs/>
          <w:sz w:val="28"/>
          <w:szCs w:val="28"/>
          <w:lang w:eastAsia="zh-CN"/>
        </w:rPr>
        <w:t>招标</w:t>
      </w:r>
      <w:r>
        <w:rPr>
          <w:rFonts w:ascii="Times New Roman" w:hAnsi="Times New Roman" w:eastAsia="宋体" w:cs="Times New Roman"/>
          <w:b/>
          <w:bCs/>
          <w:sz w:val="28"/>
          <w:szCs w:val="28"/>
        </w:rPr>
        <w:t>公告</w:t>
      </w:r>
    </w:p>
    <w:p w14:paraId="3A756075">
      <w:pPr>
        <w:spacing w:line="360" w:lineRule="auto"/>
        <w:rPr>
          <w:color w:val="000000"/>
          <w:szCs w:val="21"/>
        </w:rPr>
      </w:pPr>
    </w:p>
    <w:p w14:paraId="27066B43">
      <w:pPr>
        <w:pBdr>
          <w:top w:val="single" w:color="auto" w:sz="4" w:space="1"/>
          <w:left w:val="single" w:color="auto" w:sz="4" w:space="4"/>
          <w:bottom w:val="single" w:color="auto" w:sz="4" w:space="1"/>
          <w:right w:val="single" w:color="auto" w:sz="4" w:space="4"/>
        </w:pBdr>
        <w:spacing w:line="400" w:lineRule="exact"/>
        <w:ind w:left="216" w:leftChars="103" w:right="-21" w:rightChars="-10"/>
        <w:rPr>
          <w:color w:val="000000"/>
          <w:szCs w:val="21"/>
        </w:rPr>
      </w:pPr>
      <w:bookmarkStart w:id="3" w:name="_Hlk37430271"/>
      <w:r>
        <w:rPr>
          <w:color w:val="000000"/>
          <w:szCs w:val="21"/>
        </w:rPr>
        <w:t>项目概况</w:t>
      </w:r>
    </w:p>
    <w:p w14:paraId="3B5C7F57">
      <w:pPr>
        <w:pBdr>
          <w:top w:val="single" w:color="auto" w:sz="4" w:space="1"/>
          <w:left w:val="single" w:color="auto" w:sz="4" w:space="4"/>
          <w:bottom w:val="single" w:color="auto" w:sz="4" w:space="1"/>
          <w:right w:val="single" w:color="auto" w:sz="4" w:space="4"/>
        </w:pBdr>
        <w:spacing w:line="400" w:lineRule="exact"/>
        <w:ind w:left="216" w:leftChars="103" w:right="-21" w:rightChars="-10" w:firstLine="420" w:firstLineChars="200"/>
        <w:rPr>
          <w:color w:val="auto"/>
          <w:szCs w:val="21"/>
          <w:highlight w:val="none"/>
        </w:rPr>
      </w:pPr>
      <w:r>
        <w:rPr>
          <w:rFonts w:hint="eastAsia"/>
          <w:color w:val="000000"/>
          <w:szCs w:val="21"/>
          <w:u w:val="single"/>
        </w:rPr>
        <w:t xml:space="preserve"> </w:t>
      </w:r>
      <w:r>
        <w:rPr>
          <w:rFonts w:hint="eastAsia" w:cs="Times New Roman"/>
          <w:color w:val="000000"/>
          <w:szCs w:val="21"/>
          <w:u w:val="single"/>
          <w:lang w:eastAsia="zh-CN"/>
        </w:rPr>
        <w:t>2026-2028年度蒙山县公务员补充医疗保险（医疗补助）服务采购项目（重）</w:t>
      </w:r>
      <w:r>
        <w:rPr>
          <w:rFonts w:hint="eastAsia" w:ascii="Times New Roman" w:hAnsi="Times New Roman" w:eastAsia="宋体" w:cs="Times New Roman"/>
          <w:color w:val="auto"/>
          <w:szCs w:val="21"/>
          <w:highlight w:val="none"/>
          <w:u w:val="single"/>
        </w:rPr>
        <w:t xml:space="preserve"> </w:t>
      </w:r>
      <w:r>
        <w:rPr>
          <w:color w:val="auto"/>
          <w:szCs w:val="21"/>
          <w:highlight w:val="none"/>
        </w:rPr>
        <w:t>的潜在</w:t>
      </w:r>
      <w:r>
        <w:rPr>
          <w:rFonts w:hint="eastAsia"/>
          <w:color w:val="auto"/>
          <w:szCs w:val="21"/>
          <w:highlight w:val="none"/>
          <w:lang w:eastAsia="zh-CN"/>
        </w:rPr>
        <w:t>投标人</w:t>
      </w:r>
      <w:r>
        <w:rPr>
          <w:color w:val="auto"/>
          <w:szCs w:val="21"/>
          <w:highlight w:val="none"/>
        </w:rPr>
        <w:t>应在“</w:t>
      </w:r>
      <w:r>
        <w:rPr>
          <w:rFonts w:hint="eastAsia"/>
          <w:color w:val="auto"/>
          <w:szCs w:val="21"/>
          <w:highlight w:val="none"/>
          <w:lang w:eastAsia="zh-CN"/>
        </w:rPr>
        <w:t>广西政府采购云平台</w:t>
      </w:r>
      <w:r>
        <w:rPr>
          <w:color w:val="auto"/>
          <w:szCs w:val="21"/>
          <w:highlight w:val="none"/>
        </w:rPr>
        <w:t>”（</w:t>
      </w:r>
      <w:r>
        <w:rPr>
          <w:rFonts w:hint="eastAsia"/>
          <w:color w:val="auto"/>
          <w:szCs w:val="21"/>
          <w:highlight w:val="none"/>
        </w:rPr>
        <w:t>https://www.gcy.zfcg.gxzf.gov.cn/</w:t>
      </w:r>
      <w:r>
        <w:rPr>
          <w:color w:val="auto"/>
          <w:szCs w:val="21"/>
          <w:highlight w:val="none"/>
        </w:rPr>
        <w:t>）获取</w:t>
      </w:r>
      <w:r>
        <w:rPr>
          <w:rFonts w:hint="eastAsia"/>
          <w:color w:val="auto"/>
          <w:szCs w:val="21"/>
          <w:highlight w:val="none"/>
          <w:lang w:eastAsia="zh-CN"/>
        </w:rPr>
        <w:t>（下载）招标</w:t>
      </w:r>
      <w:r>
        <w:rPr>
          <w:rFonts w:ascii="Times New Roman" w:hAnsi="Times New Roman" w:eastAsia="宋体" w:cs="Times New Roman"/>
          <w:color w:val="auto"/>
          <w:szCs w:val="21"/>
          <w:highlight w:val="none"/>
        </w:rPr>
        <w:t>文件，</w:t>
      </w:r>
      <w:r>
        <w:rPr>
          <w:color w:val="auto"/>
          <w:szCs w:val="21"/>
          <w:highlight w:val="none"/>
        </w:rPr>
        <w:t>并于</w:t>
      </w:r>
      <w:r>
        <w:rPr>
          <w:color w:val="auto"/>
          <w:szCs w:val="21"/>
          <w:highlight w:val="yellow"/>
        </w:rPr>
        <w:t>202</w:t>
      </w:r>
      <w:r>
        <w:rPr>
          <w:rFonts w:hint="eastAsia"/>
          <w:color w:val="auto"/>
          <w:szCs w:val="21"/>
          <w:highlight w:val="yellow"/>
          <w:lang w:val="en-US" w:eastAsia="zh-CN"/>
        </w:rPr>
        <w:t>6</w:t>
      </w:r>
      <w:r>
        <w:rPr>
          <w:color w:val="auto"/>
          <w:szCs w:val="21"/>
          <w:highlight w:val="yellow"/>
        </w:rPr>
        <w:t>年</w:t>
      </w:r>
      <w:r>
        <w:rPr>
          <w:rFonts w:hint="eastAsia"/>
          <w:color w:val="auto"/>
          <w:szCs w:val="21"/>
          <w:highlight w:val="yellow"/>
          <w:lang w:val="en-US" w:eastAsia="zh-CN"/>
        </w:rPr>
        <w:t>4</w:t>
      </w:r>
      <w:r>
        <w:rPr>
          <w:color w:val="auto"/>
          <w:szCs w:val="21"/>
          <w:highlight w:val="yellow"/>
        </w:rPr>
        <w:t>月</w:t>
      </w:r>
      <w:r>
        <w:rPr>
          <w:rFonts w:hint="eastAsia"/>
          <w:color w:val="auto"/>
          <w:szCs w:val="21"/>
          <w:highlight w:val="yellow"/>
          <w:lang w:val="en-US" w:eastAsia="zh-CN"/>
        </w:rPr>
        <w:t>9</w:t>
      </w:r>
      <w:r>
        <w:rPr>
          <w:color w:val="auto"/>
          <w:szCs w:val="21"/>
          <w:highlight w:val="yellow"/>
        </w:rPr>
        <w:t>日</w:t>
      </w:r>
      <w:r>
        <w:rPr>
          <w:rFonts w:hint="eastAsia"/>
          <w:color w:val="auto"/>
          <w:szCs w:val="21"/>
          <w:highlight w:val="yellow"/>
          <w:lang w:val="en-US" w:eastAsia="zh-CN"/>
        </w:rPr>
        <w:t>9</w:t>
      </w:r>
      <w:r>
        <w:rPr>
          <w:color w:val="auto"/>
          <w:szCs w:val="21"/>
          <w:highlight w:val="yellow"/>
        </w:rPr>
        <w:t>时</w:t>
      </w:r>
      <w:r>
        <w:rPr>
          <w:rFonts w:hint="eastAsia"/>
          <w:color w:val="auto"/>
          <w:szCs w:val="21"/>
          <w:highlight w:val="yellow"/>
          <w:lang w:val="en-US" w:eastAsia="zh-CN"/>
        </w:rPr>
        <w:t>00</w:t>
      </w:r>
      <w:r>
        <w:rPr>
          <w:color w:val="auto"/>
          <w:szCs w:val="21"/>
          <w:highlight w:val="none"/>
        </w:rPr>
        <w:t>分（北京时间）前</w:t>
      </w:r>
      <w:r>
        <w:rPr>
          <w:rFonts w:hint="eastAsia"/>
          <w:color w:val="auto"/>
          <w:szCs w:val="21"/>
          <w:highlight w:val="none"/>
          <w:lang w:eastAsia="zh-CN"/>
        </w:rPr>
        <w:t>按要求递交</w:t>
      </w:r>
      <w:r>
        <w:rPr>
          <w:rFonts w:hint="eastAsia"/>
          <w:color w:val="auto"/>
          <w:szCs w:val="21"/>
          <w:highlight w:val="none"/>
        </w:rPr>
        <w:t>（上传）</w:t>
      </w:r>
      <w:r>
        <w:rPr>
          <w:rFonts w:hint="eastAsia"/>
          <w:color w:val="auto"/>
          <w:szCs w:val="21"/>
          <w:highlight w:val="none"/>
          <w:lang w:eastAsia="zh-CN"/>
        </w:rPr>
        <w:t>投标</w:t>
      </w:r>
      <w:r>
        <w:rPr>
          <w:color w:val="auto"/>
          <w:szCs w:val="21"/>
          <w:highlight w:val="none"/>
        </w:rPr>
        <w:t>文件。</w:t>
      </w:r>
    </w:p>
    <w:p w14:paraId="17E154B3">
      <w:pPr>
        <w:pStyle w:val="3"/>
        <w:spacing w:before="80" w:after="80" w:line="400" w:lineRule="exact"/>
        <w:ind w:firstLine="422" w:firstLineChars="200"/>
        <w:rPr>
          <w:rFonts w:ascii="Times New Roman" w:hAnsi="Times New Roman"/>
          <w:bCs w:val="0"/>
          <w:color w:val="auto"/>
          <w:sz w:val="21"/>
          <w:szCs w:val="21"/>
          <w:highlight w:val="none"/>
        </w:rPr>
      </w:pPr>
      <w:bookmarkStart w:id="4" w:name="_Toc28359012"/>
      <w:bookmarkStart w:id="5" w:name="_Toc35393798"/>
      <w:bookmarkStart w:id="6" w:name="_Toc28359089"/>
      <w:bookmarkStart w:id="7" w:name="_Toc35393629"/>
      <w:r>
        <w:rPr>
          <w:rFonts w:ascii="Times New Roman" w:hAnsi="Times New Roman"/>
          <w:bCs w:val="0"/>
          <w:color w:val="auto"/>
          <w:sz w:val="21"/>
          <w:szCs w:val="21"/>
          <w:highlight w:val="none"/>
        </w:rPr>
        <w:t>一、项目基本情况</w:t>
      </w:r>
      <w:bookmarkEnd w:id="4"/>
      <w:bookmarkEnd w:id="5"/>
      <w:bookmarkEnd w:id="6"/>
      <w:bookmarkEnd w:id="7"/>
    </w:p>
    <w:p w14:paraId="7C778DBC">
      <w:pPr>
        <w:spacing w:line="400" w:lineRule="exact"/>
        <w:ind w:firstLine="420" w:firstLineChars="200"/>
        <w:rPr>
          <w:rFonts w:hint="eastAsia" w:eastAsia="宋体"/>
          <w:color w:val="auto"/>
          <w:szCs w:val="21"/>
          <w:highlight w:val="none"/>
          <w:lang w:val="en-US" w:eastAsia="zh-CN"/>
        </w:rPr>
      </w:pPr>
      <w:r>
        <w:rPr>
          <w:color w:val="auto"/>
          <w:szCs w:val="21"/>
          <w:highlight w:val="none"/>
        </w:rPr>
        <w:t>1．项目</w:t>
      </w:r>
      <w:r>
        <w:rPr>
          <w:rFonts w:ascii="Times New Roman" w:hAnsi="Times New Roman" w:eastAsia="宋体" w:cs="Times New Roman"/>
          <w:color w:val="auto"/>
          <w:szCs w:val="21"/>
          <w:highlight w:val="none"/>
        </w:rPr>
        <w:t>编号</w:t>
      </w:r>
      <w:r>
        <w:rPr>
          <w:color w:val="auto"/>
          <w:szCs w:val="21"/>
          <w:highlight w:val="none"/>
        </w:rPr>
        <w:t>：</w:t>
      </w:r>
      <w:r>
        <w:rPr>
          <w:rFonts w:hint="eastAsia"/>
          <w:color w:val="auto"/>
          <w:szCs w:val="21"/>
          <w:highlight w:val="none"/>
          <w:lang w:eastAsia="zh-CN"/>
        </w:rPr>
        <w:t>WZZC2026-G3-230010-GXLG</w:t>
      </w:r>
    </w:p>
    <w:p w14:paraId="59A81ABB">
      <w:pPr>
        <w:spacing w:line="400" w:lineRule="exact"/>
        <w:ind w:firstLine="420" w:firstLineChars="200"/>
        <w:rPr>
          <w:color w:val="auto"/>
          <w:szCs w:val="21"/>
          <w:highlight w:val="none"/>
        </w:rPr>
      </w:pPr>
      <w:r>
        <w:rPr>
          <w:color w:val="auto"/>
          <w:szCs w:val="21"/>
          <w:highlight w:val="none"/>
        </w:rPr>
        <w:t>2．项目名称：</w:t>
      </w:r>
      <w:r>
        <w:rPr>
          <w:rFonts w:hint="eastAsia"/>
          <w:color w:val="auto"/>
          <w:szCs w:val="21"/>
          <w:highlight w:val="none"/>
          <w:lang w:eastAsia="zh-CN"/>
        </w:rPr>
        <w:t>2026-2028年度蒙山县公务员补充医疗保险（医疗补助）服务采购项目（重）</w:t>
      </w:r>
    </w:p>
    <w:p w14:paraId="4BCFD3CA">
      <w:pPr>
        <w:spacing w:line="400" w:lineRule="exact"/>
        <w:ind w:firstLine="420" w:firstLineChars="200"/>
        <w:rPr>
          <w:rFonts w:hint="eastAsia"/>
          <w:color w:val="auto"/>
          <w:szCs w:val="21"/>
          <w:highlight w:val="none"/>
          <w:lang w:eastAsia="zh-CN"/>
        </w:rPr>
      </w:pPr>
      <w:r>
        <w:rPr>
          <w:color w:val="auto"/>
          <w:szCs w:val="21"/>
          <w:highlight w:val="none"/>
        </w:rPr>
        <w:t>3．采购</w:t>
      </w:r>
      <w:r>
        <w:rPr>
          <w:rFonts w:hint="eastAsia"/>
          <w:color w:val="auto"/>
          <w:szCs w:val="21"/>
          <w:highlight w:val="none"/>
          <w:lang w:eastAsia="zh-CN"/>
        </w:rPr>
        <w:t>计划文号：MSZC2025-G3-01476</w:t>
      </w:r>
    </w:p>
    <w:p w14:paraId="39545E7A">
      <w:pPr>
        <w:spacing w:line="400" w:lineRule="exact"/>
        <w:ind w:firstLine="420" w:firstLineChars="200"/>
        <w:rPr>
          <w:color w:val="auto"/>
          <w:szCs w:val="21"/>
          <w:highlight w:val="none"/>
        </w:rPr>
      </w:pPr>
      <w:r>
        <w:rPr>
          <w:color w:val="auto"/>
          <w:szCs w:val="21"/>
          <w:highlight w:val="none"/>
        </w:rPr>
        <w:t>4．预算</w:t>
      </w:r>
      <w:r>
        <w:rPr>
          <w:rFonts w:hint="eastAsia"/>
          <w:color w:val="auto"/>
          <w:szCs w:val="21"/>
          <w:highlight w:val="none"/>
          <w:lang w:eastAsia="zh-CN"/>
        </w:rPr>
        <w:t>总</w:t>
      </w:r>
      <w:r>
        <w:rPr>
          <w:color w:val="auto"/>
          <w:szCs w:val="21"/>
          <w:highlight w:val="none"/>
        </w:rPr>
        <w:t>金额：</w:t>
      </w:r>
      <w:r>
        <w:rPr>
          <w:rFonts w:hint="eastAsia"/>
          <w:color w:val="auto"/>
          <w:szCs w:val="21"/>
          <w:highlight w:val="none"/>
        </w:rPr>
        <w:t>人民币</w:t>
      </w:r>
      <w:r>
        <w:rPr>
          <w:rFonts w:hint="eastAsia"/>
          <w:color w:val="auto"/>
          <w:szCs w:val="21"/>
          <w:highlight w:val="none"/>
          <w:lang w:eastAsia="zh-CN"/>
        </w:rPr>
        <w:t>叁佰捌拾捌万捌仟元整</w:t>
      </w:r>
      <w:r>
        <w:rPr>
          <w:rFonts w:hint="eastAsia"/>
          <w:color w:val="auto"/>
          <w:szCs w:val="21"/>
          <w:highlight w:val="none"/>
        </w:rPr>
        <w:t>（</w:t>
      </w:r>
      <w:r>
        <w:rPr>
          <w:rFonts w:ascii="Arial" w:hAnsi="Arial" w:cs="Arial"/>
          <w:color w:val="auto"/>
          <w:szCs w:val="21"/>
          <w:highlight w:val="none"/>
        </w:rPr>
        <w:t>¥</w:t>
      </w:r>
      <w:r>
        <w:rPr>
          <w:rFonts w:hint="eastAsia"/>
          <w:color w:val="auto"/>
          <w:szCs w:val="21"/>
          <w:highlight w:val="none"/>
          <w:lang w:val="en-US" w:eastAsia="zh-CN"/>
        </w:rPr>
        <w:t>3888000.00</w:t>
      </w:r>
      <w:r>
        <w:rPr>
          <w:rFonts w:hint="eastAsia"/>
          <w:color w:val="auto"/>
          <w:szCs w:val="21"/>
          <w:highlight w:val="none"/>
        </w:rPr>
        <w:t>）</w:t>
      </w:r>
    </w:p>
    <w:p w14:paraId="2175C7F3">
      <w:pPr>
        <w:spacing w:line="400" w:lineRule="exact"/>
        <w:ind w:firstLine="420" w:firstLineChars="200"/>
        <w:rPr>
          <w:rFonts w:hint="eastAsia" w:eastAsia="宋体"/>
          <w:color w:val="auto"/>
          <w:szCs w:val="21"/>
          <w:highlight w:val="none"/>
          <w:lang w:eastAsia="zh-CN"/>
        </w:rPr>
      </w:pPr>
      <w:r>
        <w:rPr>
          <w:color w:val="auto"/>
          <w:szCs w:val="21"/>
          <w:highlight w:val="none"/>
        </w:rPr>
        <w:t>5．最高限价：</w:t>
      </w:r>
      <w:r>
        <w:rPr>
          <w:rFonts w:hint="eastAsia"/>
          <w:color w:val="auto"/>
          <w:szCs w:val="21"/>
          <w:highlight w:val="none"/>
        </w:rPr>
        <w:t>人民币</w:t>
      </w:r>
      <w:r>
        <w:rPr>
          <w:rFonts w:hint="eastAsia"/>
          <w:color w:val="auto"/>
          <w:szCs w:val="21"/>
          <w:highlight w:val="none"/>
          <w:lang w:eastAsia="zh-CN"/>
        </w:rPr>
        <w:t>叁佰柒拾捌万壹仟玖佰捌拾元整</w:t>
      </w:r>
      <w:r>
        <w:rPr>
          <w:rFonts w:hint="eastAsia"/>
          <w:color w:val="auto"/>
          <w:szCs w:val="21"/>
          <w:highlight w:val="none"/>
        </w:rPr>
        <w:t>（</w:t>
      </w:r>
      <w:r>
        <w:rPr>
          <w:rFonts w:ascii="Arial" w:hAnsi="Arial" w:cs="Arial"/>
          <w:color w:val="auto"/>
          <w:szCs w:val="21"/>
          <w:highlight w:val="none"/>
        </w:rPr>
        <w:t>¥</w:t>
      </w:r>
      <w:r>
        <w:rPr>
          <w:rFonts w:hint="eastAsia"/>
          <w:color w:val="auto"/>
          <w:szCs w:val="21"/>
          <w:highlight w:val="none"/>
          <w:lang w:val="en-US" w:eastAsia="zh-CN"/>
        </w:rPr>
        <w:t>3781980.00</w:t>
      </w:r>
      <w:r>
        <w:rPr>
          <w:rFonts w:hint="eastAsia"/>
          <w:color w:val="auto"/>
          <w:szCs w:val="21"/>
          <w:highlight w:val="none"/>
        </w:rPr>
        <w:t>）</w:t>
      </w:r>
    </w:p>
    <w:p w14:paraId="1988A3D3">
      <w:pPr>
        <w:spacing w:line="400" w:lineRule="exact"/>
        <w:ind w:firstLine="420" w:firstLineChars="200"/>
        <w:rPr>
          <w:rFonts w:ascii="Times New Roman" w:hAnsi="Times New Roman" w:eastAsia="宋体" w:cs="Times New Roman"/>
          <w:color w:val="auto"/>
          <w:szCs w:val="21"/>
          <w:highlight w:val="none"/>
        </w:rPr>
      </w:pPr>
      <w:r>
        <w:rPr>
          <w:color w:val="auto"/>
          <w:szCs w:val="21"/>
          <w:highlight w:val="none"/>
        </w:rPr>
        <w:t>6．采购需求：</w:t>
      </w:r>
      <w:r>
        <w:rPr>
          <w:rFonts w:hint="eastAsia" w:ascii="Times New Roman" w:hAnsi="Times New Roman" w:eastAsia="宋体" w:cs="Times New Roman"/>
          <w:color w:val="auto"/>
          <w:szCs w:val="21"/>
          <w:highlight w:val="none"/>
          <w:lang w:val="en-US" w:eastAsia="zh-CN"/>
        </w:rPr>
        <w:t>2026-2028年度蒙山县公务员补充医疗保险服务采购，参保人数约7200人（动态调整，以实际参保人数为准），按180元/人</w:t>
      </w:r>
      <w:r>
        <w:rPr>
          <w:rFonts w:hint="eastAsia" w:cs="Times New Roman"/>
          <w:color w:val="auto"/>
          <w:szCs w:val="21"/>
          <w:highlight w:val="none"/>
          <w:lang w:val="en-US" w:eastAsia="zh-CN"/>
        </w:rPr>
        <w:t>/</w:t>
      </w:r>
      <w:r>
        <w:rPr>
          <w:rFonts w:hint="eastAsia" w:ascii="Times New Roman" w:hAnsi="Times New Roman" w:eastAsia="宋体" w:cs="Times New Roman"/>
          <w:color w:val="auto"/>
          <w:szCs w:val="21"/>
          <w:highlight w:val="none"/>
          <w:lang w:val="en-US" w:eastAsia="zh-CN"/>
        </w:rPr>
        <w:t>年标准投保</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（如需进一步了解详细内容，详见</w:t>
      </w:r>
      <w:r>
        <w:rPr>
          <w:rFonts w:hint="eastAsia" w:ascii="Times New Roman" w:hAnsi="Times New Roman" w:eastAsia="宋体" w:cs="Times New Roman"/>
          <w:color w:val="auto"/>
          <w:szCs w:val="21"/>
          <w:highlight w:val="none"/>
          <w:lang w:eastAsia="zh-CN"/>
        </w:rPr>
        <w:t>招标</w:t>
      </w:r>
      <w:r>
        <w:rPr>
          <w:rFonts w:ascii="Times New Roman" w:hAnsi="Times New Roman" w:eastAsia="宋体" w:cs="Times New Roman"/>
          <w:color w:val="auto"/>
          <w:szCs w:val="21"/>
          <w:highlight w:val="none"/>
        </w:rPr>
        <w:t>文件）</w:t>
      </w:r>
    </w:p>
    <w:p w14:paraId="3D8D67E2">
      <w:pPr>
        <w:spacing w:line="40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7．合同履行期限</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自</w:t>
      </w:r>
      <w:r>
        <w:rPr>
          <w:rFonts w:hint="default" w:ascii="Times New Roman" w:hAnsi="Times New Roman" w:eastAsia="宋体" w:cs="Times New Roman"/>
          <w:color w:val="auto"/>
          <w:szCs w:val="21"/>
          <w:highlight w:val="none"/>
          <w:lang w:val="en-US" w:eastAsia="zh-CN"/>
        </w:rPr>
        <w:t>2026年</w:t>
      </w:r>
      <w:r>
        <w:rPr>
          <w:rFonts w:hint="eastAsia" w:cs="Times New Roman"/>
          <w:color w:val="auto"/>
          <w:szCs w:val="21"/>
          <w:highlight w:val="none"/>
          <w:lang w:val="en-US" w:eastAsia="zh-CN"/>
        </w:rPr>
        <w:t>2</w:t>
      </w:r>
      <w:r>
        <w:rPr>
          <w:rFonts w:hint="eastAsia" w:ascii="Times New Roman" w:hAnsi="Times New Roman" w:eastAsia="宋体" w:cs="Times New Roman"/>
          <w:color w:val="auto"/>
          <w:szCs w:val="21"/>
          <w:highlight w:val="none"/>
          <w:lang w:val="en-US" w:eastAsia="zh-CN"/>
        </w:rPr>
        <w:t>月1日</w:t>
      </w:r>
      <w:r>
        <w:rPr>
          <w:rFonts w:hint="default" w:ascii="Times New Roman" w:hAnsi="Times New Roman" w:eastAsia="宋体" w:cs="Times New Roman"/>
          <w:color w:val="auto"/>
          <w:szCs w:val="21"/>
          <w:highlight w:val="none"/>
          <w:lang w:val="en-US" w:eastAsia="zh-CN"/>
        </w:rPr>
        <w:t>起至2028年</w:t>
      </w:r>
      <w:r>
        <w:rPr>
          <w:rFonts w:hint="eastAsia" w:ascii="Times New Roman" w:hAnsi="Times New Roman" w:eastAsia="宋体" w:cs="Times New Roman"/>
          <w:color w:val="auto"/>
          <w:szCs w:val="21"/>
          <w:highlight w:val="none"/>
          <w:lang w:val="en-US" w:eastAsia="zh-CN"/>
        </w:rPr>
        <w:t>12月31日</w:t>
      </w:r>
      <w:r>
        <w:rPr>
          <w:rFonts w:hint="default" w:ascii="Times New Roman" w:hAnsi="Times New Roman" w:eastAsia="宋体" w:cs="Times New Roman"/>
          <w:color w:val="auto"/>
          <w:szCs w:val="21"/>
          <w:highlight w:val="none"/>
          <w:lang w:val="en-US" w:eastAsia="zh-CN"/>
        </w:rPr>
        <w:t>止</w:t>
      </w:r>
      <w:r>
        <w:rPr>
          <w:rFonts w:hint="eastAsia" w:ascii="Times New Roman" w:hAnsi="Times New Roman" w:eastAsia="宋体" w:cs="Times New Roman"/>
          <w:color w:val="auto"/>
          <w:szCs w:val="21"/>
          <w:highlight w:val="none"/>
        </w:rPr>
        <w:t>。</w:t>
      </w:r>
    </w:p>
    <w:p w14:paraId="2D803447">
      <w:pPr>
        <w:spacing w:line="40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8．本项目</w:t>
      </w:r>
      <w:r>
        <w:rPr>
          <w:rFonts w:hint="eastAsia" w:ascii="Times New Roman" w:hAnsi="Times New Roman" w:eastAsia="宋体" w:cs="Times New Roman"/>
          <w:color w:val="auto"/>
          <w:szCs w:val="21"/>
          <w:highlight w:val="none"/>
        </w:rPr>
        <w:t>不</w:t>
      </w:r>
      <w:r>
        <w:rPr>
          <w:rFonts w:ascii="Times New Roman" w:hAnsi="Times New Roman" w:eastAsia="宋体" w:cs="Times New Roman"/>
          <w:color w:val="auto"/>
          <w:szCs w:val="21"/>
          <w:highlight w:val="none"/>
        </w:rPr>
        <w:t>接受联合体</w:t>
      </w:r>
      <w:r>
        <w:rPr>
          <w:rFonts w:hint="eastAsia" w:ascii="Times New Roman" w:hAnsi="Times New Roman" w:eastAsia="宋体" w:cs="Times New Roman"/>
          <w:color w:val="auto"/>
          <w:szCs w:val="21"/>
          <w:highlight w:val="none"/>
          <w:lang w:eastAsia="zh-CN"/>
        </w:rPr>
        <w:t>投</w:t>
      </w:r>
      <w:r>
        <w:rPr>
          <w:rFonts w:ascii="Times New Roman" w:hAnsi="Times New Roman" w:eastAsia="宋体" w:cs="Times New Roman"/>
          <w:color w:val="auto"/>
          <w:szCs w:val="21"/>
          <w:highlight w:val="none"/>
        </w:rPr>
        <w:t>标。</w:t>
      </w:r>
    </w:p>
    <w:p w14:paraId="14E3F0F0">
      <w:pPr>
        <w:pStyle w:val="3"/>
        <w:spacing w:before="80" w:after="80" w:line="400" w:lineRule="exact"/>
        <w:ind w:firstLine="422" w:firstLineChars="200"/>
        <w:rPr>
          <w:rFonts w:hint="eastAsia" w:ascii="Times New Roman" w:hAnsi="Times New Roman" w:eastAsia="宋体"/>
          <w:bCs w:val="0"/>
          <w:color w:val="auto"/>
          <w:sz w:val="21"/>
          <w:szCs w:val="21"/>
          <w:highlight w:val="none"/>
          <w:lang w:eastAsia="zh-CN"/>
        </w:rPr>
      </w:pPr>
      <w:bookmarkStart w:id="8" w:name="_Toc35393799"/>
      <w:bookmarkStart w:id="9" w:name="_Toc28359013"/>
      <w:bookmarkStart w:id="10" w:name="_Toc28359090"/>
      <w:bookmarkStart w:id="11" w:name="_Toc35393630"/>
      <w:r>
        <w:rPr>
          <w:rFonts w:ascii="Times New Roman" w:hAnsi="Times New Roman"/>
          <w:bCs w:val="0"/>
          <w:color w:val="auto"/>
          <w:sz w:val="21"/>
          <w:szCs w:val="21"/>
          <w:highlight w:val="none"/>
        </w:rPr>
        <w:t>二、</w:t>
      </w:r>
      <w:r>
        <w:rPr>
          <w:rFonts w:hint="eastAsia" w:ascii="Times New Roman" w:hAnsi="Times New Roman"/>
          <w:bCs w:val="0"/>
          <w:color w:val="auto"/>
          <w:sz w:val="21"/>
          <w:szCs w:val="21"/>
          <w:highlight w:val="none"/>
          <w:lang w:eastAsia="zh-CN"/>
        </w:rPr>
        <w:t>投标人</w:t>
      </w:r>
      <w:r>
        <w:rPr>
          <w:rFonts w:ascii="Times New Roman" w:hAnsi="Times New Roman"/>
          <w:bCs w:val="0"/>
          <w:color w:val="auto"/>
          <w:sz w:val="21"/>
          <w:szCs w:val="21"/>
          <w:highlight w:val="none"/>
        </w:rPr>
        <w:t>的资格条件</w:t>
      </w:r>
      <w:bookmarkEnd w:id="8"/>
      <w:bookmarkEnd w:id="9"/>
      <w:bookmarkEnd w:id="10"/>
      <w:bookmarkEnd w:id="11"/>
      <w:r>
        <w:rPr>
          <w:rFonts w:hint="eastAsia" w:ascii="Times New Roman" w:hAnsi="Times New Roman"/>
          <w:bCs w:val="0"/>
          <w:color w:val="auto"/>
          <w:sz w:val="21"/>
          <w:szCs w:val="21"/>
          <w:highlight w:val="none"/>
        </w:rPr>
        <w:t xml:space="preserve">    </w:t>
      </w:r>
    </w:p>
    <w:p w14:paraId="0B711FC4">
      <w:pPr>
        <w:spacing w:line="400" w:lineRule="exact"/>
        <w:ind w:firstLine="420" w:firstLineChars="200"/>
        <w:rPr>
          <w:color w:val="auto"/>
          <w:szCs w:val="21"/>
          <w:highlight w:val="none"/>
        </w:rPr>
      </w:pPr>
      <w:bookmarkStart w:id="12" w:name="_Toc28359091"/>
      <w:bookmarkStart w:id="13" w:name="_Toc28359014"/>
      <w:r>
        <w:rPr>
          <w:color w:val="auto"/>
          <w:szCs w:val="21"/>
          <w:highlight w:val="none"/>
        </w:rPr>
        <w:t>1．满足《中华人民共和国政府采购法》第二十二条规定；</w:t>
      </w:r>
    </w:p>
    <w:p w14:paraId="62EBE29C">
      <w:pPr>
        <w:spacing w:line="400" w:lineRule="exact"/>
        <w:ind w:firstLine="420" w:firstLineChars="200"/>
        <w:rPr>
          <w:color w:val="auto"/>
          <w:szCs w:val="21"/>
        </w:rPr>
      </w:pPr>
      <w:r>
        <w:rPr>
          <w:color w:val="auto"/>
          <w:szCs w:val="21"/>
        </w:rPr>
        <w:t>2．落实政府采购政策需满足的资格要求：</w:t>
      </w:r>
      <w:r>
        <w:rPr>
          <w:rFonts w:hint="eastAsia"/>
          <w:szCs w:val="21"/>
        </w:rPr>
        <w:t>本项目</w:t>
      </w:r>
      <w:r>
        <w:rPr>
          <w:rFonts w:hint="eastAsia"/>
          <w:szCs w:val="21"/>
          <w:lang w:eastAsia="zh-CN"/>
        </w:rPr>
        <w:t>不属于</w:t>
      </w:r>
      <w:r>
        <w:rPr>
          <w:rFonts w:hint="eastAsia"/>
          <w:szCs w:val="21"/>
        </w:rPr>
        <w:t>专门面向中小企业采购</w:t>
      </w:r>
      <w:r>
        <w:rPr>
          <w:rFonts w:hint="eastAsia"/>
          <w:szCs w:val="21"/>
          <w:lang w:eastAsia="zh-CN"/>
        </w:rPr>
        <w:t>的项目；</w:t>
      </w:r>
    </w:p>
    <w:p w14:paraId="490084B6">
      <w:pPr>
        <w:spacing w:line="400" w:lineRule="exact"/>
        <w:ind w:firstLine="420" w:firstLineChars="200"/>
        <w:rPr>
          <w:color w:val="auto"/>
          <w:szCs w:val="21"/>
        </w:rPr>
      </w:pPr>
      <w:r>
        <w:rPr>
          <w:color w:val="auto"/>
          <w:szCs w:val="21"/>
        </w:rPr>
        <w:t>3．本项目的特定资格要求：</w:t>
      </w:r>
    </w:p>
    <w:p w14:paraId="286397B5">
      <w:pPr>
        <w:spacing w:line="400" w:lineRule="exact"/>
        <w:ind w:firstLine="420" w:firstLineChars="200"/>
        <w:rPr>
          <w:color w:val="auto"/>
          <w:szCs w:val="21"/>
        </w:rPr>
      </w:pPr>
      <w:r>
        <w:rPr>
          <w:rFonts w:hint="eastAsia"/>
          <w:color w:val="auto"/>
          <w:szCs w:val="21"/>
          <w:lang w:val="en-US" w:eastAsia="zh-CN"/>
        </w:rPr>
        <w:t>3.1</w:t>
      </w:r>
      <w:r>
        <w:rPr>
          <w:rFonts w:hint="eastAsia" w:ascii="宋体" w:hAnsi="宋体"/>
          <w:color w:val="000000" w:themeColor="text1"/>
          <w:szCs w:val="21"/>
          <w14:textFill>
            <w14:solidFill>
              <w14:schemeClr w14:val="tx1"/>
            </w14:solidFill>
          </w14:textFill>
        </w:rPr>
        <w:t>具备有效的“经营保险业务许可证”</w:t>
      </w:r>
      <w:r>
        <w:rPr>
          <w:rFonts w:hint="eastAsia" w:ascii="宋体" w:hAnsi="宋体"/>
          <w:color w:val="000000" w:themeColor="text1"/>
          <w:szCs w:val="21"/>
          <w:lang w:eastAsia="zh-CN"/>
          <w14:textFill>
            <w14:solidFill>
              <w14:schemeClr w14:val="tx1"/>
            </w14:solidFill>
          </w14:textFill>
        </w:rPr>
        <w:t>，许可范围包括“健康保险”</w:t>
      </w:r>
      <w:r>
        <w:rPr>
          <w:color w:val="auto"/>
          <w:szCs w:val="21"/>
        </w:rPr>
        <w:t>；</w:t>
      </w:r>
    </w:p>
    <w:p w14:paraId="3A051EEC">
      <w:pPr>
        <w:spacing w:line="400" w:lineRule="exact"/>
        <w:ind w:firstLine="420" w:firstLineChars="200"/>
        <w:rPr>
          <w:rFonts w:hint="default" w:eastAsia="宋体"/>
          <w:color w:val="auto"/>
          <w:szCs w:val="21"/>
          <w:lang w:val="en-US" w:eastAsia="zh-CN"/>
        </w:rPr>
      </w:pPr>
      <w:r>
        <w:rPr>
          <w:rFonts w:hint="eastAsia"/>
          <w:color w:val="auto"/>
          <w:szCs w:val="21"/>
          <w:lang w:val="en-US" w:eastAsia="zh-CN"/>
        </w:rPr>
        <w:t>3.2本项目允许下属分公司(分支机构) 投标。如下属分公司(分支机构)投标的须提供总公司有关文件或制度等能证明总公司授权其独立开展业务或提供总公司出具的授权其参与本项目投标的授权文件。</w:t>
      </w:r>
    </w:p>
    <w:p w14:paraId="6451AC8B">
      <w:pPr>
        <w:numPr>
          <w:ilvl w:val="0"/>
          <w:numId w:val="0"/>
        </w:numPr>
        <w:spacing w:line="400" w:lineRule="exact"/>
        <w:ind w:firstLine="420" w:firstLineChars="200"/>
        <w:rPr>
          <w:rFonts w:hint="eastAsia"/>
          <w:color w:val="000000"/>
          <w:szCs w:val="21"/>
        </w:rPr>
      </w:pPr>
      <w:r>
        <w:rPr>
          <w:rFonts w:hint="eastAsia" w:ascii="Times New Roman" w:hAnsi="Times New Roman" w:eastAsia="宋体" w:cs="Times New Roman"/>
          <w:color w:val="000000"/>
          <w:kern w:val="2"/>
          <w:sz w:val="21"/>
          <w:szCs w:val="21"/>
          <w:lang w:val="en-US" w:eastAsia="zh-CN" w:bidi="ar-SA"/>
        </w:rPr>
        <w:t>4．</w:t>
      </w:r>
      <w:r>
        <w:rPr>
          <w:color w:val="000000"/>
          <w:szCs w:val="21"/>
        </w:rPr>
        <w:t>本项目的特定条件：</w:t>
      </w:r>
      <w:r>
        <w:rPr>
          <w:rFonts w:hint="eastAsia"/>
          <w:color w:val="000000"/>
          <w:szCs w:val="21"/>
        </w:rPr>
        <w:t>无。</w:t>
      </w:r>
    </w:p>
    <w:p w14:paraId="18A2DA79">
      <w:pPr>
        <w:spacing w:before="80" w:after="80" w:line="400" w:lineRule="exact"/>
        <w:ind w:firstLine="422" w:firstLineChars="200"/>
        <w:rPr>
          <w:b/>
          <w:color w:val="000000"/>
          <w:szCs w:val="21"/>
        </w:rPr>
      </w:pPr>
      <w:bookmarkStart w:id="14" w:name="_Toc35393800"/>
      <w:bookmarkStart w:id="15" w:name="_Toc35393631"/>
      <w:r>
        <w:rPr>
          <w:b/>
          <w:color w:val="000000"/>
          <w:szCs w:val="21"/>
        </w:rPr>
        <w:t>三、获取</w:t>
      </w:r>
      <w:r>
        <w:rPr>
          <w:rFonts w:hint="eastAsia"/>
          <w:b/>
          <w:color w:val="000000"/>
          <w:szCs w:val="21"/>
          <w:lang w:eastAsia="zh-CN"/>
        </w:rPr>
        <w:t>招标</w:t>
      </w:r>
      <w:r>
        <w:rPr>
          <w:rFonts w:ascii="Times New Roman" w:hAnsi="Times New Roman" w:eastAsia="宋体" w:cs="Times New Roman"/>
          <w:b/>
          <w:color w:val="000000"/>
          <w:szCs w:val="21"/>
        </w:rPr>
        <w:t>文件</w:t>
      </w:r>
      <w:bookmarkEnd w:id="12"/>
      <w:bookmarkEnd w:id="13"/>
      <w:bookmarkEnd w:id="14"/>
      <w:bookmarkEnd w:id="15"/>
    </w:p>
    <w:p w14:paraId="40ECAEE1">
      <w:pPr>
        <w:pStyle w:val="27"/>
        <w:snapToGrid w:val="0"/>
        <w:spacing w:line="400" w:lineRule="exact"/>
        <w:ind w:firstLine="420" w:firstLineChars="200"/>
        <w:rPr>
          <w:rFonts w:ascii="Times New Roman" w:hAnsi="Times New Roman"/>
          <w:color w:val="auto"/>
          <w:sz w:val="21"/>
          <w:szCs w:val="21"/>
          <w:highlight w:val="none"/>
        </w:rPr>
      </w:pPr>
      <w:bookmarkStart w:id="16" w:name="_Toc28359092"/>
      <w:bookmarkStart w:id="17" w:name="_Toc28359015"/>
      <w:bookmarkStart w:id="18" w:name="_Toc35393632"/>
      <w:bookmarkStart w:id="19" w:name="_Toc35393801"/>
      <w:r>
        <w:rPr>
          <w:rFonts w:ascii="Times New Roman" w:hAnsi="Times New Roman"/>
          <w:color w:val="auto"/>
          <w:sz w:val="21"/>
          <w:szCs w:val="21"/>
          <w:highlight w:val="none"/>
        </w:rPr>
        <w:t>时间：</w:t>
      </w:r>
      <w:r>
        <w:rPr>
          <w:rFonts w:hint="eastAsia" w:ascii="Times New Roman" w:hAnsi="Times New Roman"/>
          <w:color w:val="auto"/>
          <w:sz w:val="21"/>
          <w:szCs w:val="21"/>
          <w:highlight w:val="yellow"/>
          <w:lang w:val="en-US" w:eastAsia="zh-CN"/>
        </w:rPr>
        <w:t>2026</w:t>
      </w:r>
      <w:r>
        <w:rPr>
          <w:rFonts w:ascii="Times New Roman" w:hAnsi="Times New Roman"/>
          <w:color w:val="auto"/>
          <w:sz w:val="21"/>
          <w:szCs w:val="21"/>
          <w:highlight w:val="yellow"/>
        </w:rPr>
        <w:t>年</w:t>
      </w:r>
      <w:r>
        <w:rPr>
          <w:rFonts w:hint="eastAsia" w:ascii="Times New Roman" w:hAnsi="Times New Roman"/>
          <w:color w:val="auto"/>
          <w:sz w:val="21"/>
          <w:szCs w:val="21"/>
          <w:highlight w:val="yellow"/>
          <w:lang w:val="en-US" w:eastAsia="zh-CN"/>
        </w:rPr>
        <w:t>3</w:t>
      </w:r>
      <w:r>
        <w:rPr>
          <w:rFonts w:ascii="Times New Roman" w:hAnsi="Times New Roman"/>
          <w:color w:val="auto"/>
          <w:sz w:val="21"/>
          <w:szCs w:val="21"/>
          <w:highlight w:val="yellow"/>
        </w:rPr>
        <w:t>月</w:t>
      </w:r>
      <w:r>
        <w:rPr>
          <w:rFonts w:hint="eastAsia" w:ascii="Times New Roman" w:hAnsi="Times New Roman"/>
          <w:color w:val="auto"/>
          <w:sz w:val="21"/>
          <w:szCs w:val="21"/>
          <w:highlight w:val="yellow"/>
          <w:lang w:val="en-US" w:eastAsia="zh-CN"/>
        </w:rPr>
        <w:t>19</w:t>
      </w:r>
      <w:r>
        <w:rPr>
          <w:rFonts w:ascii="Times New Roman" w:hAnsi="Times New Roman"/>
          <w:color w:val="auto"/>
          <w:sz w:val="21"/>
          <w:szCs w:val="21"/>
          <w:highlight w:val="yellow"/>
        </w:rPr>
        <w:t>日</w:t>
      </w:r>
      <w:r>
        <w:rPr>
          <w:rFonts w:ascii="Times New Roman" w:hAnsi="Times New Roman"/>
          <w:color w:val="auto"/>
          <w:sz w:val="21"/>
          <w:szCs w:val="21"/>
          <w:highlight w:val="none"/>
        </w:rPr>
        <w:t>至</w:t>
      </w:r>
      <w:r>
        <w:rPr>
          <w:rFonts w:hint="eastAsia" w:ascii="Times New Roman" w:hAnsi="Times New Roman"/>
          <w:color w:val="auto"/>
          <w:sz w:val="21"/>
          <w:szCs w:val="21"/>
          <w:highlight w:val="none"/>
          <w:lang w:eastAsia="zh-CN"/>
        </w:rPr>
        <w:t>投标</w:t>
      </w:r>
      <w:r>
        <w:rPr>
          <w:rFonts w:ascii="Times New Roman" w:hAnsi="Times New Roman"/>
          <w:color w:val="auto"/>
          <w:sz w:val="21"/>
          <w:szCs w:val="21"/>
          <w:highlight w:val="none"/>
        </w:rPr>
        <w:t>文件提交截止时间前止；</w:t>
      </w:r>
    </w:p>
    <w:p w14:paraId="5778FF8E">
      <w:pPr>
        <w:pStyle w:val="27"/>
        <w:snapToGrid w:val="0"/>
        <w:spacing w:line="40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地点：</w:t>
      </w:r>
      <w:r>
        <w:rPr>
          <w:rFonts w:ascii="Times New Roman" w:hAnsi="Times New Roman"/>
          <w:color w:val="auto"/>
          <w:sz w:val="21"/>
          <w:szCs w:val="21"/>
          <w:highlight w:val="none"/>
          <w:u w:val="single"/>
        </w:rPr>
        <w:t>“</w:t>
      </w:r>
      <w:r>
        <w:rPr>
          <w:rFonts w:hint="eastAsia" w:ascii="Times New Roman" w:hAnsi="Times New Roman"/>
          <w:color w:val="auto"/>
          <w:sz w:val="21"/>
          <w:szCs w:val="21"/>
          <w:highlight w:val="none"/>
          <w:u w:val="single"/>
          <w:lang w:eastAsia="zh-CN"/>
        </w:rPr>
        <w:t>广西政府采购云平台</w:t>
      </w:r>
      <w:r>
        <w:rPr>
          <w:rFonts w:ascii="Times New Roman" w:hAnsi="Times New Roman"/>
          <w:color w:val="auto"/>
          <w:sz w:val="21"/>
          <w:szCs w:val="21"/>
          <w:highlight w:val="none"/>
          <w:u w:val="single"/>
        </w:rPr>
        <w:t>”（</w:t>
      </w:r>
      <w:r>
        <w:rPr>
          <w:rFonts w:hint="eastAsia" w:ascii="Times New Roman" w:hAnsi="Times New Roman"/>
          <w:color w:val="auto"/>
          <w:sz w:val="21"/>
          <w:szCs w:val="21"/>
          <w:highlight w:val="none"/>
          <w:u w:val="single"/>
        </w:rPr>
        <w:t>https://www.gcy.zfcg.gxzf.gov.cn/</w:t>
      </w:r>
      <w:r>
        <w:rPr>
          <w:rFonts w:ascii="Times New Roman" w:hAnsi="Times New Roman"/>
          <w:color w:val="auto"/>
          <w:sz w:val="21"/>
          <w:szCs w:val="21"/>
          <w:highlight w:val="none"/>
          <w:u w:val="single"/>
        </w:rPr>
        <w:t>）</w:t>
      </w:r>
      <w:r>
        <w:rPr>
          <w:rFonts w:ascii="Times New Roman" w:hAnsi="Times New Roman"/>
          <w:color w:val="auto"/>
          <w:sz w:val="21"/>
          <w:szCs w:val="21"/>
          <w:highlight w:val="none"/>
        </w:rPr>
        <w:t>；</w:t>
      </w:r>
    </w:p>
    <w:p w14:paraId="4AC315BA">
      <w:pPr>
        <w:pStyle w:val="3"/>
        <w:spacing w:before="0" w:after="0" w:line="400" w:lineRule="exact"/>
        <w:ind w:firstLine="420" w:firstLineChars="200"/>
        <w:rPr>
          <w:rFonts w:ascii="Times New Roman" w:hAnsi="Times New Roman"/>
          <w:b w:val="0"/>
          <w:bCs w:val="0"/>
          <w:color w:val="auto"/>
          <w:kern w:val="0"/>
          <w:sz w:val="21"/>
          <w:szCs w:val="21"/>
          <w:highlight w:val="none"/>
          <w:lang w:bidi="ar"/>
        </w:rPr>
      </w:pPr>
      <w:r>
        <w:rPr>
          <w:rFonts w:ascii="Times New Roman" w:hAnsi="Times New Roman"/>
          <w:b w:val="0"/>
          <w:bCs w:val="0"/>
          <w:color w:val="auto"/>
          <w:kern w:val="0"/>
          <w:sz w:val="21"/>
          <w:szCs w:val="21"/>
          <w:highlight w:val="none"/>
          <w:lang w:bidi="ar"/>
        </w:rPr>
        <w:t>方式：</w:t>
      </w:r>
      <w:r>
        <w:rPr>
          <w:rFonts w:ascii="Times New Roman" w:hAnsi="Times New Roman"/>
          <w:b w:val="0"/>
          <w:bCs w:val="0"/>
          <w:color w:val="auto"/>
          <w:kern w:val="0"/>
          <w:sz w:val="21"/>
          <w:szCs w:val="21"/>
          <w:highlight w:val="none"/>
          <w:u w:val="single"/>
          <w:lang w:bidi="ar"/>
        </w:rPr>
        <w:t>在获取时间期限内登录“</w:t>
      </w:r>
      <w:r>
        <w:rPr>
          <w:rFonts w:hint="eastAsia" w:ascii="Times New Roman" w:hAnsi="Times New Roman"/>
          <w:b w:val="0"/>
          <w:bCs w:val="0"/>
          <w:color w:val="auto"/>
          <w:kern w:val="0"/>
          <w:sz w:val="21"/>
          <w:szCs w:val="21"/>
          <w:highlight w:val="none"/>
          <w:u w:val="single"/>
          <w:lang w:eastAsia="zh-CN" w:bidi="ar"/>
        </w:rPr>
        <w:t>广西政府采购云平台</w:t>
      </w:r>
      <w:r>
        <w:rPr>
          <w:rFonts w:ascii="Times New Roman" w:hAnsi="Times New Roman"/>
          <w:b w:val="0"/>
          <w:bCs w:val="0"/>
          <w:color w:val="auto"/>
          <w:kern w:val="0"/>
          <w:sz w:val="21"/>
          <w:szCs w:val="21"/>
          <w:highlight w:val="none"/>
          <w:u w:val="single"/>
          <w:lang w:bidi="ar"/>
        </w:rPr>
        <w:t>”（</w:t>
      </w:r>
      <w:r>
        <w:rPr>
          <w:rFonts w:hint="eastAsia" w:ascii="Times New Roman" w:hAnsi="Times New Roman"/>
          <w:b w:val="0"/>
          <w:bCs w:val="0"/>
          <w:color w:val="auto"/>
          <w:kern w:val="0"/>
          <w:sz w:val="21"/>
          <w:szCs w:val="21"/>
          <w:highlight w:val="none"/>
          <w:u w:val="single"/>
          <w:lang w:bidi="ar"/>
        </w:rPr>
        <w:t>https://www.gcy.zfcg.gxzf.gov.cn/</w:t>
      </w:r>
      <w:r>
        <w:rPr>
          <w:rFonts w:ascii="Times New Roman" w:hAnsi="Times New Roman"/>
          <w:b w:val="0"/>
          <w:bCs w:val="0"/>
          <w:color w:val="auto"/>
          <w:kern w:val="0"/>
          <w:sz w:val="21"/>
          <w:szCs w:val="21"/>
          <w:highlight w:val="none"/>
          <w:u w:val="single"/>
          <w:lang w:bidi="ar"/>
        </w:rPr>
        <w:t>）下载</w:t>
      </w:r>
      <w:r>
        <w:rPr>
          <w:rFonts w:hint="eastAsia" w:ascii="Times New Roman" w:hAnsi="Times New Roman"/>
          <w:b w:val="0"/>
          <w:bCs w:val="0"/>
          <w:color w:val="auto"/>
          <w:kern w:val="0"/>
          <w:sz w:val="21"/>
          <w:szCs w:val="21"/>
          <w:highlight w:val="none"/>
          <w:u w:val="single"/>
          <w:lang w:eastAsia="zh-CN" w:bidi="ar"/>
        </w:rPr>
        <w:t>招标</w:t>
      </w:r>
      <w:r>
        <w:rPr>
          <w:rFonts w:ascii="Times New Roman" w:hAnsi="Times New Roman" w:eastAsia="宋体" w:cs="Times New Roman"/>
          <w:b w:val="0"/>
          <w:bCs w:val="0"/>
          <w:color w:val="auto"/>
          <w:kern w:val="0"/>
          <w:sz w:val="21"/>
          <w:szCs w:val="21"/>
          <w:highlight w:val="none"/>
          <w:u w:val="single"/>
          <w:lang w:bidi="ar"/>
        </w:rPr>
        <w:t>文</w:t>
      </w:r>
      <w:r>
        <w:rPr>
          <w:rFonts w:ascii="Times New Roman" w:hAnsi="Times New Roman"/>
          <w:b w:val="0"/>
          <w:bCs w:val="0"/>
          <w:color w:val="auto"/>
          <w:kern w:val="0"/>
          <w:sz w:val="21"/>
          <w:szCs w:val="21"/>
          <w:highlight w:val="none"/>
          <w:u w:val="single"/>
          <w:lang w:bidi="ar"/>
        </w:rPr>
        <w:t>件</w:t>
      </w:r>
      <w:r>
        <w:rPr>
          <w:rFonts w:ascii="Times New Roman" w:hAnsi="Times New Roman"/>
          <w:b w:val="0"/>
          <w:bCs w:val="0"/>
          <w:color w:val="auto"/>
          <w:kern w:val="0"/>
          <w:sz w:val="21"/>
          <w:szCs w:val="21"/>
          <w:highlight w:val="none"/>
          <w:lang w:bidi="ar"/>
        </w:rPr>
        <w:t>。</w:t>
      </w:r>
    </w:p>
    <w:p w14:paraId="51BA70DB">
      <w:pPr>
        <w:pStyle w:val="3"/>
        <w:spacing w:before="80" w:after="80" w:line="400" w:lineRule="exact"/>
        <w:ind w:firstLine="422" w:firstLineChars="200"/>
        <w:rPr>
          <w:rFonts w:hint="default" w:ascii="Times New Roman" w:hAnsi="Times New Roman" w:eastAsia="宋体"/>
          <w:bCs w:val="0"/>
          <w:color w:val="auto"/>
          <w:sz w:val="21"/>
          <w:szCs w:val="21"/>
          <w:highlight w:val="none"/>
          <w:lang w:val="en-US" w:eastAsia="zh-CN"/>
        </w:rPr>
      </w:pPr>
      <w:r>
        <w:rPr>
          <w:rFonts w:ascii="Times New Roman" w:hAnsi="Times New Roman"/>
          <w:bCs w:val="0"/>
          <w:color w:val="auto"/>
          <w:sz w:val="21"/>
          <w:szCs w:val="21"/>
          <w:highlight w:val="none"/>
        </w:rPr>
        <w:t>四、</w:t>
      </w:r>
      <w:bookmarkEnd w:id="16"/>
      <w:bookmarkEnd w:id="17"/>
      <w:bookmarkEnd w:id="18"/>
      <w:bookmarkEnd w:id="19"/>
      <w:r>
        <w:rPr>
          <w:rFonts w:hint="eastAsia" w:ascii="Times New Roman" w:hAnsi="Times New Roman"/>
          <w:bCs w:val="0"/>
          <w:color w:val="auto"/>
          <w:sz w:val="21"/>
          <w:szCs w:val="21"/>
          <w:highlight w:val="none"/>
          <w:lang w:eastAsia="zh-CN"/>
        </w:rPr>
        <w:t>提交投标文件截止时间、开标时间及地点</w:t>
      </w:r>
    </w:p>
    <w:p w14:paraId="1C6148ED">
      <w:pPr>
        <w:spacing w:line="400" w:lineRule="exact"/>
        <w:ind w:firstLine="420" w:firstLineChars="200"/>
        <w:rPr>
          <w:bCs/>
          <w:color w:val="auto"/>
          <w:szCs w:val="21"/>
          <w:highlight w:val="none"/>
        </w:rPr>
      </w:pPr>
      <w:r>
        <w:rPr>
          <w:rFonts w:hint="eastAsia" w:ascii="Times New Roman" w:hAnsi="Times New Roman"/>
          <w:bCs w:val="0"/>
          <w:color w:val="auto"/>
          <w:sz w:val="21"/>
          <w:szCs w:val="21"/>
          <w:highlight w:val="none"/>
          <w:lang w:eastAsia="zh-CN"/>
        </w:rPr>
        <w:t>提交投标文件截止时间、开标时间：</w:t>
      </w:r>
      <w:r>
        <w:rPr>
          <w:rFonts w:hint="eastAsia"/>
          <w:color w:val="auto"/>
          <w:szCs w:val="21"/>
          <w:highlight w:val="yellow"/>
          <w:u w:val="single"/>
          <w:lang w:val="en-US" w:eastAsia="zh-CN"/>
        </w:rPr>
        <w:t>2026</w:t>
      </w:r>
      <w:r>
        <w:rPr>
          <w:bCs/>
          <w:color w:val="auto"/>
          <w:szCs w:val="21"/>
          <w:highlight w:val="yellow"/>
          <w:u w:val="single"/>
        </w:rPr>
        <w:t>年</w:t>
      </w:r>
      <w:r>
        <w:rPr>
          <w:rFonts w:hint="eastAsia"/>
          <w:bCs/>
          <w:color w:val="auto"/>
          <w:szCs w:val="21"/>
          <w:highlight w:val="yellow"/>
          <w:u w:val="single"/>
          <w:lang w:val="en-US" w:eastAsia="zh-CN"/>
        </w:rPr>
        <w:t>4</w:t>
      </w:r>
      <w:r>
        <w:rPr>
          <w:bCs/>
          <w:color w:val="auto"/>
          <w:szCs w:val="21"/>
          <w:highlight w:val="yellow"/>
          <w:u w:val="single"/>
        </w:rPr>
        <w:t>月</w:t>
      </w:r>
      <w:r>
        <w:rPr>
          <w:rFonts w:hint="eastAsia"/>
          <w:bCs/>
          <w:color w:val="auto"/>
          <w:szCs w:val="21"/>
          <w:highlight w:val="yellow"/>
          <w:u w:val="single"/>
          <w:lang w:val="en-US" w:eastAsia="zh-CN"/>
        </w:rPr>
        <w:t>9</w:t>
      </w:r>
      <w:r>
        <w:rPr>
          <w:bCs/>
          <w:color w:val="auto"/>
          <w:szCs w:val="21"/>
          <w:highlight w:val="yellow"/>
          <w:u w:val="single"/>
        </w:rPr>
        <w:t>日</w:t>
      </w:r>
      <w:r>
        <w:rPr>
          <w:rFonts w:hint="eastAsia"/>
          <w:bCs/>
          <w:color w:val="auto"/>
          <w:szCs w:val="21"/>
          <w:highlight w:val="yellow"/>
          <w:u w:val="single"/>
          <w:lang w:val="en-US" w:eastAsia="zh-CN"/>
        </w:rPr>
        <w:t>9</w:t>
      </w:r>
      <w:r>
        <w:rPr>
          <w:bCs/>
          <w:color w:val="auto"/>
          <w:szCs w:val="21"/>
          <w:highlight w:val="yellow"/>
          <w:u w:val="single"/>
        </w:rPr>
        <w:t>时</w:t>
      </w:r>
      <w:r>
        <w:rPr>
          <w:rFonts w:hint="eastAsia"/>
          <w:bCs/>
          <w:color w:val="auto"/>
          <w:szCs w:val="21"/>
          <w:highlight w:val="yellow"/>
          <w:u w:val="single"/>
          <w:lang w:val="en-US" w:eastAsia="zh-CN"/>
        </w:rPr>
        <w:t>00</w:t>
      </w:r>
      <w:r>
        <w:rPr>
          <w:bCs/>
          <w:color w:val="auto"/>
          <w:szCs w:val="21"/>
          <w:highlight w:val="yellow"/>
          <w:u w:val="single"/>
        </w:rPr>
        <w:t>分</w:t>
      </w:r>
      <w:r>
        <w:rPr>
          <w:bCs/>
          <w:color w:val="auto"/>
          <w:szCs w:val="21"/>
          <w:highlight w:val="none"/>
        </w:rPr>
        <w:t>（北京时间）</w:t>
      </w:r>
    </w:p>
    <w:p w14:paraId="4E992F57">
      <w:pPr>
        <w:spacing w:line="400" w:lineRule="exact"/>
        <w:ind w:firstLine="420" w:firstLineChars="200"/>
        <w:jc w:val="left"/>
        <w:rPr>
          <w:rStyle w:val="75"/>
          <w:rFonts w:hint="eastAsia" w:eastAsia="宋体"/>
          <w:color w:val="auto"/>
          <w:szCs w:val="21"/>
          <w:highlight w:val="none"/>
          <w:lang w:eastAsia="zh-CN"/>
        </w:rPr>
      </w:pPr>
      <w:r>
        <w:rPr>
          <w:rFonts w:hint="eastAsia"/>
          <w:color w:val="auto"/>
          <w:szCs w:val="21"/>
          <w:highlight w:val="none"/>
          <w:lang w:eastAsia="zh-CN"/>
        </w:rPr>
        <w:t>开标</w:t>
      </w:r>
      <w:r>
        <w:rPr>
          <w:color w:val="auto"/>
          <w:szCs w:val="21"/>
          <w:highlight w:val="none"/>
        </w:rPr>
        <w:t>地点：</w:t>
      </w:r>
      <w:r>
        <w:rPr>
          <w:rStyle w:val="75"/>
          <w:rFonts w:hint="eastAsia"/>
          <w:color w:val="auto"/>
          <w:szCs w:val="21"/>
          <w:highlight w:val="none"/>
          <w:lang w:eastAsia="zh-CN"/>
        </w:rPr>
        <w:t>广西政府采购云平台</w:t>
      </w:r>
      <w:r>
        <w:rPr>
          <w:rStyle w:val="75"/>
          <w:rFonts w:hint="eastAsia"/>
          <w:color w:val="auto"/>
          <w:szCs w:val="21"/>
          <w:highlight w:val="none"/>
        </w:rPr>
        <w:t>（https://www.gcy.zfcg.gxzf.gov.cn/）</w:t>
      </w:r>
      <w:r>
        <w:rPr>
          <w:rStyle w:val="75"/>
          <w:rFonts w:hint="eastAsia"/>
          <w:color w:val="auto"/>
          <w:szCs w:val="21"/>
          <w:highlight w:val="none"/>
          <w:lang w:eastAsia="zh-CN"/>
        </w:rPr>
        <w:t>在线开启</w:t>
      </w:r>
    </w:p>
    <w:p w14:paraId="750A79C2">
      <w:pPr>
        <w:spacing w:line="400" w:lineRule="exact"/>
        <w:ind w:firstLine="422" w:firstLineChars="200"/>
        <w:rPr>
          <w:rFonts w:hint="eastAsia" w:ascii="Times New Roman" w:hAnsi="Times New Roman" w:eastAsia="宋体" w:cs="Times New Roman"/>
          <w:b/>
          <w:bCs w:val="0"/>
          <w:color w:val="auto"/>
          <w:kern w:val="2"/>
          <w:sz w:val="21"/>
          <w:szCs w:val="21"/>
          <w:highlight w:val="none"/>
          <w:lang w:val="en-US" w:eastAsia="zh-CN" w:bidi="ar-SA"/>
        </w:rPr>
      </w:pPr>
      <w:bookmarkStart w:id="20" w:name="_Toc35393802"/>
      <w:bookmarkStart w:id="21" w:name="_Toc28359093"/>
      <w:bookmarkStart w:id="22" w:name="_Toc28359016"/>
      <w:bookmarkStart w:id="23" w:name="_Toc35393633"/>
      <w:r>
        <w:rPr>
          <w:rFonts w:hint="eastAsia" w:ascii="Times New Roman" w:hAnsi="Times New Roman" w:eastAsia="宋体" w:cs="Times New Roman"/>
          <w:b/>
          <w:bCs w:val="0"/>
          <w:color w:val="auto"/>
          <w:kern w:val="2"/>
          <w:sz w:val="21"/>
          <w:szCs w:val="21"/>
          <w:highlight w:val="none"/>
          <w:lang w:val="en-US" w:eastAsia="zh-CN" w:bidi="ar-SA"/>
        </w:rPr>
        <w:t>五、</w:t>
      </w:r>
      <w:bookmarkEnd w:id="20"/>
      <w:bookmarkEnd w:id="21"/>
      <w:bookmarkEnd w:id="22"/>
      <w:bookmarkEnd w:id="23"/>
      <w:bookmarkStart w:id="24" w:name="_Toc28359017"/>
      <w:bookmarkStart w:id="25" w:name="_Toc35393803"/>
      <w:bookmarkStart w:id="26" w:name="_Toc35393634"/>
      <w:bookmarkStart w:id="27" w:name="_Toc28359094"/>
      <w:r>
        <w:rPr>
          <w:rFonts w:hint="eastAsia" w:ascii="Times New Roman" w:hAnsi="Times New Roman" w:eastAsia="宋体" w:cs="Times New Roman"/>
          <w:b/>
          <w:bCs w:val="0"/>
          <w:color w:val="auto"/>
          <w:kern w:val="2"/>
          <w:sz w:val="21"/>
          <w:szCs w:val="21"/>
          <w:highlight w:val="none"/>
          <w:lang w:val="en-US" w:eastAsia="zh-CN" w:bidi="ar-SA"/>
        </w:rPr>
        <w:t>公告期限</w:t>
      </w:r>
      <w:bookmarkEnd w:id="24"/>
      <w:bookmarkEnd w:id="25"/>
      <w:bookmarkEnd w:id="26"/>
      <w:bookmarkEnd w:id="27"/>
    </w:p>
    <w:p w14:paraId="7FA27F42">
      <w:pPr>
        <w:spacing w:line="400" w:lineRule="exact"/>
        <w:ind w:firstLine="420" w:firstLineChars="200"/>
        <w:rPr>
          <w:color w:val="auto"/>
          <w:kern w:val="0"/>
          <w:szCs w:val="21"/>
          <w:highlight w:val="none"/>
        </w:rPr>
      </w:pPr>
      <w:r>
        <w:rPr>
          <w:color w:val="auto"/>
          <w:kern w:val="0"/>
          <w:szCs w:val="21"/>
          <w:highlight w:val="none"/>
        </w:rPr>
        <w:t>自本公告发布之日起</w:t>
      </w:r>
      <w:r>
        <w:rPr>
          <w:rFonts w:hint="eastAsia"/>
          <w:color w:val="auto"/>
          <w:kern w:val="0"/>
          <w:szCs w:val="21"/>
          <w:highlight w:val="none"/>
          <w:lang w:val="en-US" w:eastAsia="zh-CN"/>
        </w:rPr>
        <w:t>5</w:t>
      </w:r>
      <w:r>
        <w:rPr>
          <w:color w:val="auto"/>
          <w:kern w:val="0"/>
          <w:szCs w:val="21"/>
          <w:highlight w:val="none"/>
        </w:rPr>
        <w:t>个工作日。</w:t>
      </w:r>
    </w:p>
    <w:p w14:paraId="7C884C09">
      <w:pPr>
        <w:pStyle w:val="3"/>
        <w:spacing w:before="80" w:after="80" w:line="400" w:lineRule="exact"/>
        <w:ind w:firstLine="422" w:firstLineChars="200"/>
        <w:rPr>
          <w:rFonts w:ascii="Times New Roman" w:hAnsi="Times New Roman"/>
          <w:bCs w:val="0"/>
          <w:color w:val="auto"/>
          <w:sz w:val="21"/>
          <w:szCs w:val="21"/>
          <w:highlight w:val="none"/>
        </w:rPr>
      </w:pPr>
      <w:bookmarkStart w:id="28" w:name="_Toc35393804"/>
      <w:bookmarkStart w:id="29" w:name="_Toc35393635"/>
      <w:r>
        <w:rPr>
          <w:rFonts w:hint="eastAsia" w:ascii="Times New Roman" w:hAnsi="Times New Roman"/>
          <w:bCs w:val="0"/>
          <w:color w:val="auto"/>
          <w:sz w:val="21"/>
          <w:szCs w:val="21"/>
          <w:highlight w:val="none"/>
          <w:lang w:eastAsia="zh-CN"/>
        </w:rPr>
        <w:t>六</w:t>
      </w:r>
      <w:r>
        <w:rPr>
          <w:rFonts w:ascii="Times New Roman" w:hAnsi="Times New Roman"/>
          <w:bCs w:val="0"/>
          <w:color w:val="auto"/>
          <w:sz w:val="21"/>
          <w:szCs w:val="21"/>
          <w:highlight w:val="none"/>
        </w:rPr>
        <w:t>、其他补充事宜</w:t>
      </w:r>
      <w:bookmarkEnd w:id="28"/>
      <w:bookmarkEnd w:id="29"/>
    </w:p>
    <w:p w14:paraId="277A254B">
      <w:pPr>
        <w:spacing w:line="400" w:lineRule="exact"/>
        <w:ind w:firstLine="420" w:firstLineChars="200"/>
        <w:rPr>
          <w:color w:val="auto"/>
          <w:szCs w:val="21"/>
          <w:highlight w:val="none"/>
        </w:rPr>
      </w:pPr>
      <w:r>
        <w:rPr>
          <w:color w:val="auto"/>
          <w:kern w:val="0"/>
          <w:szCs w:val="21"/>
          <w:highlight w:val="none"/>
        </w:rPr>
        <w:t>1</w:t>
      </w:r>
      <w:r>
        <w:rPr>
          <w:color w:val="auto"/>
          <w:szCs w:val="21"/>
          <w:highlight w:val="none"/>
        </w:rPr>
        <w:t>．</w:t>
      </w:r>
      <w:r>
        <w:rPr>
          <w:rFonts w:hint="eastAsia"/>
          <w:color w:val="auto"/>
          <w:szCs w:val="21"/>
          <w:highlight w:val="none"/>
          <w:lang w:eastAsia="zh-CN"/>
        </w:rPr>
        <w:t>投标</w:t>
      </w:r>
      <w:r>
        <w:rPr>
          <w:color w:val="auto"/>
          <w:szCs w:val="21"/>
          <w:highlight w:val="none"/>
        </w:rPr>
        <w:t>保证金：本项目不</w:t>
      </w:r>
      <w:r>
        <w:rPr>
          <w:rFonts w:hint="eastAsia"/>
          <w:color w:val="auto"/>
          <w:szCs w:val="21"/>
          <w:highlight w:val="none"/>
          <w:lang w:eastAsia="zh-CN"/>
        </w:rPr>
        <w:t>收取投标</w:t>
      </w:r>
      <w:r>
        <w:rPr>
          <w:color w:val="auto"/>
          <w:szCs w:val="21"/>
          <w:highlight w:val="none"/>
        </w:rPr>
        <w:t>保证金。</w:t>
      </w:r>
    </w:p>
    <w:p w14:paraId="096B10BF">
      <w:pPr>
        <w:spacing w:line="400" w:lineRule="exact"/>
        <w:ind w:firstLine="420" w:firstLineChars="200"/>
        <w:rPr>
          <w:color w:val="auto"/>
          <w:highlight w:val="none"/>
        </w:rPr>
      </w:pPr>
      <w:r>
        <w:rPr>
          <w:color w:val="auto"/>
          <w:kern w:val="0"/>
          <w:szCs w:val="21"/>
          <w:highlight w:val="none"/>
        </w:rPr>
        <w:t>2</w:t>
      </w:r>
      <w:r>
        <w:rPr>
          <w:color w:val="auto"/>
          <w:szCs w:val="21"/>
          <w:highlight w:val="none"/>
        </w:rPr>
        <w:t>．</w:t>
      </w:r>
      <w:r>
        <w:rPr>
          <w:color w:val="auto"/>
          <w:kern w:val="0"/>
          <w:szCs w:val="21"/>
          <w:highlight w:val="none"/>
        </w:rPr>
        <w:t>网上查询地址：</w:t>
      </w:r>
      <w:r>
        <w:rPr>
          <w:rFonts w:hint="eastAsia"/>
          <w:color w:val="auto"/>
          <w:kern w:val="0"/>
          <w:szCs w:val="21"/>
          <w:highlight w:val="none"/>
          <w:lang w:eastAsia="zh-CN"/>
        </w:rPr>
        <w:t>中国政府采购网、</w:t>
      </w:r>
      <w:r>
        <w:rPr>
          <w:color w:val="auto"/>
          <w:szCs w:val="21"/>
          <w:highlight w:val="none"/>
        </w:rPr>
        <w:t>广西壮族自治区政府采购网、梧州市政府采购网、</w:t>
      </w:r>
      <w:r>
        <w:rPr>
          <w:rFonts w:hint="eastAsia" w:ascii="Times New Roman" w:hAnsi="Times New Roman" w:eastAsia="宋体" w:cs="Times New Roman"/>
          <w:color w:val="auto"/>
          <w:kern w:val="0"/>
          <w:sz w:val="21"/>
          <w:szCs w:val="21"/>
          <w:highlight w:val="none"/>
          <w:lang w:eastAsia="zh-CN"/>
        </w:rPr>
        <w:t>全国公共资源交易平台（广西▪蒙山）、</w:t>
      </w:r>
      <w:r>
        <w:rPr>
          <w:color w:val="auto"/>
          <w:szCs w:val="21"/>
          <w:highlight w:val="none"/>
        </w:rPr>
        <w:t>蒙山县人民政府门户网站。</w:t>
      </w:r>
    </w:p>
    <w:p w14:paraId="577AB660">
      <w:pPr>
        <w:pStyle w:val="43"/>
        <w:spacing w:before="0" w:after="0"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3．本项目需要落实的政府采购政策：</w:t>
      </w:r>
      <w:r>
        <w:rPr>
          <w:rFonts w:hint="default" w:ascii="Times New Roman" w:hAnsi="Times New Roman" w:eastAsia="宋体" w:cs="Times New Roman"/>
          <w:color w:val="auto"/>
          <w:szCs w:val="21"/>
          <w:highlight w:val="none"/>
        </w:rPr>
        <w:t>《政府采购促进中小企业发展管理办法》（财库﹝2020﹞46号）</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lang w:val="en-US" w:eastAsia="zh-CN"/>
        </w:rPr>
        <w:t>《广西壮族自治区财政厅关于进一步发挥政府采购政策功能促进企业发展的通知》</w:t>
      </w:r>
      <w:r>
        <w:rPr>
          <w:rFonts w:hint="eastAsia" w:ascii="Times New Roman" w:hAnsi="Times New Roman"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桂财采〔2022〕30号</w:t>
      </w:r>
      <w:r>
        <w:rPr>
          <w:rFonts w:hint="eastAsia" w:ascii="Times New Roman" w:hAnsi="Times New Roman"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 广西壮族自治区财政厅关于贯彻落实政府采购支持中小企业发展政策的通知》</w:t>
      </w:r>
      <w:r>
        <w:rPr>
          <w:rFonts w:hint="eastAsia" w:ascii="Times New Roman" w:hAnsi="Times New Roman"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桂财采〔2022〕31号</w:t>
      </w:r>
      <w:r>
        <w:rPr>
          <w:rFonts w:hint="eastAsia" w:ascii="Times New Roman" w:hAnsi="Times New Roman" w:cs="Times New Roman"/>
          <w:color w:val="auto"/>
          <w:szCs w:val="21"/>
          <w:highlight w:val="none"/>
          <w:lang w:val="en-US" w:eastAsia="zh-CN"/>
        </w:rPr>
        <w:t>）；</w:t>
      </w:r>
      <w:r>
        <w:rPr>
          <w:rFonts w:hint="default" w:ascii="Times New Roman" w:hAnsi="Times New Roman" w:eastAsia="宋体" w:cs="Times New Roman"/>
          <w:color w:val="auto"/>
          <w:szCs w:val="21"/>
          <w:highlight w:val="none"/>
        </w:rPr>
        <w:t>《关于政府采购支持监狱企业发展有关问题的通知》</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财库﹝2014﹞68号</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《关于促进残疾人就业政府采购政策的通知》</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财库〔2017〕141号</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《关于印发2020年广西优化营商环境百日攻坚行动方案的通知》（桂政办发〔2020〕59号）</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政府采购支持采用本国产品的政策</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强制采购节能产品；优先采购节能产品、环境标志产品</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评审时残疾人福利性单位、小型和微型企业产品的价格给予</w:t>
      </w:r>
      <w:r>
        <w:rPr>
          <w:rFonts w:hint="default" w:ascii="Times New Roman" w:hAnsi="Times New Roman" w:eastAsia="宋体" w:cs="Times New Roman"/>
          <w:color w:val="auto"/>
          <w:szCs w:val="21"/>
          <w:highlight w:val="none"/>
          <w:lang w:val="en-US" w:eastAsia="zh-CN"/>
        </w:rPr>
        <w:t>2</w:t>
      </w:r>
      <w:r>
        <w:rPr>
          <w:rFonts w:hint="default" w:ascii="Times New Roman" w:hAnsi="Times New Roman" w:eastAsia="宋体" w:cs="Times New Roman"/>
          <w:color w:val="auto"/>
          <w:szCs w:val="21"/>
          <w:highlight w:val="none"/>
        </w:rPr>
        <w:t>0%的扣除。监狱企业视同小型和微型企业，其产品在评审时给予相同的价格扣除；残疾人福利性单位属于小型、微型企业的，不重复享受政策。</w:t>
      </w:r>
    </w:p>
    <w:p w14:paraId="7D65B17F">
      <w:pPr>
        <w:snapToGrid w:val="0"/>
        <w:spacing w:line="400" w:lineRule="exact"/>
        <w:ind w:firstLine="420"/>
        <w:jc w:val="left"/>
        <w:rPr>
          <w:color w:val="auto"/>
          <w:szCs w:val="21"/>
          <w:highlight w:val="none"/>
        </w:rPr>
      </w:pPr>
      <w:bookmarkStart w:id="30" w:name="_Toc35393636"/>
      <w:bookmarkStart w:id="31" w:name="_Toc28359095"/>
      <w:bookmarkStart w:id="32" w:name="_Toc28359018"/>
      <w:bookmarkStart w:id="33" w:name="_Toc35393805"/>
      <w:r>
        <w:rPr>
          <w:rFonts w:hint="eastAsia"/>
          <w:color w:val="auto"/>
          <w:szCs w:val="21"/>
          <w:highlight w:val="none"/>
          <w:lang w:val="en-US" w:eastAsia="zh-CN"/>
        </w:rPr>
        <w:t>4</w:t>
      </w:r>
      <w:r>
        <w:rPr>
          <w:color w:val="auto"/>
          <w:szCs w:val="21"/>
          <w:highlight w:val="none"/>
        </w:rPr>
        <w:t>．单位负责人为同一人或者存在直接控股、管理关系的不同</w:t>
      </w:r>
      <w:r>
        <w:rPr>
          <w:rFonts w:hint="eastAsia"/>
          <w:color w:val="auto"/>
          <w:szCs w:val="21"/>
          <w:highlight w:val="none"/>
          <w:lang w:eastAsia="zh-CN"/>
        </w:rPr>
        <w:t>投标人</w:t>
      </w:r>
      <w:r>
        <w:rPr>
          <w:color w:val="auto"/>
          <w:szCs w:val="21"/>
          <w:highlight w:val="none"/>
        </w:rPr>
        <w:t>，不得参加同一合同项下的政府采购活动。为本项目提供过整体设计、规范编制或者项目管理、监理、检测等服务的</w:t>
      </w:r>
      <w:r>
        <w:rPr>
          <w:rFonts w:hint="eastAsia"/>
          <w:color w:val="auto"/>
          <w:szCs w:val="21"/>
          <w:highlight w:val="none"/>
          <w:lang w:eastAsia="zh-CN"/>
        </w:rPr>
        <w:t>投标人</w:t>
      </w:r>
      <w:r>
        <w:rPr>
          <w:color w:val="auto"/>
          <w:szCs w:val="21"/>
          <w:highlight w:val="none"/>
        </w:rPr>
        <w:t>，不得再参加本项目上述服务以外的其他采购活动。</w:t>
      </w:r>
    </w:p>
    <w:p w14:paraId="1C6EEC9B">
      <w:pPr>
        <w:spacing w:line="400" w:lineRule="exact"/>
        <w:ind w:firstLine="420" w:firstLineChars="200"/>
        <w:rPr>
          <w:b/>
          <w:color w:val="auto"/>
          <w:szCs w:val="21"/>
          <w:highlight w:val="none"/>
        </w:rPr>
      </w:pPr>
      <w:r>
        <w:rPr>
          <w:rFonts w:hint="eastAsia"/>
          <w:color w:val="auto"/>
          <w:szCs w:val="21"/>
          <w:highlight w:val="none"/>
          <w:lang w:val="en-US" w:eastAsia="zh-CN"/>
        </w:rPr>
        <w:t>5</w:t>
      </w:r>
      <w:r>
        <w:rPr>
          <w:color w:val="auto"/>
          <w:szCs w:val="21"/>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w:t>
      </w:r>
      <w:r>
        <w:rPr>
          <w:rFonts w:hint="eastAsia"/>
          <w:color w:val="auto"/>
          <w:szCs w:val="21"/>
          <w:highlight w:val="none"/>
          <w:lang w:eastAsia="zh-CN"/>
        </w:rPr>
        <w:t>投标人</w:t>
      </w:r>
      <w:r>
        <w:rPr>
          <w:color w:val="auto"/>
          <w:szCs w:val="21"/>
          <w:highlight w:val="none"/>
        </w:rPr>
        <w:t>，不得参与政府采购活动。</w:t>
      </w:r>
    </w:p>
    <w:p w14:paraId="04895C85">
      <w:pPr>
        <w:pStyle w:val="43"/>
        <w:numPr>
          <w:ilvl w:val="0"/>
          <w:numId w:val="0"/>
        </w:numPr>
        <w:spacing w:before="0" w:after="0" w:line="400" w:lineRule="exact"/>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6</w:t>
      </w:r>
      <w:r>
        <w:rPr>
          <w:rFonts w:ascii="Times New Roman" w:hAnsi="Times New Roman" w:eastAsia="宋体" w:cs="Times New Roman"/>
          <w:color w:val="auto"/>
          <w:kern w:val="2"/>
          <w:sz w:val="21"/>
          <w:szCs w:val="21"/>
          <w:highlight w:val="none"/>
          <w:lang w:val="en-US" w:eastAsia="zh-CN" w:bidi="ar-SA"/>
        </w:rPr>
        <w:t>．</w:t>
      </w:r>
      <w:r>
        <w:rPr>
          <w:rFonts w:hint="eastAsia" w:ascii="Times New Roman" w:hAnsi="Times New Roman" w:eastAsia="宋体" w:cs="Times New Roman"/>
          <w:color w:val="auto"/>
          <w:kern w:val="2"/>
          <w:sz w:val="21"/>
          <w:szCs w:val="21"/>
          <w:highlight w:val="none"/>
          <w:lang w:val="en-US" w:eastAsia="zh-CN" w:bidi="ar-SA"/>
        </w:rPr>
        <w:t>投标人投标注意事项：</w:t>
      </w:r>
    </w:p>
    <w:p w14:paraId="54E9558E">
      <w:pPr>
        <w:pStyle w:val="43"/>
        <w:numPr>
          <w:ilvl w:val="0"/>
          <w:numId w:val="0"/>
        </w:numPr>
        <w:spacing w:before="0" w:after="0" w:line="400" w:lineRule="exact"/>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本项目为全流程电子化采购项目，通过广西政府采购云平台(https://www.gcy.zfcg.gxzf.gov.cn/)实行在线电子投标，投标人应按照本项目招标文件和广西政府采购云平台的要求编制、加密后在投标截止时间前通过网络上传至广西政府采购云平台（加密的电子投标文件是指后缀名为“jmbs”的文件），投标人在广西政府采购云平台提交电子投标文件时，请填写参加远程开标活动经办人联系方式。投标人登录广西政府采购云平台，依次进入“服务中心-项目采购-操作流程-电子招投标-政府采购项目电子交易管理操作指南-供应商”查看电子投标具体操作流程。</w:t>
      </w:r>
    </w:p>
    <w:p w14:paraId="54E8EC12">
      <w:pPr>
        <w:pStyle w:val="43"/>
        <w:numPr>
          <w:ilvl w:val="0"/>
          <w:numId w:val="0"/>
        </w:numPr>
        <w:spacing w:before="0" w:after="0" w:line="400" w:lineRule="exact"/>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（2）未进行网上注册并办理数字证书</w:t>
      </w:r>
      <w:r>
        <w:rPr>
          <w:rFonts w:hint="eastAsia" w:ascii="Times New Roman" w:hAnsi="Times New Roman" w:cs="Times New Roman"/>
          <w:color w:val="auto"/>
          <w:kern w:val="2"/>
          <w:sz w:val="21"/>
          <w:szCs w:val="21"/>
          <w:highlight w:val="none"/>
          <w:lang w:val="en-US" w:eastAsia="zh-CN" w:bidi="ar-SA"/>
        </w:rPr>
        <w:t>（</w:t>
      </w:r>
      <w:r>
        <w:rPr>
          <w:rFonts w:hint="eastAsia" w:ascii="Times New Roman" w:hAnsi="Times New Roman" w:eastAsia="宋体" w:cs="Times New Roman"/>
          <w:color w:val="auto"/>
          <w:kern w:val="2"/>
          <w:sz w:val="21"/>
          <w:szCs w:val="21"/>
          <w:highlight w:val="none"/>
          <w:lang w:val="en-US" w:eastAsia="zh-CN" w:bidi="ar-SA"/>
        </w:rPr>
        <w:t>CA认证</w:t>
      </w:r>
      <w:r>
        <w:rPr>
          <w:rFonts w:hint="eastAsia" w:ascii="Times New Roman" w:hAnsi="Times New Roman" w:cs="Times New Roman"/>
          <w:color w:val="auto"/>
          <w:kern w:val="2"/>
          <w:sz w:val="21"/>
          <w:szCs w:val="21"/>
          <w:highlight w:val="none"/>
          <w:lang w:val="en-US" w:eastAsia="zh-CN" w:bidi="ar-SA"/>
        </w:rPr>
        <w:t>）</w:t>
      </w:r>
      <w:r>
        <w:rPr>
          <w:rFonts w:hint="eastAsia" w:ascii="Times New Roman" w:hAnsi="Times New Roman" w:eastAsia="宋体" w:cs="Times New Roman"/>
          <w:color w:val="auto"/>
          <w:kern w:val="2"/>
          <w:sz w:val="21"/>
          <w:szCs w:val="21"/>
          <w:highlight w:val="none"/>
          <w:lang w:val="en-US" w:eastAsia="zh-CN" w:bidi="ar-SA"/>
        </w:rPr>
        <w:t>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客服热线：95763）。</w:t>
      </w:r>
    </w:p>
    <w:p w14:paraId="0F315F18">
      <w:pPr>
        <w:pStyle w:val="43"/>
        <w:numPr>
          <w:ilvl w:val="0"/>
          <w:numId w:val="0"/>
        </w:numPr>
        <w:spacing w:before="0" w:after="0" w:line="400" w:lineRule="exact"/>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（3）CA证书在线解密：投标人投标时，需凭制作投标文件时用来加密的有效数字证书</w:t>
      </w:r>
      <w:r>
        <w:rPr>
          <w:rFonts w:hint="eastAsia" w:ascii="Times New Roman" w:hAnsi="Times New Roman" w:cs="Times New Roman"/>
          <w:color w:val="auto"/>
          <w:kern w:val="2"/>
          <w:sz w:val="21"/>
          <w:szCs w:val="21"/>
          <w:highlight w:val="none"/>
          <w:lang w:val="en-US" w:eastAsia="zh-CN" w:bidi="ar-SA"/>
        </w:rPr>
        <w:t>（</w:t>
      </w:r>
      <w:r>
        <w:rPr>
          <w:rFonts w:hint="eastAsia" w:ascii="Times New Roman" w:hAnsi="Times New Roman" w:eastAsia="宋体" w:cs="Times New Roman"/>
          <w:color w:val="auto"/>
          <w:kern w:val="2"/>
          <w:sz w:val="21"/>
          <w:szCs w:val="21"/>
          <w:highlight w:val="none"/>
          <w:lang w:val="en-US" w:eastAsia="zh-CN" w:bidi="ar-SA"/>
        </w:rPr>
        <w:t>CA认证</w:t>
      </w:r>
      <w:r>
        <w:rPr>
          <w:rFonts w:hint="eastAsia" w:ascii="Times New Roman" w:hAnsi="Times New Roman" w:cs="Times New Roman"/>
          <w:color w:val="auto"/>
          <w:kern w:val="2"/>
          <w:sz w:val="21"/>
          <w:szCs w:val="21"/>
          <w:highlight w:val="none"/>
          <w:lang w:val="en-US" w:eastAsia="zh-CN" w:bidi="ar-SA"/>
        </w:rPr>
        <w:t>）</w:t>
      </w:r>
      <w:r>
        <w:rPr>
          <w:rFonts w:hint="eastAsia" w:ascii="Times New Roman" w:hAnsi="Times New Roman" w:eastAsia="宋体" w:cs="Times New Roman"/>
          <w:color w:val="auto"/>
          <w:kern w:val="2"/>
          <w:sz w:val="21"/>
          <w:szCs w:val="21"/>
          <w:highlight w:val="none"/>
          <w:lang w:val="en-US" w:eastAsia="zh-CN" w:bidi="ar-SA"/>
        </w:rPr>
        <w:t>登录广西政府采购云平台电子开标大厅现场按规定时间对加密的投标文件进行解密，否则后果自负。</w:t>
      </w:r>
    </w:p>
    <w:p w14:paraId="73A6ADAE">
      <w:pPr>
        <w:pStyle w:val="43"/>
        <w:numPr>
          <w:ilvl w:val="0"/>
          <w:numId w:val="0"/>
        </w:numPr>
        <w:spacing w:before="0" w:after="0" w:line="400" w:lineRule="exact"/>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注：1）为确保网上操作合法、有效和安全，请投标人确保在电子投标过程中能够对相关数据电文进行加密和使用电子签章，妥善保管CA数字证书并使用有效的CA数字证书参与整个招标活动；</w:t>
      </w:r>
    </w:p>
    <w:p w14:paraId="1A029FA1">
      <w:pPr>
        <w:pStyle w:val="43"/>
        <w:numPr>
          <w:ilvl w:val="0"/>
          <w:numId w:val="1"/>
        </w:numPr>
        <w:spacing w:before="0" w:after="0" w:line="400" w:lineRule="exact"/>
        <w:ind w:firstLine="840" w:firstLineChars="4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投标人应当在投标截止时间前完成电子投标文件的上传、提交</w:t>
      </w:r>
      <w:r>
        <w:rPr>
          <w:rFonts w:hint="eastAsia" w:ascii="Times New Roman" w:hAnsi="Times New Roman" w:cs="Times New Roman"/>
          <w:color w:val="auto"/>
          <w:kern w:val="2"/>
          <w:sz w:val="21"/>
          <w:szCs w:val="21"/>
          <w:highlight w:val="none"/>
          <w:lang w:val="en-US" w:eastAsia="zh-CN" w:bidi="ar-SA"/>
        </w:rPr>
        <w:t>。</w:t>
      </w:r>
      <w:r>
        <w:rPr>
          <w:rFonts w:hint="eastAsia" w:ascii="Times New Roman" w:hAnsi="Times New Roman" w:eastAsia="宋体" w:cs="Times New Roman"/>
          <w:color w:val="auto"/>
          <w:kern w:val="2"/>
          <w:sz w:val="21"/>
          <w:szCs w:val="21"/>
          <w:highlight w:val="none"/>
          <w:lang w:val="en-US" w:eastAsia="zh-CN" w:bidi="ar-SA"/>
        </w:rPr>
        <w:t>投标截止时间前可以补充、修改或者撤回投标文件。补充或者修改投标文件的，应当先行撤回原投标文件，补充、修改后重新上传、提交</w:t>
      </w:r>
      <w:r>
        <w:rPr>
          <w:rFonts w:hint="eastAsia" w:ascii="Times New Roman" w:hAnsi="Times New Roman" w:cs="Times New Roman"/>
          <w:color w:val="auto"/>
          <w:kern w:val="2"/>
          <w:sz w:val="21"/>
          <w:szCs w:val="21"/>
          <w:highlight w:val="none"/>
          <w:lang w:val="en-US" w:eastAsia="zh-CN" w:bidi="ar-SA"/>
        </w:rPr>
        <w:t>。</w:t>
      </w:r>
      <w:r>
        <w:rPr>
          <w:rFonts w:hint="eastAsia" w:ascii="Times New Roman" w:hAnsi="Times New Roman" w:eastAsia="宋体" w:cs="Times New Roman"/>
          <w:color w:val="auto"/>
          <w:kern w:val="2"/>
          <w:sz w:val="21"/>
          <w:szCs w:val="21"/>
          <w:highlight w:val="none"/>
          <w:lang w:val="en-US" w:eastAsia="zh-CN" w:bidi="ar-SA"/>
        </w:rPr>
        <w:t>投标截止时间前未完成上传、提交的，视为撤回投标文件。投标截止时间以后上传递交的投标文件，广西政府采购云平台将予以拒收。</w:t>
      </w:r>
    </w:p>
    <w:p w14:paraId="2DC08B3E">
      <w:pPr>
        <w:pStyle w:val="43"/>
        <w:numPr>
          <w:ilvl w:val="0"/>
          <w:numId w:val="0"/>
        </w:numPr>
        <w:spacing w:before="0" w:after="0" w:line="400" w:lineRule="exact"/>
        <w:ind w:firstLine="420" w:firstLineChars="20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7．本项目采用远程异地评标，评标主会场：蒙山县公共资源交易中心（地址：蒙山县工业园区管委会四楼）；分会场：</w:t>
      </w:r>
      <w:r>
        <w:rPr>
          <w:rFonts w:hint="eastAsia" w:ascii="Times New Roman" w:hAnsi="Times New Roman" w:cs="Times New Roman"/>
          <w:color w:val="auto"/>
          <w:kern w:val="2"/>
          <w:sz w:val="21"/>
          <w:szCs w:val="21"/>
          <w:highlight w:val="none"/>
          <w:lang w:val="en-US" w:eastAsia="zh-CN" w:bidi="ar-SA"/>
        </w:rPr>
        <w:t>玉林</w:t>
      </w:r>
      <w:r>
        <w:rPr>
          <w:rFonts w:hint="eastAsia" w:ascii="Times New Roman" w:hAnsi="Times New Roman" w:eastAsia="宋体" w:cs="Times New Roman"/>
          <w:color w:val="auto"/>
          <w:kern w:val="2"/>
          <w:sz w:val="21"/>
          <w:szCs w:val="21"/>
          <w:highlight w:val="none"/>
          <w:lang w:val="en-US" w:eastAsia="zh-CN" w:bidi="ar-SA"/>
        </w:rPr>
        <w:t>市</w:t>
      </w:r>
      <w:r>
        <w:rPr>
          <w:rFonts w:hint="eastAsia" w:ascii="Times New Roman" w:hAnsi="Times New Roman" w:cs="Times New Roman"/>
          <w:color w:val="auto"/>
          <w:kern w:val="2"/>
          <w:sz w:val="21"/>
          <w:szCs w:val="21"/>
          <w:highlight w:val="none"/>
          <w:lang w:val="en-US" w:eastAsia="zh-CN" w:bidi="ar-SA"/>
        </w:rPr>
        <w:t>玉州区</w:t>
      </w:r>
      <w:r>
        <w:rPr>
          <w:rFonts w:hint="eastAsia" w:ascii="Times New Roman" w:hAnsi="Times New Roman" w:eastAsia="宋体" w:cs="Times New Roman"/>
          <w:color w:val="auto"/>
          <w:kern w:val="2"/>
          <w:sz w:val="21"/>
          <w:szCs w:val="21"/>
          <w:highlight w:val="none"/>
          <w:lang w:val="en-US" w:eastAsia="zh-CN" w:bidi="ar-SA"/>
        </w:rPr>
        <w:t>公共资源交易中心（地址：</w:t>
      </w:r>
      <w:r>
        <w:rPr>
          <w:rFonts w:hint="eastAsia" w:ascii="Times New Roman" w:hAnsi="Times New Roman" w:cs="Times New Roman"/>
          <w:color w:val="auto"/>
          <w:kern w:val="2"/>
          <w:sz w:val="21"/>
          <w:szCs w:val="21"/>
          <w:highlight w:val="none"/>
          <w:lang w:val="en-US" w:eastAsia="zh-CN" w:bidi="ar-SA"/>
        </w:rPr>
        <w:t>玉林</w:t>
      </w:r>
      <w:r>
        <w:rPr>
          <w:rFonts w:hint="eastAsia" w:ascii="Times New Roman" w:hAnsi="Times New Roman" w:eastAsia="宋体" w:cs="Times New Roman"/>
          <w:color w:val="auto"/>
          <w:kern w:val="2"/>
          <w:sz w:val="21"/>
          <w:szCs w:val="21"/>
          <w:highlight w:val="none"/>
          <w:lang w:val="en-US" w:eastAsia="zh-CN" w:bidi="ar-SA"/>
        </w:rPr>
        <w:t>市</w:t>
      </w:r>
      <w:r>
        <w:rPr>
          <w:rFonts w:hint="eastAsia" w:ascii="Times New Roman" w:hAnsi="Times New Roman" w:cs="Times New Roman"/>
          <w:color w:val="auto"/>
          <w:kern w:val="2"/>
          <w:sz w:val="21"/>
          <w:szCs w:val="21"/>
          <w:highlight w:val="none"/>
          <w:lang w:val="en-US" w:eastAsia="zh-CN" w:bidi="ar-SA"/>
        </w:rPr>
        <w:t>玉州区金港路388号</w:t>
      </w:r>
      <w:r>
        <w:rPr>
          <w:rFonts w:hint="eastAsia" w:ascii="Times New Roman" w:hAnsi="Times New Roman" w:eastAsia="宋体" w:cs="Times New Roman"/>
          <w:color w:val="auto"/>
          <w:kern w:val="2"/>
          <w:sz w:val="21"/>
          <w:szCs w:val="21"/>
          <w:highlight w:val="none"/>
          <w:lang w:val="en-US" w:eastAsia="zh-CN" w:bidi="ar-SA"/>
        </w:rPr>
        <w:t>）。</w:t>
      </w:r>
    </w:p>
    <w:p w14:paraId="4C75790D">
      <w:pPr>
        <w:pStyle w:val="43"/>
        <w:spacing w:before="80" w:after="80" w:line="400" w:lineRule="exact"/>
        <w:ind w:left="420" w:leftChars="200"/>
        <w:rPr>
          <w:rFonts w:ascii="Times New Roman" w:hAnsi="Times New Roman"/>
          <w:b/>
          <w:color w:val="auto"/>
          <w:szCs w:val="21"/>
          <w:highlight w:val="none"/>
        </w:rPr>
      </w:pPr>
      <w:r>
        <w:rPr>
          <w:rFonts w:hint="eastAsia" w:ascii="Times New Roman" w:hAnsi="Times New Roman"/>
          <w:b/>
          <w:color w:val="auto"/>
          <w:szCs w:val="21"/>
          <w:highlight w:val="none"/>
          <w:lang w:eastAsia="zh-CN"/>
        </w:rPr>
        <w:t>七</w:t>
      </w:r>
      <w:r>
        <w:rPr>
          <w:rFonts w:ascii="Times New Roman" w:hAnsi="Times New Roman"/>
          <w:b/>
          <w:color w:val="auto"/>
          <w:szCs w:val="21"/>
          <w:highlight w:val="none"/>
        </w:rPr>
        <w:t>、凡对本次采购提出询问，请按以下方式联系。</w:t>
      </w:r>
      <w:bookmarkEnd w:id="30"/>
      <w:bookmarkEnd w:id="31"/>
      <w:bookmarkEnd w:id="32"/>
      <w:bookmarkEnd w:id="33"/>
    </w:p>
    <w:p w14:paraId="114A5C6F">
      <w:pPr>
        <w:pStyle w:val="3"/>
        <w:spacing w:before="0" w:after="0" w:line="400" w:lineRule="exact"/>
        <w:ind w:firstLine="420" w:firstLineChars="200"/>
        <w:rPr>
          <w:rFonts w:ascii="Times New Roman" w:hAnsi="Times New Roman"/>
          <w:b w:val="0"/>
          <w:bCs w:val="0"/>
          <w:color w:val="auto"/>
          <w:sz w:val="21"/>
          <w:szCs w:val="21"/>
          <w:highlight w:val="none"/>
        </w:rPr>
      </w:pPr>
      <w:bookmarkStart w:id="34" w:name="_Toc28359019"/>
      <w:bookmarkStart w:id="35" w:name="_Toc35393806"/>
      <w:bookmarkStart w:id="36" w:name="_Toc28359096"/>
      <w:bookmarkStart w:id="37" w:name="_Toc35393637"/>
      <w:r>
        <w:rPr>
          <w:rFonts w:ascii="Times New Roman" w:hAnsi="Times New Roman"/>
          <w:b w:val="0"/>
          <w:bCs w:val="0"/>
          <w:color w:val="auto"/>
          <w:sz w:val="21"/>
          <w:szCs w:val="21"/>
          <w:highlight w:val="none"/>
        </w:rPr>
        <w:t>1．采购人信息</w:t>
      </w:r>
      <w:bookmarkEnd w:id="34"/>
      <w:bookmarkEnd w:id="35"/>
      <w:bookmarkEnd w:id="36"/>
      <w:bookmarkEnd w:id="37"/>
    </w:p>
    <w:p w14:paraId="22A9DF0A">
      <w:pPr>
        <w:pStyle w:val="3"/>
        <w:spacing w:before="0" w:after="0" w:line="400" w:lineRule="exact"/>
        <w:ind w:firstLine="420" w:firstLineChars="200"/>
        <w:rPr>
          <w:rFonts w:ascii="Times New Roman" w:hAnsi="Times New Roman"/>
          <w:b w:val="0"/>
          <w:bCs w:val="0"/>
          <w:color w:val="auto"/>
          <w:sz w:val="21"/>
          <w:szCs w:val="21"/>
          <w:highlight w:val="none"/>
        </w:rPr>
      </w:pPr>
      <w:bookmarkStart w:id="38" w:name="_Toc35393807"/>
      <w:bookmarkStart w:id="39" w:name="_Toc28359097"/>
      <w:bookmarkStart w:id="40" w:name="_Toc28359020"/>
      <w:bookmarkStart w:id="41" w:name="_Toc35393638"/>
      <w:r>
        <w:rPr>
          <w:rFonts w:ascii="Times New Roman" w:hAnsi="Times New Roman"/>
          <w:b w:val="0"/>
          <w:bCs w:val="0"/>
          <w:color w:val="auto"/>
          <w:sz w:val="21"/>
          <w:szCs w:val="21"/>
          <w:highlight w:val="none"/>
        </w:rPr>
        <w:t>名    称：</w:t>
      </w:r>
      <w:r>
        <w:rPr>
          <w:rFonts w:ascii="Times New Roman" w:hAnsi="Times New Roman"/>
          <w:b w:val="0"/>
          <w:bCs w:val="0"/>
          <w:color w:val="auto"/>
          <w:sz w:val="21"/>
          <w:szCs w:val="21"/>
          <w:highlight w:val="none"/>
          <w:u w:val="single"/>
        </w:rPr>
        <w:t>　</w:t>
      </w:r>
      <w:r>
        <w:rPr>
          <w:rFonts w:hint="eastAsia" w:ascii="Times New Roman" w:hAnsi="Times New Roman"/>
          <w:b w:val="0"/>
          <w:bCs w:val="0"/>
          <w:color w:val="auto"/>
          <w:sz w:val="21"/>
          <w:szCs w:val="21"/>
          <w:highlight w:val="none"/>
          <w:u w:val="single"/>
          <w:lang w:val="en-US" w:eastAsia="zh-CN"/>
        </w:rPr>
        <w:t xml:space="preserve"> </w:t>
      </w:r>
      <w:r>
        <w:rPr>
          <w:rFonts w:hint="eastAsia" w:ascii="Times New Roman" w:hAnsi="Times New Roman"/>
          <w:b w:val="0"/>
          <w:bCs w:val="0"/>
          <w:color w:val="auto"/>
          <w:kern w:val="0"/>
          <w:sz w:val="21"/>
          <w:szCs w:val="21"/>
          <w:highlight w:val="none"/>
          <w:u w:val="single"/>
          <w:lang w:eastAsia="zh-CN"/>
        </w:rPr>
        <w:t>蒙山县医疗保障事业管理中心</w:t>
      </w:r>
      <w:r>
        <w:rPr>
          <w:rFonts w:hint="eastAsia" w:ascii="Times New Roman" w:hAnsi="Times New Roman"/>
          <w:b w:val="0"/>
          <w:bCs w:val="0"/>
          <w:color w:val="auto"/>
          <w:kern w:val="0"/>
          <w:sz w:val="21"/>
          <w:szCs w:val="21"/>
          <w:highlight w:val="none"/>
          <w:u w:val="single"/>
        </w:rPr>
        <w:t xml:space="preserve">   </w:t>
      </w:r>
    </w:p>
    <w:p w14:paraId="2E8BCB93">
      <w:pPr>
        <w:spacing w:line="400" w:lineRule="exact"/>
        <w:ind w:firstLine="420" w:firstLineChars="200"/>
        <w:jc w:val="left"/>
        <w:rPr>
          <w:rFonts w:hint="default" w:eastAsia="宋体"/>
          <w:color w:val="auto"/>
          <w:szCs w:val="21"/>
          <w:highlight w:val="none"/>
          <w:u w:val="single"/>
          <w:lang w:val="en-US" w:eastAsia="zh-CN"/>
        </w:rPr>
      </w:pPr>
      <w:r>
        <w:rPr>
          <w:color w:val="auto"/>
          <w:szCs w:val="21"/>
          <w:highlight w:val="none"/>
        </w:rPr>
        <w:t>地    址：</w:t>
      </w:r>
      <w:r>
        <w:rPr>
          <w:rFonts w:hint="eastAsia"/>
          <w:color w:val="auto"/>
          <w:szCs w:val="21"/>
          <w:highlight w:val="none"/>
          <w:u w:val="single"/>
          <w:lang w:val="en-US" w:eastAsia="zh-CN"/>
        </w:rPr>
        <w:t xml:space="preserve">   </w:t>
      </w:r>
      <w:r>
        <w:rPr>
          <w:rFonts w:hint="eastAsia"/>
          <w:color w:val="auto"/>
          <w:szCs w:val="21"/>
          <w:highlight w:val="none"/>
          <w:u w:val="single"/>
          <w:lang w:eastAsia="zh-CN"/>
        </w:rPr>
        <w:t>蒙山县蒙山镇五福北路33号</w:t>
      </w:r>
      <w:r>
        <w:rPr>
          <w:rFonts w:hint="eastAsia"/>
          <w:color w:val="auto"/>
          <w:kern w:val="0"/>
          <w:szCs w:val="21"/>
          <w:highlight w:val="none"/>
          <w:u w:val="single"/>
        </w:rPr>
        <w:t xml:space="preserve"> </w:t>
      </w:r>
      <w:r>
        <w:rPr>
          <w:color w:val="auto"/>
          <w:kern w:val="0"/>
          <w:szCs w:val="21"/>
          <w:highlight w:val="none"/>
          <w:u w:val="single"/>
        </w:rPr>
        <w:t xml:space="preserve">  </w:t>
      </w:r>
      <w:r>
        <w:rPr>
          <w:rFonts w:hint="eastAsia"/>
          <w:color w:val="auto"/>
          <w:kern w:val="0"/>
          <w:szCs w:val="21"/>
          <w:highlight w:val="none"/>
          <w:u w:val="single"/>
          <w:lang w:val="en-US" w:eastAsia="zh-CN"/>
        </w:rPr>
        <w:t xml:space="preserve"> </w:t>
      </w:r>
    </w:p>
    <w:p w14:paraId="556BDA2E">
      <w:pPr>
        <w:spacing w:line="400" w:lineRule="exact"/>
        <w:ind w:firstLine="420" w:firstLineChars="200"/>
        <w:jc w:val="left"/>
        <w:rPr>
          <w:color w:val="auto"/>
          <w:szCs w:val="21"/>
          <w:highlight w:val="none"/>
        </w:rPr>
      </w:pPr>
      <w:r>
        <w:rPr>
          <w:color w:val="auto"/>
          <w:szCs w:val="21"/>
          <w:highlight w:val="none"/>
        </w:rPr>
        <w:t>联系方式：</w:t>
      </w:r>
      <w:r>
        <w:rPr>
          <w:color w:val="auto"/>
          <w:szCs w:val="21"/>
          <w:highlight w:val="none"/>
          <w:u w:val="single"/>
        </w:rPr>
        <w:t xml:space="preserve">　　   </w:t>
      </w:r>
      <w:r>
        <w:rPr>
          <w:rFonts w:hint="eastAsia"/>
          <w:color w:val="auto"/>
          <w:szCs w:val="21"/>
          <w:highlight w:val="none"/>
          <w:u w:val="single"/>
          <w:lang w:eastAsia="zh-CN"/>
        </w:rPr>
        <w:t>0774-6286089</w:t>
      </w:r>
      <w:r>
        <w:rPr>
          <w:color w:val="auto"/>
          <w:kern w:val="0"/>
          <w:szCs w:val="21"/>
          <w:highlight w:val="none"/>
          <w:u w:val="single"/>
        </w:rPr>
        <w:t>　</w:t>
      </w:r>
      <w:r>
        <w:rPr>
          <w:color w:val="auto"/>
          <w:szCs w:val="21"/>
          <w:highlight w:val="none"/>
          <w:u w:val="single"/>
        </w:rPr>
        <w:t>　     　　</w:t>
      </w:r>
    </w:p>
    <w:p w14:paraId="48CEC761">
      <w:pPr>
        <w:pStyle w:val="3"/>
        <w:spacing w:before="0" w:after="0" w:line="400" w:lineRule="exact"/>
        <w:ind w:firstLine="420" w:firstLineChars="200"/>
        <w:rPr>
          <w:rFonts w:ascii="Times New Roman" w:hAnsi="Times New Roman"/>
          <w:b w:val="0"/>
          <w:bCs w:val="0"/>
          <w:color w:val="auto"/>
          <w:sz w:val="21"/>
          <w:szCs w:val="21"/>
          <w:highlight w:val="none"/>
        </w:rPr>
      </w:pPr>
      <w:r>
        <w:rPr>
          <w:rFonts w:ascii="Times New Roman" w:hAnsi="Times New Roman"/>
          <w:b w:val="0"/>
          <w:bCs w:val="0"/>
          <w:color w:val="auto"/>
          <w:sz w:val="21"/>
          <w:szCs w:val="21"/>
          <w:highlight w:val="none"/>
        </w:rPr>
        <w:t>2．采购代理机构信息</w:t>
      </w:r>
      <w:bookmarkEnd w:id="38"/>
      <w:bookmarkEnd w:id="39"/>
      <w:bookmarkEnd w:id="40"/>
      <w:bookmarkEnd w:id="41"/>
    </w:p>
    <w:p w14:paraId="71B67A63">
      <w:pPr>
        <w:spacing w:line="400" w:lineRule="exact"/>
        <w:ind w:firstLine="420" w:firstLineChars="200"/>
        <w:rPr>
          <w:color w:val="auto"/>
          <w:szCs w:val="21"/>
          <w:highlight w:val="none"/>
        </w:rPr>
      </w:pPr>
      <w:r>
        <w:rPr>
          <w:color w:val="auto"/>
          <w:szCs w:val="21"/>
          <w:highlight w:val="none"/>
        </w:rPr>
        <w:t>名    称：</w:t>
      </w:r>
      <w:r>
        <w:rPr>
          <w:color w:val="auto"/>
          <w:szCs w:val="21"/>
          <w:highlight w:val="none"/>
          <w:u w:val="single"/>
        </w:rPr>
        <w:t>　　</w:t>
      </w:r>
      <w:r>
        <w:rPr>
          <w:rFonts w:hint="eastAsia"/>
          <w:color w:val="auto"/>
          <w:szCs w:val="21"/>
          <w:highlight w:val="none"/>
          <w:u w:val="single"/>
          <w:lang w:eastAsia="zh-CN"/>
        </w:rPr>
        <w:t>广西林光工程咨询有限公司</w:t>
      </w:r>
      <w:r>
        <w:rPr>
          <w:rFonts w:hint="eastAsia"/>
          <w:color w:val="auto"/>
          <w:szCs w:val="21"/>
          <w:highlight w:val="none"/>
          <w:u w:val="single"/>
        </w:rPr>
        <w:t xml:space="preserve">   </w:t>
      </w:r>
    </w:p>
    <w:p w14:paraId="70B7D396">
      <w:pPr>
        <w:spacing w:line="400" w:lineRule="exact"/>
        <w:ind w:firstLine="420" w:firstLineChars="200"/>
        <w:rPr>
          <w:rFonts w:hint="eastAsia" w:eastAsia="宋体"/>
          <w:color w:val="auto"/>
          <w:szCs w:val="21"/>
          <w:highlight w:val="none"/>
          <w:lang w:val="en-US" w:eastAsia="zh-CN"/>
        </w:rPr>
      </w:pPr>
      <w:r>
        <w:rPr>
          <w:color w:val="auto"/>
          <w:szCs w:val="21"/>
          <w:highlight w:val="none"/>
        </w:rPr>
        <w:t>地　　址：</w:t>
      </w:r>
      <w:r>
        <w:rPr>
          <w:rFonts w:hint="eastAsia"/>
          <w:color w:val="auto"/>
          <w:szCs w:val="21"/>
          <w:highlight w:val="none"/>
          <w:u w:val="single"/>
        </w:rPr>
        <w:t xml:space="preserve">    </w:t>
      </w:r>
      <w:r>
        <w:rPr>
          <w:rFonts w:hint="default" w:ascii="Times New Roman" w:hAnsi="Times New Roman" w:eastAsia="宋体" w:cs="Times New Roman"/>
          <w:bCs/>
          <w:color w:val="auto"/>
          <w:sz w:val="21"/>
          <w:szCs w:val="21"/>
          <w:highlight w:val="none"/>
          <w:u w:val="single"/>
          <w:lang w:eastAsia="zh-CN"/>
        </w:rPr>
        <w:t>蒙山县</w:t>
      </w:r>
      <w:r>
        <w:rPr>
          <w:rFonts w:hint="eastAsia" w:ascii="Times New Roman" w:hAnsi="Times New Roman" w:eastAsia="宋体" w:cs="Times New Roman"/>
          <w:bCs/>
          <w:color w:val="auto"/>
          <w:sz w:val="21"/>
          <w:szCs w:val="21"/>
          <w:highlight w:val="none"/>
          <w:u w:val="single"/>
          <w:lang w:eastAsia="zh-CN"/>
        </w:rPr>
        <w:t>东江路东</w:t>
      </w:r>
      <w:r>
        <w:rPr>
          <w:rFonts w:hint="eastAsia" w:ascii="Times New Roman" w:hAnsi="Times New Roman" w:eastAsia="宋体" w:cs="Times New Roman"/>
          <w:bCs/>
          <w:color w:val="auto"/>
          <w:sz w:val="21"/>
          <w:szCs w:val="21"/>
          <w:highlight w:val="none"/>
          <w:u w:val="single"/>
          <w:lang w:val="en-US" w:eastAsia="zh-CN"/>
        </w:rPr>
        <w:t>18号二楼</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p>
    <w:p w14:paraId="22ED230B">
      <w:pPr>
        <w:spacing w:line="400" w:lineRule="exact"/>
        <w:ind w:firstLine="420" w:firstLineChars="200"/>
        <w:rPr>
          <w:color w:val="auto"/>
          <w:szCs w:val="21"/>
          <w:highlight w:val="none"/>
          <w:u w:val="single"/>
        </w:rPr>
      </w:pPr>
      <w:r>
        <w:rPr>
          <w:color w:val="auto"/>
          <w:szCs w:val="21"/>
          <w:highlight w:val="none"/>
        </w:rPr>
        <w:t>联系方式：</w:t>
      </w:r>
      <w:r>
        <w:rPr>
          <w:color w:val="auto"/>
          <w:szCs w:val="21"/>
          <w:highlight w:val="none"/>
          <w:u w:val="single"/>
        </w:rPr>
        <w:t>　　　 　</w:t>
      </w:r>
      <w:r>
        <w:rPr>
          <w:rFonts w:hint="eastAsia"/>
          <w:color w:val="auto"/>
          <w:szCs w:val="21"/>
          <w:highlight w:val="none"/>
          <w:u w:val="single"/>
        </w:rPr>
        <w:t>0774-6</w:t>
      </w:r>
      <w:r>
        <w:rPr>
          <w:rFonts w:hint="eastAsia"/>
          <w:color w:val="auto"/>
          <w:szCs w:val="21"/>
          <w:highlight w:val="none"/>
          <w:u w:val="single"/>
          <w:lang w:val="en-US" w:eastAsia="zh-CN"/>
        </w:rPr>
        <w:t>183103</w:t>
      </w:r>
      <w:r>
        <w:rPr>
          <w:color w:val="auto"/>
          <w:szCs w:val="21"/>
          <w:highlight w:val="none"/>
          <w:u w:val="single"/>
        </w:rPr>
        <w:t>　</w:t>
      </w:r>
      <w:r>
        <w:rPr>
          <w:rFonts w:hint="eastAsia"/>
          <w:color w:val="auto"/>
          <w:szCs w:val="21"/>
          <w:highlight w:val="none"/>
          <w:u w:val="single"/>
        </w:rPr>
        <w:t xml:space="preserve">  </w:t>
      </w:r>
      <w:r>
        <w:rPr>
          <w:color w:val="auto"/>
          <w:szCs w:val="21"/>
          <w:highlight w:val="none"/>
          <w:u w:val="single"/>
        </w:rPr>
        <w:t xml:space="preserve">　    </w:t>
      </w:r>
    </w:p>
    <w:p w14:paraId="4E0D6EB4">
      <w:pPr>
        <w:pStyle w:val="3"/>
        <w:spacing w:before="0" w:after="0" w:line="400" w:lineRule="exact"/>
        <w:ind w:firstLine="420" w:firstLineChars="200"/>
        <w:rPr>
          <w:rFonts w:ascii="Times New Roman" w:hAnsi="Times New Roman"/>
          <w:b w:val="0"/>
          <w:bCs w:val="0"/>
          <w:color w:val="auto"/>
          <w:sz w:val="21"/>
          <w:szCs w:val="21"/>
          <w:highlight w:val="none"/>
        </w:rPr>
      </w:pPr>
      <w:bookmarkStart w:id="42" w:name="_Toc28359021"/>
      <w:bookmarkStart w:id="43" w:name="_Toc35393808"/>
      <w:bookmarkStart w:id="44" w:name="_Toc35393639"/>
      <w:bookmarkStart w:id="45" w:name="_Toc28359098"/>
      <w:r>
        <w:rPr>
          <w:rFonts w:ascii="Times New Roman" w:hAnsi="Times New Roman"/>
          <w:b w:val="0"/>
          <w:bCs w:val="0"/>
          <w:color w:val="auto"/>
          <w:sz w:val="21"/>
          <w:szCs w:val="21"/>
          <w:highlight w:val="none"/>
        </w:rPr>
        <w:t>3．项目联系方式</w:t>
      </w:r>
      <w:bookmarkEnd w:id="42"/>
      <w:bookmarkEnd w:id="43"/>
      <w:bookmarkEnd w:id="44"/>
      <w:bookmarkEnd w:id="45"/>
    </w:p>
    <w:p w14:paraId="4A9A7AE3">
      <w:pPr>
        <w:pStyle w:val="17"/>
        <w:spacing w:line="400" w:lineRule="exact"/>
        <w:ind w:firstLine="420" w:firstLineChars="200"/>
        <w:rPr>
          <w:rFonts w:ascii="Times New Roman" w:hAnsi="Times New Roman"/>
          <w:color w:val="auto"/>
          <w:sz w:val="21"/>
          <w:highlight w:val="none"/>
        </w:rPr>
      </w:pPr>
      <w:r>
        <w:rPr>
          <w:rFonts w:ascii="Times New Roman" w:hAnsi="Times New Roman"/>
          <w:color w:val="auto"/>
          <w:sz w:val="21"/>
          <w:highlight w:val="none"/>
        </w:rPr>
        <w:t>项目联系人：</w:t>
      </w:r>
      <w:r>
        <w:rPr>
          <w:rFonts w:ascii="Times New Roman" w:hAnsi="Times New Roman"/>
          <w:color w:val="auto"/>
          <w:sz w:val="21"/>
          <w:highlight w:val="none"/>
          <w:u w:val="single"/>
        </w:rPr>
        <w:t xml:space="preserve">     </w:t>
      </w:r>
      <w:r>
        <w:rPr>
          <w:rFonts w:hint="eastAsia" w:ascii="Times New Roman" w:hAnsi="Times New Roman"/>
          <w:color w:val="auto"/>
          <w:sz w:val="21"/>
          <w:highlight w:val="none"/>
          <w:u w:val="single"/>
        </w:rPr>
        <w:t xml:space="preserve">   </w:t>
      </w:r>
      <w:r>
        <w:rPr>
          <w:rFonts w:hint="eastAsia" w:ascii="Times New Roman" w:hAnsi="Times New Roman"/>
          <w:color w:val="auto"/>
          <w:sz w:val="21"/>
          <w:highlight w:val="none"/>
          <w:u w:val="single"/>
          <w:lang w:val="en-US" w:eastAsia="zh-CN"/>
        </w:rPr>
        <w:t xml:space="preserve"> </w:t>
      </w:r>
      <w:r>
        <w:rPr>
          <w:rFonts w:hint="eastAsia" w:ascii="Times New Roman" w:hAnsi="Times New Roman"/>
          <w:color w:val="auto"/>
          <w:sz w:val="21"/>
          <w:highlight w:val="none"/>
          <w:u w:val="single"/>
          <w:lang w:eastAsia="zh-CN"/>
        </w:rPr>
        <w:t>申</w:t>
      </w:r>
      <w:r>
        <w:rPr>
          <w:rFonts w:hint="eastAsia" w:ascii="Times New Roman" w:hAnsi="Times New Roman"/>
          <w:color w:val="auto"/>
          <w:sz w:val="21"/>
          <w:highlight w:val="none"/>
          <w:u w:val="single"/>
          <w:lang w:val="en-US" w:eastAsia="zh-CN"/>
        </w:rPr>
        <w:t xml:space="preserve"> </w:t>
      </w:r>
      <w:r>
        <w:rPr>
          <w:rFonts w:hint="eastAsia" w:ascii="Times New Roman" w:hAnsi="Times New Roman"/>
          <w:color w:val="auto"/>
          <w:sz w:val="21"/>
          <w:highlight w:val="none"/>
          <w:u w:val="single"/>
          <w:lang w:eastAsia="zh-CN"/>
        </w:rPr>
        <w:t>丽</w:t>
      </w:r>
      <w:r>
        <w:rPr>
          <w:rFonts w:ascii="Times New Roman" w:hAnsi="Times New Roman"/>
          <w:color w:val="auto"/>
          <w:sz w:val="21"/>
          <w:highlight w:val="none"/>
          <w:u w:val="single"/>
        </w:rPr>
        <w:t xml:space="preserve">     </w:t>
      </w:r>
      <w:r>
        <w:rPr>
          <w:rFonts w:hint="eastAsia" w:ascii="Times New Roman" w:hAnsi="Times New Roman"/>
          <w:color w:val="auto"/>
          <w:sz w:val="21"/>
          <w:highlight w:val="none"/>
          <w:u w:val="single"/>
        </w:rPr>
        <w:t xml:space="preserve">    </w:t>
      </w:r>
      <w:r>
        <w:rPr>
          <w:rFonts w:ascii="Times New Roman" w:hAnsi="Times New Roman"/>
          <w:color w:val="auto"/>
          <w:sz w:val="21"/>
          <w:highlight w:val="none"/>
          <w:u w:val="single"/>
        </w:rPr>
        <w:t xml:space="preserve">  </w:t>
      </w:r>
    </w:p>
    <w:p w14:paraId="6EE61DD6">
      <w:pPr>
        <w:spacing w:line="400" w:lineRule="exact"/>
        <w:ind w:firstLine="420" w:firstLineChars="200"/>
        <w:rPr>
          <w:rFonts w:hint="eastAsia"/>
          <w:color w:val="auto"/>
          <w:szCs w:val="21"/>
          <w:highlight w:val="none"/>
          <w:u w:val="single"/>
        </w:rPr>
      </w:pPr>
      <w:r>
        <w:rPr>
          <w:color w:val="auto"/>
          <w:szCs w:val="21"/>
          <w:highlight w:val="none"/>
        </w:rPr>
        <w:t>电　　 话：</w:t>
      </w:r>
      <w:r>
        <w:rPr>
          <w:rFonts w:hint="eastAsia"/>
          <w:color w:val="auto"/>
          <w:szCs w:val="21"/>
          <w:highlight w:val="none"/>
          <w:u w:val="single"/>
        </w:rPr>
        <w:t xml:space="preserve">       0774-6</w:t>
      </w:r>
      <w:r>
        <w:rPr>
          <w:rFonts w:hint="eastAsia"/>
          <w:color w:val="auto"/>
          <w:szCs w:val="21"/>
          <w:highlight w:val="none"/>
          <w:u w:val="single"/>
          <w:lang w:val="en-US" w:eastAsia="zh-CN"/>
        </w:rPr>
        <w:t>183103</w:t>
      </w:r>
      <w:r>
        <w:rPr>
          <w:rFonts w:hint="eastAsia"/>
          <w:color w:val="auto"/>
          <w:szCs w:val="21"/>
          <w:highlight w:val="none"/>
          <w:u w:val="single"/>
        </w:rPr>
        <w:t xml:space="preserve"> </w:t>
      </w:r>
      <w:r>
        <w:rPr>
          <w:color w:val="auto"/>
          <w:szCs w:val="21"/>
          <w:highlight w:val="none"/>
          <w:u w:val="single"/>
        </w:rPr>
        <w:t>　</w:t>
      </w:r>
      <w:r>
        <w:rPr>
          <w:rFonts w:hint="eastAsia"/>
          <w:color w:val="auto"/>
          <w:szCs w:val="21"/>
          <w:highlight w:val="none"/>
          <w:u w:val="single"/>
        </w:rPr>
        <w:t xml:space="preserve">  </w:t>
      </w:r>
      <w:r>
        <w:rPr>
          <w:color w:val="auto"/>
          <w:szCs w:val="21"/>
          <w:highlight w:val="none"/>
          <w:u w:val="single"/>
        </w:rPr>
        <w:t>　</w:t>
      </w:r>
      <w:r>
        <w:rPr>
          <w:rFonts w:hint="eastAsia"/>
          <w:color w:val="auto"/>
          <w:szCs w:val="21"/>
          <w:highlight w:val="none"/>
          <w:u w:val="single"/>
        </w:rPr>
        <w:t xml:space="preserve"> </w:t>
      </w:r>
    </w:p>
    <w:p w14:paraId="5C541BA2">
      <w:pPr>
        <w:spacing w:line="400" w:lineRule="exact"/>
        <w:rPr>
          <w:color w:val="auto"/>
          <w:szCs w:val="21"/>
          <w:highlight w:val="none"/>
          <w:u w:val="single"/>
        </w:rPr>
      </w:pPr>
    </w:p>
    <w:p w14:paraId="455B1B49">
      <w:pPr>
        <w:spacing w:line="360" w:lineRule="auto"/>
        <w:ind w:firstLine="630" w:firstLineChars="300"/>
        <w:jc w:val="right"/>
        <w:rPr>
          <w:color w:val="auto"/>
          <w:szCs w:val="21"/>
          <w:highlight w:val="none"/>
          <w:u w:val="single"/>
        </w:rPr>
      </w:pPr>
    </w:p>
    <w:bookmarkEnd w:id="3"/>
    <w:p w14:paraId="11BD3287">
      <w:pPr>
        <w:spacing w:line="400" w:lineRule="exact"/>
        <w:jc w:val="right"/>
        <w:rPr>
          <w:rFonts w:hint="eastAsia"/>
          <w:color w:val="auto"/>
          <w:szCs w:val="21"/>
          <w:highlight w:val="none"/>
          <w:lang w:eastAsia="zh-CN"/>
        </w:rPr>
      </w:pPr>
      <w:r>
        <w:rPr>
          <w:color w:val="auto"/>
          <w:szCs w:val="21"/>
          <w:highlight w:val="none"/>
        </w:rPr>
        <w:t>采购人：</w:t>
      </w:r>
      <w:r>
        <w:rPr>
          <w:rFonts w:hint="eastAsia"/>
          <w:color w:val="auto"/>
          <w:szCs w:val="21"/>
          <w:highlight w:val="none"/>
          <w:lang w:eastAsia="zh-CN"/>
        </w:rPr>
        <w:t>蒙山县医疗保障事业管理中心</w:t>
      </w:r>
    </w:p>
    <w:p w14:paraId="76ED9E50">
      <w:pPr>
        <w:spacing w:line="400" w:lineRule="exact"/>
        <w:jc w:val="right"/>
        <w:rPr>
          <w:rFonts w:hint="eastAsia"/>
          <w:color w:val="auto"/>
          <w:szCs w:val="21"/>
          <w:highlight w:val="none"/>
          <w:lang w:eastAsia="zh-CN"/>
        </w:rPr>
      </w:pPr>
    </w:p>
    <w:p w14:paraId="3EC41AA4">
      <w:pPr>
        <w:spacing w:line="400" w:lineRule="exact"/>
        <w:ind w:right="-160" w:rightChars="-76" w:firstLine="5460" w:firstLineChars="2600"/>
        <w:jc w:val="left"/>
        <w:rPr>
          <w:rFonts w:hint="eastAsia" w:eastAsia="宋体"/>
          <w:color w:val="auto"/>
          <w:szCs w:val="21"/>
          <w:highlight w:val="none"/>
          <w:lang w:eastAsia="zh-CN"/>
        </w:rPr>
      </w:pPr>
      <w:r>
        <w:rPr>
          <w:color w:val="auto"/>
          <w:szCs w:val="21"/>
          <w:highlight w:val="none"/>
        </w:rPr>
        <w:t>采购代理机构：</w:t>
      </w:r>
      <w:r>
        <w:rPr>
          <w:rFonts w:hint="eastAsia"/>
          <w:color w:val="auto"/>
          <w:szCs w:val="21"/>
          <w:highlight w:val="none"/>
          <w:lang w:eastAsia="zh-CN"/>
        </w:rPr>
        <w:t>广西林光工程咨询有限公司</w:t>
      </w:r>
    </w:p>
    <w:p w14:paraId="2DBD41BF">
      <w:pPr>
        <w:spacing w:line="400" w:lineRule="exact"/>
        <w:ind w:right="-160" w:rightChars="-76" w:firstLine="6720" w:firstLineChars="3200"/>
        <w:jc w:val="left"/>
        <w:rPr>
          <w:color w:val="auto"/>
          <w:szCs w:val="21"/>
          <w:highlight w:val="none"/>
        </w:rPr>
      </w:pPr>
    </w:p>
    <w:p w14:paraId="3C493CE7">
      <w:pPr>
        <w:spacing w:line="400" w:lineRule="exact"/>
        <w:ind w:right="-160" w:rightChars="-76" w:firstLine="7350" w:firstLineChars="3500"/>
        <w:jc w:val="left"/>
        <w:rPr>
          <w:color w:val="auto"/>
          <w:szCs w:val="21"/>
          <w:highlight w:val="none"/>
        </w:rPr>
      </w:pPr>
      <w:r>
        <w:rPr>
          <w:rFonts w:hint="eastAsia"/>
          <w:color w:val="auto"/>
          <w:szCs w:val="21"/>
          <w:highlight w:val="none"/>
          <w:lang w:val="en-US" w:eastAsia="zh-CN"/>
        </w:rPr>
        <w:t xml:space="preserve">  </w:t>
      </w:r>
      <w:r>
        <w:rPr>
          <w:rFonts w:hint="eastAsia"/>
          <w:color w:val="auto"/>
          <w:szCs w:val="21"/>
          <w:highlight w:val="yellow"/>
          <w:lang w:val="en-US" w:eastAsia="zh-CN"/>
        </w:rPr>
        <w:t>2026</w:t>
      </w:r>
      <w:r>
        <w:rPr>
          <w:color w:val="auto"/>
          <w:szCs w:val="21"/>
          <w:highlight w:val="yellow"/>
        </w:rPr>
        <w:t>年</w:t>
      </w:r>
      <w:r>
        <w:rPr>
          <w:rFonts w:hint="eastAsia"/>
          <w:color w:val="auto"/>
          <w:szCs w:val="21"/>
          <w:highlight w:val="yellow"/>
          <w:lang w:val="en-US" w:eastAsia="zh-CN"/>
        </w:rPr>
        <w:t>3</w:t>
      </w:r>
      <w:r>
        <w:rPr>
          <w:rFonts w:hint="eastAsia"/>
          <w:color w:val="auto"/>
          <w:szCs w:val="21"/>
          <w:highlight w:val="yellow"/>
        </w:rPr>
        <w:t>月</w:t>
      </w:r>
      <w:r>
        <w:rPr>
          <w:rFonts w:hint="eastAsia"/>
          <w:color w:val="auto"/>
          <w:szCs w:val="21"/>
          <w:highlight w:val="yellow"/>
          <w:lang w:val="en-US" w:eastAsia="zh-CN"/>
        </w:rPr>
        <w:t>19</w:t>
      </w:r>
      <w:r>
        <w:rPr>
          <w:color w:val="auto"/>
          <w:szCs w:val="21"/>
          <w:highlight w:val="yellow"/>
        </w:rPr>
        <w:t>日</w:t>
      </w:r>
    </w:p>
    <w:p w14:paraId="622BD49D">
      <w:pPr>
        <w:pStyle w:val="3"/>
        <w:numPr>
          <w:ilvl w:val="0"/>
          <w:numId w:val="0"/>
        </w:numPr>
        <w:spacing w:line="360" w:lineRule="auto"/>
        <w:jc w:val="center"/>
        <w:rPr>
          <w:rFonts w:ascii="Times New Roman" w:hAnsi="Times New Roman"/>
          <w:color w:val="auto"/>
          <w:highlight w:val="none"/>
        </w:rPr>
      </w:pPr>
      <w:r>
        <w:rPr>
          <w:rFonts w:ascii="宋体" w:hAnsi="宋体"/>
          <w:color w:val="auto"/>
          <w:highlight w:val="none"/>
        </w:rPr>
        <w:br w:type="page"/>
      </w:r>
      <w:bookmarkStart w:id="46" w:name="_Toc44229894"/>
      <w:r>
        <w:rPr>
          <w:rFonts w:hint="eastAsia"/>
          <w:color w:val="auto"/>
          <w:highlight w:val="none"/>
        </w:rPr>
        <w:t xml:space="preserve">第二章 </w:t>
      </w:r>
      <w:r>
        <w:rPr>
          <w:rFonts w:ascii="Times New Roman" w:hAnsi="Times New Roman"/>
          <w:color w:val="auto"/>
          <w:highlight w:val="none"/>
        </w:rPr>
        <w:t>采购需求</w:t>
      </w:r>
    </w:p>
    <w:p w14:paraId="1D5EA3BD">
      <w:pPr>
        <w:spacing w:before="156" w:beforeLines="50" w:after="156" w:afterLines="50" w:line="440" w:lineRule="exact"/>
        <w:jc w:val="center"/>
        <w:rPr>
          <w:b/>
          <w:color w:val="auto"/>
          <w:sz w:val="32"/>
          <w:szCs w:val="32"/>
          <w:highlight w:val="none"/>
        </w:rPr>
      </w:pPr>
    </w:p>
    <w:p w14:paraId="42E0516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rPr>
        <w:t>说明：</w:t>
      </w:r>
    </w:p>
    <w:p w14:paraId="4D96F1D7">
      <w:pPr>
        <w:keepNext w:val="0"/>
        <w:keepLines w:val="0"/>
        <w:pageBreakBefore w:val="0"/>
        <w:widowControl w:val="0"/>
        <w:kinsoku/>
        <w:wordWrap/>
        <w:overflowPunct/>
        <w:topLinePunct w:val="0"/>
        <w:autoSpaceDE/>
        <w:autoSpaceDN/>
        <w:bidi w:val="0"/>
        <w:adjustRightInd/>
        <w:snapToGrid/>
        <w:spacing w:line="360" w:lineRule="auto"/>
        <w:ind w:firstLine="424" w:firstLineChars="202"/>
        <w:jc w:val="left"/>
        <w:textAlignment w:val="auto"/>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1．为落实政府采购政策需满足的要求</w:t>
      </w:r>
    </w:p>
    <w:p w14:paraId="0F7AC8D3">
      <w:pPr>
        <w:keepNext w:val="0"/>
        <w:keepLines w:val="0"/>
        <w:pageBreakBefore w:val="0"/>
        <w:widowControl w:val="0"/>
        <w:kinsoku/>
        <w:wordWrap/>
        <w:overflowPunct/>
        <w:topLinePunct w:val="0"/>
        <w:autoSpaceDE/>
        <w:autoSpaceDN/>
        <w:bidi w:val="0"/>
        <w:adjustRightInd/>
        <w:snapToGrid/>
        <w:spacing w:line="360" w:lineRule="auto"/>
        <w:ind w:firstLine="424" w:firstLineChars="202"/>
        <w:jc w:val="left"/>
        <w:textAlignment w:val="auto"/>
        <w:rPr>
          <w:rFonts w:hint="default" w:ascii="Times New Roman" w:hAnsi="Times New Roman" w:cs="Times New Roman"/>
          <w:b w:val="0"/>
          <w:bCs w:val="0"/>
          <w:color w:val="auto"/>
          <w:highlight w:val="none"/>
        </w:rPr>
      </w:pPr>
      <w:r>
        <w:rPr>
          <w:rFonts w:hint="eastAsia" w:cs="Times New Roman"/>
          <w:b w:val="0"/>
          <w:bCs w:val="0"/>
          <w:color w:val="auto"/>
          <w:highlight w:val="none"/>
          <w:lang w:eastAsia="zh-CN"/>
        </w:rPr>
        <w:t>（</w:t>
      </w:r>
      <w:r>
        <w:rPr>
          <w:rFonts w:hint="eastAsia" w:cs="Times New Roman"/>
          <w:b w:val="0"/>
          <w:bCs w:val="0"/>
          <w:color w:val="auto"/>
          <w:highlight w:val="none"/>
          <w:lang w:val="en-US" w:eastAsia="zh-CN"/>
        </w:rPr>
        <w:t>1</w:t>
      </w:r>
      <w:r>
        <w:rPr>
          <w:rFonts w:hint="eastAsia" w:cs="Times New Roman"/>
          <w:b w:val="0"/>
          <w:bCs w:val="0"/>
          <w:color w:val="auto"/>
          <w:highlight w:val="none"/>
          <w:lang w:eastAsia="zh-CN"/>
        </w:rPr>
        <w:t>）</w:t>
      </w:r>
      <w:r>
        <w:rPr>
          <w:rFonts w:hint="default" w:ascii="Times New Roman" w:hAnsi="Times New Roman" w:cs="Times New Roman"/>
          <w:b w:val="0"/>
          <w:bCs w:val="0"/>
          <w:color w:val="auto"/>
          <w:highlight w:val="none"/>
        </w:rPr>
        <w:t>本招标文件所称中小企业必须符合《政府采购促进中小企业发展管理办法》</w:t>
      </w:r>
      <w:r>
        <w:rPr>
          <w:rFonts w:hint="eastAsia" w:cs="Times New Roman"/>
          <w:b w:val="0"/>
          <w:bCs w:val="0"/>
          <w:color w:val="auto"/>
          <w:highlight w:val="none"/>
          <w:lang w:val="en-US" w:eastAsia="zh-CN"/>
        </w:rPr>
        <w:t>（</w:t>
      </w:r>
      <w:r>
        <w:rPr>
          <w:rFonts w:hint="default" w:ascii="Times New Roman" w:hAnsi="Times New Roman" w:cs="Times New Roman"/>
          <w:b w:val="0"/>
          <w:bCs w:val="0"/>
          <w:color w:val="auto"/>
          <w:highlight w:val="none"/>
        </w:rPr>
        <w:t>财库</w:t>
      </w:r>
      <w:r>
        <w:rPr>
          <w:rFonts w:hint="eastAsia" w:ascii="微软雅黑" w:hAnsi="微软雅黑" w:eastAsia="微软雅黑" w:cs="微软雅黑"/>
          <w:b w:val="0"/>
          <w:bCs w:val="0"/>
          <w:color w:val="auto"/>
          <w:highlight w:val="none"/>
          <w:lang w:eastAsia="zh-CN"/>
        </w:rPr>
        <w:t>〔</w:t>
      </w:r>
      <w:r>
        <w:rPr>
          <w:rFonts w:hint="eastAsia" w:ascii="微软雅黑" w:hAnsi="微软雅黑" w:eastAsia="微软雅黑" w:cs="微软雅黑"/>
          <w:b w:val="0"/>
          <w:bCs w:val="0"/>
          <w:color w:val="auto"/>
          <w:highlight w:val="none"/>
          <w:lang w:val="en-US" w:eastAsia="zh-CN"/>
        </w:rPr>
        <w:t>2020</w:t>
      </w:r>
      <w:r>
        <w:rPr>
          <w:rFonts w:hint="eastAsia" w:ascii="微软雅黑" w:hAnsi="微软雅黑" w:eastAsia="微软雅黑" w:cs="微软雅黑"/>
          <w:b w:val="0"/>
          <w:bCs w:val="0"/>
          <w:color w:val="auto"/>
          <w:highlight w:val="none"/>
          <w:lang w:eastAsia="zh-CN"/>
        </w:rPr>
        <w:t>〕</w:t>
      </w:r>
      <w:r>
        <w:rPr>
          <w:rFonts w:hint="default" w:ascii="Times New Roman" w:hAnsi="Times New Roman" w:cs="Times New Roman"/>
          <w:b w:val="0"/>
          <w:bCs w:val="0"/>
          <w:color w:val="auto"/>
          <w:highlight w:val="none"/>
        </w:rPr>
        <w:t>46号</w:t>
      </w:r>
      <w:r>
        <w:rPr>
          <w:rFonts w:hint="eastAsia" w:cs="Times New Roman"/>
          <w:b w:val="0"/>
          <w:bCs w:val="0"/>
          <w:color w:val="auto"/>
          <w:highlight w:val="none"/>
          <w:lang w:val="en-US" w:eastAsia="zh-CN"/>
        </w:rPr>
        <w:t>）</w:t>
      </w:r>
      <w:r>
        <w:rPr>
          <w:rFonts w:hint="default" w:ascii="Times New Roman" w:hAnsi="Times New Roman" w:cs="Times New Roman"/>
          <w:b w:val="0"/>
          <w:bCs w:val="0"/>
          <w:color w:val="auto"/>
          <w:highlight w:val="none"/>
        </w:rPr>
        <w:t>的规定。</w:t>
      </w:r>
    </w:p>
    <w:p w14:paraId="6CA53AF8">
      <w:pPr>
        <w:keepNext w:val="0"/>
        <w:keepLines w:val="0"/>
        <w:pageBreakBefore w:val="0"/>
        <w:widowControl w:val="0"/>
        <w:kinsoku/>
        <w:wordWrap/>
        <w:overflowPunct/>
        <w:topLinePunct w:val="0"/>
        <w:autoSpaceDE/>
        <w:autoSpaceDN/>
        <w:bidi w:val="0"/>
        <w:adjustRightInd/>
        <w:snapToGrid/>
        <w:spacing w:line="360" w:lineRule="auto"/>
        <w:ind w:firstLine="424" w:firstLineChars="202"/>
        <w:jc w:val="left"/>
        <w:textAlignment w:val="auto"/>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2．“实质性要求”是指招标文件中已经指明不满足则投标无效的条款，或者不能负偏离的条款，或者采购需求中带“▲”的条款。</w:t>
      </w:r>
    </w:p>
    <w:p w14:paraId="770448D8">
      <w:pPr>
        <w:keepNext w:val="0"/>
        <w:keepLines w:val="0"/>
        <w:pageBreakBefore w:val="0"/>
        <w:widowControl w:val="0"/>
        <w:kinsoku/>
        <w:wordWrap/>
        <w:overflowPunct/>
        <w:topLinePunct w:val="0"/>
        <w:autoSpaceDE/>
        <w:autoSpaceDN/>
        <w:bidi w:val="0"/>
        <w:adjustRightInd/>
        <w:snapToGrid/>
        <w:spacing w:line="360" w:lineRule="auto"/>
        <w:ind w:firstLine="424" w:firstLineChars="202"/>
        <w:jc w:val="left"/>
        <w:textAlignment w:val="auto"/>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3．投标人应根据自身实际情况如实响应招标文件，对招标文件提出的要求和条件作出明确响应，否则将作无效响应处理。对于重要技术条款或技术参数应当在投标文件中提供技术支持资料，技术支持资料以招标文件中规定的形式为准，否则将视为无效技术支持资料。</w:t>
      </w:r>
    </w:p>
    <w:p w14:paraId="3F4DFFEF">
      <w:pPr>
        <w:keepNext w:val="0"/>
        <w:keepLines w:val="0"/>
        <w:pageBreakBefore w:val="0"/>
        <w:widowControl w:val="0"/>
        <w:kinsoku/>
        <w:wordWrap/>
        <w:overflowPunct/>
        <w:topLinePunct w:val="0"/>
        <w:autoSpaceDE/>
        <w:autoSpaceDN/>
        <w:bidi w:val="0"/>
        <w:adjustRightInd/>
        <w:snapToGrid/>
        <w:spacing w:line="360" w:lineRule="auto"/>
        <w:ind w:firstLine="424" w:firstLineChars="202"/>
        <w:jc w:val="left"/>
        <w:textAlignment w:val="auto"/>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4．投标人必须自行为其投标产品侵犯他人的知识产权或者专利成果的行为承担相应法律责任。</w:t>
      </w:r>
    </w:p>
    <w:p w14:paraId="2B6F2899">
      <w:pPr>
        <w:keepNext w:val="0"/>
        <w:keepLines w:val="0"/>
        <w:pageBreakBefore w:val="0"/>
        <w:widowControl w:val="0"/>
        <w:kinsoku/>
        <w:wordWrap/>
        <w:overflowPunct/>
        <w:topLinePunct w:val="0"/>
        <w:autoSpaceDE/>
        <w:autoSpaceDN/>
        <w:bidi w:val="0"/>
        <w:adjustRightInd/>
        <w:snapToGrid/>
        <w:spacing w:line="360" w:lineRule="auto"/>
        <w:ind w:firstLine="424" w:firstLineChars="202"/>
        <w:jc w:val="left"/>
        <w:textAlignment w:val="auto"/>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lang w:val="en-US" w:eastAsia="zh-CN"/>
        </w:rPr>
        <w:t>5</w:t>
      </w:r>
      <w:r>
        <w:rPr>
          <w:rFonts w:hint="default" w:ascii="Times New Roman" w:hAnsi="Times New Roman" w:cs="Times New Roman"/>
          <w:b w:val="0"/>
          <w:bCs w:val="0"/>
          <w:color w:val="auto"/>
          <w:highlight w:val="none"/>
        </w:rPr>
        <w:t>．本项目所属行业：</w:t>
      </w:r>
      <w:r>
        <w:rPr>
          <w:rFonts w:hint="default" w:ascii="Times New Roman" w:hAnsi="Times New Roman" w:cs="Times New Roman"/>
          <w:b w:val="0"/>
          <w:bCs w:val="0"/>
          <w:color w:val="auto"/>
          <w:highlight w:val="none"/>
          <w:u w:val="single"/>
        </w:rPr>
        <w:t xml:space="preserve"> </w:t>
      </w:r>
      <w:r>
        <w:rPr>
          <w:b/>
          <w:bCs/>
          <w:color w:val="auto"/>
          <w:kern w:val="0"/>
          <w:szCs w:val="21"/>
          <w:highlight w:val="none"/>
          <w:u w:val="single"/>
        </w:rPr>
        <w:t>其他未列明行业</w:t>
      </w:r>
      <w:r>
        <w:rPr>
          <w:rFonts w:hint="default" w:ascii="Times New Roman" w:hAnsi="Times New Roman" w:cs="Times New Roman"/>
          <w:b w:val="0"/>
          <w:bCs w:val="0"/>
          <w:color w:val="auto"/>
          <w:highlight w:val="none"/>
          <w:u w:val="single"/>
        </w:rPr>
        <w:t xml:space="preserve"> </w:t>
      </w:r>
      <w:r>
        <w:rPr>
          <w:rFonts w:hint="default" w:ascii="Times New Roman" w:hAnsi="Times New Roman" w:cs="Times New Roman"/>
          <w:b w:val="0"/>
          <w:bCs w:val="0"/>
          <w:color w:val="auto"/>
          <w:highlight w:val="none"/>
        </w:rPr>
        <w:t>。</w:t>
      </w:r>
    </w:p>
    <w:p w14:paraId="7136332B">
      <w:pPr>
        <w:pStyle w:val="3"/>
        <w:spacing w:before="20" w:after="20"/>
        <w:jc w:val="center"/>
        <w:rPr>
          <w:rFonts w:hint="eastAsia"/>
          <w:color w:val="auto"/>
          <w:highlight w:val="none"/>
        </w:rPr>
      </w:pPr>
    </w:p>
    <w:p w14:paraId="50E14A64">
      <w:pPr>
        <w:rPr>
          <w:rFonts w:hint="eastAsia"/>
          <w:color w:val="auto"/>
          <w:highlight w:val="none"/>
        </w:rPr>
      </w:pPr>
      <w:r>
        <w:rPr>
          <w:rFonts w:hint="eastAsia"/>
          <w:color w:val="auto"/>
          <w:highlight w:val="none"/>
        </w:rPr>
        <w:br w:type="page"/>
      </w:r>
    </w:p>
    <w:p w14:paraId="6791AE56">
      <w:pPr>
        <w:spacing w:line="500" w:lineRule="exact"/>
        <w:ind w:firstLine="422" w:firstLineChars="200"/>
        <w:jc w:val="left"/>
        <w:rPr>
          <w:rFonts w:hint="default" w:ascii="Times New Roman" w:hAnsi="Times New Roman" w:cs="Times New Roman" w:eastAsiaTheme="minorEastAsia"/>
          <w:b/>
          <w:color w:val="auto"/>
          <w:sz w:val="21"/>
          <w:szCs w:val="21"/>
          <w:highlight w:val="none"/>
          <w:lang w:eastAsia="zh-CN"/>
        </w:rPr>
      </w:pPr>
      <w:r>
        <w:rPr>
          <w:rFonts w:hint="default" w:ascii="Times New Roman" w:hAnsi="Times New Roman" w:cs="Times New Roman" w:eastAsiaTheme="minorEastAsia"/>
          <w:b/>
          <w:color w:val="auto"/>
          <w:sz w:val="21"/>
          <w:szCs w:val="21"/>
          <w:highlight w:val="none"/>
          <w:lang w:eastAsia="zh-CN"/>
        </w:rPr>
        <w:t>一、项目说明：</w:t>
      </w:r>
      <w:r>
        <w:rPr>
          <w:rFonts w:hint="default" w:ascii="Times New Roman" w:hAnsi="Times New Roman" w:cs="Times New Roman" w:eastAsiaTheme="minorEastAsia"/>
          <w:b w:val="0"/>
          <w:bCs/>
          <w:sz w:val="21"/>
          <w:szCs w:val="21"/>
          <w:lang w:eastAsia="zh-CN"/>
        </w:rPr>
        <w:t>为妥善解决国家公务员个人自付部分的医疗费用，保证国家公务员原有的医疗待遇水平不降低，招标人作为投保人，为本县参保城镇职工基本医疗保险的符合</w:t>
      </w:r>
      <w:r>
        <w:rPr>
          <w:rFonts w:hint="eastAsia" w:cs="Times New Roman" w:eastAsiaTheme="minorEastAsia"/>
          <w:b w:val="0"/>
          <w:bCs/>
          <w:sz w:val="21"/>
          <w:szCs w:val="21"/>
          <w:highlight w:val="none"/>
          <w:lang w:val="en-US" w:eastAsia="zh-CN"/>
        </w:rPr>
        <w:t>梧州市人民政府</w:t>
      </w:r>
      <w:r>
        <w:rPr>
          <w:rFonts w:hint="default" w:ascii="Times New Roman" w:hAnsi="Times New Roman" w:cs="Times New Roman" w:eastAsiaTheme="minorEastAsia"/>
          <w:b w:val="0"/>
          <w:bCs/>
          <w:sz w:val="21"/>
          <w:szCs w:val="21"/>
          <w:highlight w:val="none"/>
          <w:lang w:eastAsia="zh-CN"/>
        </w:rPr>
        <w:t>《梧州市</w:t>
      </w:r>
      <w:r>
        <w:rPr>
          <w:rFonts w:hint="eastAsia" w:cs="Times New Roman" w:eastAsiaTheme="minorEastAsia"/>
          <w:b w:val="0"/>
          <w:bCs/>
          <w:sz w:val="21"/>
          <w:szCs w:val="21"/>
          <w:highlight w:val="none"/>
          <w:lang w:val="en-US" w:eastAsia="zh-CN"/>
        </w:rPr>
        <w:t>直属机关单位</w:t>
      </w:r>
      <w:r>
        <w:rPr>
          <w:rFonts w:hint="default" w:ascii="Times New Roman" w:hAnsi="Times New Roman" w:cs="Times New Roman" w:eastAsiaTheme="minorEastAsia"/>
          <w:b w:val="0"/>
          <w:bCs/>
          <w:sz w:val="21"/>
          <w:szCs w:val="21"/>
          <w:highlight w:val="none"/>
          <w:lang w:eastAsia="zh-CN"/>
        </w:rPr>
        <w:t>公务员医疗补助</w:t>
      </w:r>
      <w:r>
        <w:rPr>
          <w:rFonts w:hint="eastAsia" w:cs="Times New Roman" w:eastAsiaTheme="minorEastAsia"/>
          <w:b w:val="0"/>
          <w:bCs/>
          <w:sz w:val="21"/>
          <w:szCs w:val="21"/>
          <w:highlight w:val="none"/>
          <w:lang w:val="en-US" w:eastAsia="zh-CN"/>
        </w:rPr>
        <w:t>管理暂行</w:t>
      </w:r>
      <w:r>
        <w:rPr>
          <w:rFonts w:hint="default" w:ascii="Times New Roman" w:hAnsi="Times New Roman" w:cs="Times New Roman" w:eastAsiaTheme="minorEastAsia"/>
          <w:b w:val="0"/>
          <w:bCs/>
          <w:sz w:val="21"/>
          <w:szCs w:val="21"/>
          <w:highlight w:val="none"/>
          <w:lang w:eastAsia="zh-CN"/>
        </w:rPr>
        <w:t>办法》</w:t>
      </w:r>
      <w:r>
        <w:rPr>
          <w:rFonts w:hint="eastAsia" w:cs="Times New Roman" w:eastAsiaTheme="minorEastAsia"/>
          <w:b w:val="0"/>
          <w:bCs/>
          <w:sz w:val="21"/>
          <w:szCs w:val="21"/>
          <w:highlight w:val="none"/>
          <w:lang w:val="en-US" w:eastAsia="zh-CN"/>
        </w:rPr>
        <w:t>（梧政发</w:t>
      </w:r>
      <w:r>
        <w:rPr>
          <w:rFonts w:hint="default" w:ascii="Times New Roman" w:hAnsi="Times New Roman" w:cs="Times New Roman" w:eastAsiaTheme="minorEastAsia"/>
          <w:b w:val="0"/>
          <w:bCs/>
          <w:sz w:val="21"/>
          <w:szCs w:val="21"/>
          <w:highlight w:val="none"/>
          <w:lang w:eastAsia="zh-CN"/>
        </w:rPr>
        <w:t>〔202</w:t>
      </w:r>
      <w:r>
        <w:rPr>
          <w:rFonts w:hint="eastAsia" w:cs="Times New Roman" w:eastAsiaTheme="minorEastAsia"/>
          <w:b w:val="0"/>
          <w:bCs/>
          <w:sz w:val="21"/>
          <w:szCs w:val="21"/>
          <w:highlight w:val="none"/>
          <w:lang w:val="en-US" w:eastAsia="zh-CN"/>
        </w:rPr>
        <w:t>4</w:t>
      </w:r>
      <w:r>
        <w:rPr>
          <w:rFonts w:hint="default" w:ascii="Times New Roman" w:hAnsi="Times New Roman" w:cs="Times New Roman" w:eastAsiaTheme="minorEastAsia"/>
          <w:b w:val="0"/>
          <w:bCs/>
          <w:sz w:val="21"/>
          <w:szCs w:val="21"/>
          <w:highlight w:val="none"/>
          <w:lang w:eastAsia="zh-CN"/>
        </w:rPr>
        <w:t>〕</w:t>
      </w:r>
      <w:r>
        <w:rPr>
          <w:rFonts w:hint="eastAsia" w:cs="Times New Roman" w:eastAsiaTheme="minorEastAsia"/>
          <w:b w:val="0"/>
          <w:bCs/>
          <w:sz w:val="21"/>
          <w:szCs w:val="21"/>
          <w:highlight w:val="none"/>
          <w:lang w:val="en-US" w:eastAsia="zh-CN"/>
        </w:rPr>
        <w:t>19号）</w:t>
      </w:r>
      <w:r>
        <w:rPr>
          <w:rFonts w:hint="default" w:ascii="Times New Roman" w:hAnsi="Times New Roman" w:cs="Times New Roman" w:eastAsiaTheme="minorEastAsia"/>
          <w:b w:val="0"/>
          <w:bCs/>
          <w:sz w:val="21"/>
          <w:szCs w:val="21"/>
          <w:lang w:eastAsia="zh-CN"/>
        </w:rPr>
        <w:t>中的医疗补助对象，统一向承保公司投保团体补充医疗保险，作为城镇职工基本医疗保险的补充</w:t>
      </w:r>
      <w:r>
        <w:rPr>
          <w:rFonts w:hint="default" w:ascii="Times New Roman" w:hAnsi="Times New Roman" w:cs="Times New Roman" w:eastAsiaTheme="minorEastAsia"/>
          <w:b w:val="0"/>
          <w:bCs/>
          <w:color w:val="auto"/>
          <w:sz w:val="21"/>
          <w:szCs w:val="21"/>
          <w:highlight w:val="none"/>
          <w:lang w:eastAsia="zh-CN"/>
        </w:rPr>
        <w:t>。</w:t>
      </w:r>
    </w:p>
    <w:p w14:paraId="788D1373">
      <w:pPr>
        <w:spacing w:line="500" w:lineRule="exact"/>
        <w:ind w:firstLine="422" w:firstLineChars="200"/>
        <w:jc w:val="left"/>
        <w:rPr>
          <w:rFonts w:hint="default" w:ascii="Times New Roman" w:hAnsi="Times New Roman" w:cs="Times New Roman" w:eastAsiaTheme="minorEastAsia"/>
          <w:b/>
          <w:color w:val="auto"/>
          <w:sz w:val="21"/>
          <w:szCs w:val="21"/>
          <w:highlight w:val="none"/>
          <w:lang w:eastAsia="zh-CN"/>
        </w:rPr>
      </w:pPr>
      <w:r>
        <w:rPr>
          <w:rFonts w:hint="default" w:ascii="Times New Roman" w:hAnsi="Times New Roman" w:cs="Times New Roman" w:eastAsiaTheme="minorEastAsia"/>
          <w:b/>
          <w:color w:val="auto"/>
          <w:sz w:val="21"/>
          <w:szCs w:val="21"/>
          <w:highlight w:val="none"/>
        </w:rPr>
        <w:t>二、</w:t>
      </w:r>
      <w:r>
        <w:rPr>
          <w:rFonts w:hint="default" w:ascii="Times New Roman" w:hAnsi="Times New Roman" w:cs="Times New Roman" w:eastAsiaTheme="minorEastAsia"/>
          <w:b/>
          <w:color w:val="auto"/>
          <w:sz w:val="21"/>
          <w:szCs w:val="21"/>
          <w:highlight w:val="none"/>
          <w:lang w:eastAsia="zh-CN"/>
        </w:rPr>
        <w:t>服务</w:t>
      </w:r>
      <w:r>
        <w:rPr>
          <w:rFonts w:hint="eastAsia" w:ascii="Times New Roman" w:hAnsi="Times New Roman" w:cs="Times New Roman" w:eastAsiaTheme="minorEastAsia"/>
          <w:b/>
          <w:color w:val="auto"/>
          <w:sz w:val="21"/>
          <w:szCs w:val="21"/>
          <w:highlight w:val="none"/>
          <w:lang w:eastAsia="zh-CN"/>
        </w:rPr>
        <w:t>内容及要</w:t>
      </w:r>
      <w:r>
        <w:rPr>
          <w:rFonts w:hint="default" w:ascii="Times New Roman" w:hAnsi="Times New Roman" w:cs="Times New Roman" w:eastAsiaTheme="minorEastAsia"/>
          <w:b/>
          <w:color w:val="auto"/>
          <w:sz w:val="21"/>
          <w:szCs w:val="21"/>
          <w:highlight w:val="none"/>
          <w:lang w:eastAsia="zh-CN"/>
        </w:rPr>
        <w:t>求</w:t>
      </w:r>
    </w:p>
    <w:p w14:paraId="245312E0">
      <w:pPr>
        <w:spacing w:line="500" w:lineRule="exact"/>
        <w:ind w:firstLine="422" w:firstLineChars="200"/>
        <w:jc w:val="left"/>
        <w:rPr>
          <w:rFonts w:hint="default" w:ascii="Times New Roman" w:hAnsi="Times New Roman" w:cs="Times New Roman" w:eastAsiaTheme="minorEastAsia"/>
          <w:b w:val="0"/>
          <w:bCs/>
          <w:color w:val="auto"/>
          <w:sz w:val="21"/>
          <w:szCs w:val="21"/>
          <w:highlight w:val="none"/>
          <w:lang w:val="en-US" w:eastAsia="zh-CN"/>
        </w:rPr>
      </w:pPr>
      <w:r>
        <w:rPr>
          <w:rFonts w:hint="default" w:ascii="Times New Roman" w:hAnsi="Times New Roman" w:cs="Times New Roman" w:eastAsiaTheme="minorEastAsia"/>
          <w:b/>
          <w:color w:val="auto"/>
          <w:sz w:val="21"/>
          <w:szCs w:val="21"/>
          <w:highlight w:val="none"/>
          <w:lang w:val="en-US" w:eastAsia="zh-CN"/>
        </w:rPr>
        <w:t>1、投保对象：</w:t>
      </w:r>
      <w:r>
        <w:rPr>
          <w:rFonts w:hint="default" w:ascii="Times New Roman" w:hAnsi="Times New Roman" w:cs="Times New Roman" w:eastAsiaTheme="minorEastAsia"/>
          <w:b w:val="0"/>
          <w:bCs/>
          <w:color w:val="auto"/>
          <w:sz w:val="21"/>
          <w:szCs w:val="21"/>
          <w:highlight w:val="none"/>
          <w:lang w:val="en-US" w:eastAsia="zh-CN"/>
        </w:rPr>
        <w:t>凡参加蒙山县城镇职工基本医疗保险的公务员单位在编和退休工作人员、参公管理单位在编和退休工作人员、财政全额拨款事业单位在编和退休工作人员均为补充医疗保险的投保对象 (下称被保险人) ，对投保对象的投保，承保公司不能设立排他条款或以任何理由拒绝。</w:t>
      </w:r>
    </w:p>
    <w:p w14:paraId="38CD4D59">
      <w:pPr>
        <w:spacing w:line="500" w:lineRule="exact"/>
        <w:ind w:firstLine="422" w:firstLineChars="200"/>
        <w:jc w:val="left"/>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1"/>
          <w:szCs w:val="21"/>
          <w:highlight w:val="none"/>
          <w:lang w:val="en-US" w:eastAsia="zh-CN"/>
        </w:rPr>
        <w:t>2</w:t>
      </w:r>
      <w:r>
        <w:rPr>
          <w:rFonts w:hint="default" w:ascii="Times New Roman" w:hAnsi="Times New Roman" w:cs="Times New Roman" w:eastAsiaTheme="minorEastAsia"/>
          <w:b/>
          <w:color w:val="auto"/>
          <w:sz w:val="21"/>
          <w:szCs w:val="21"/>
          <w:highlight w:val="none"/>
          <w:lang w:eastAsia="zh-CN"/>
        </w:rPr>
        <w:t>、保险期限</w:t>
      </w:r>
      <w:r>
        <w:rPr>
          <w:rFonts w:hint="default" w:ascii="Times New Roman" w:hAnsi="Times New Roman" w:cs="Times New Roman" w:eastAsiaTheme="minorEastAsia"/>
          <w:b/>
          <w:color w:val="auto"/>
          <w:sz w:val="21"/>
          <w:szCs w:val="21"/>
          <w:highlight w:val="none"/>
        </w:rPr>
        <w:t>：</w:t>
      </w:r>
      <w:r>
        <w:rPr>
          <w:rFonts w:hint="default" w:ascii="Times New Roman" w:hAnsi="Times New Roman" w:eastAsia="宋体" w:cs="Times New Roman"/>
          <w:color w:val="auto"/>
          <w:szCs w:val="21"/>
          <w:highlight w:val="none"/>
          <w:lang w:val="en-US" w:eastAsia="zh-CN"/>
        </w:rPr>
        <w:t>自2026年</w:t>
      </w:r>
      <w:r>
        <w:rPr>
          <w:rFonts w:hint="eastAsia" w:cs="Times New Roman"/>
          <w:color w:val="auto"/>
          <w:szCs w:val="21"/>
          <w:highlight w:val="none"/>
          <w:lang w:val="en-US" w:eastAsia="zh-CN"/>
        </w:rPr>
        <w:t>2</w:t>
      </w:r>
      <w:r>
        <w:rPr>
          <w:rFonts w:hint="default" w:ascii="Times New Roman" w:hAnsi="Times New Roman" w:eastAsia="宋体" w:cs="Times New Roman"/>
          <w:color w:val="auto"/>
          <w:szCs w:val="21"/>
          <w:highlight w:val="none"/>
          <w:lang w:val="en-US" w:eastAsia="zh-CN"/>
        </w:rPr>
        <w:t>月1日起至2028年12月31日止</w:t>
      </w:r>
      <w:r>
        <w:rPr>
          <w:rFonts w:hint="default" w:ascii="Times New Roman" w:hAnsi="Times New Roman" w:cs="Times New Roman" w:eastAsiaTheme="minorEastAsia"/>
          <w:b w:val="0"/>
          <w:bCs/>
          <w:color w:val="auto"/>
          <w:sz w:val="21"/>
          <w:szCs w:val="21"/>
          <w:highlight w:val="none"/>
        </w:rPr>
        <w:t>。</w:t>
      </w:r>
    </w:p>
    <w:p w14:paraId="06CC5EE2">
      <w:pPr>
        <w:spacing w:line="500" w:lineRule="exact"/>
        <w:ind w:firstLine="422" w:firstLineChars="200"/>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lang w:val="en-US" w:eastAsia="zh-CN"/>
        </w:rPr>
        <w:t>3</w:t>
      </w:r>
      <w:r>
        <w:rPr>
          <w:rFonts w:hint="default" w:ascii="Times New Roman" w:hAnsi="Times New Roman" w:cs="Times New Roman" w:eastAsiaTheme="minorEastAsia"/>
          <w:b/>
          <w:color w:val="auto"/>
          <w:sz w:val="21"/>
          <w:szCs w:val="21"/>
          <w:highlight w:val="none"/>
        </w:rPr>
        <w:t>、投保费用标准：</w:t>
      </w:r>
      <w:r>
        <w:rPr>
          <w:rFonts w:hint="default" w:ascii="Times New Roman" w:hAnsi="Times New Roman" w:cs="Times New Roman" w:eastAsiaTheme="minorEastAsia"/>
          <w:b w:val="0"/>
          <w:bCs/>
          <w:color w:val="auto"/>
          <w:sz w:val="21"/>
          <w:szCs w:val="21"/>
          <w:highlight w:val="none"/>
        </w:rPr>
        <w:t>按180元/人</w:t>
      </w:r>
      <w:r>
        <w:rPr>
          <w:rFonts w:hint="eastAsia" w:ascii="Times New Roman" w:hAnsi="Times New Roman" w:cs="Times New Roman" w:eastAsiaTheme="minorEastAsia"/>
          <w:b w:val="0"/>
          <w:bCs/>
          <w:color w:val="auto"/>
          <w:sz w:val="21"/>
          <w:szCs w:val="21"/>
          <w:highlight w:val="none"/>
          <w:lang w:val="en-US" w:eastAsia="zh-CN"/>
        </w:rPr>
        <w:t>/</w:t>
      </w:r>
      <w:r>
        <w:rPr>
          <w:rFonts w:hint="default" w:ascii="Times New Roman" w:hAnsi="Times New Roman" w:cs="Times New Roman" w:eastAsiaTheme="minorEastAsia"/>
          <w:b w:val="0"/>
          <w:bCs/>
          <w:color w:val="auto"/>
          <w:sz w:val="21"/>
          <w:szCs w:val="21"/>
          <w:highlight w:val="none"/>
        </w:rPr>
        <w:t>年标准投保。具体参保名单由</w:t>
      </w:r>
      <w:r>
        <w:rPr>
          <w:rFonts w:hint="default" w:ascii="Times New Roman" w:hAnsi="Times New Roman" w:cs="Times New Roman" w:eastAsiaTheme="minorEastAsia"/>
          <w:b w:val="0"/>
          <w:bCs/>
          <w:color w:val="auto"/>
          <w:sz w:val="21"/>
          <w:szCs w:val="21"/>
          <w:highlight w:val="none"/>
          <w:lang w:eastAsia="zh-CN"/>
        </w:rPr>
        <w:t>采购人</w:t>
      </w:r>
      <w:r>
        <w:rPr>
          <w:rFonts w:hint="default" w:ascii="Times New Roman" w:hAnsi="Times New Roman" w:cs="Times New Roman" w:eastAsiaTheme="minorEastAsia"/>
          <w:b w:val="0"/>
          <w:bCs/>
          <w:color w:val="auto"/>
          <w:sz w:val="21"/>
          <w:szCs w:val="21"/>
          <w:highlight w:val="none"/>
        </w:rPr>
        <w:t>分年度提供，每年度中途参保人有增加的，由</w:t>
      </w:r>
      <w:r>
        <w:rPr>
          <w:rFonts w:hint="default" w:ascii="Times New Roman" w:hAnsi="Times New Roman" w:cs="Times New Roman" w:eastAsiaTheme="minorEastAsia"/>
          <w:b w:val="0"/>
          <w:bCs/>
          <w:color w:val="auto"/>
          <w:sz w:val="21"/>
          <w:szCs w:val="21"/>
          <w:highlight w:val="none"/>
          <w:lang w:eastAsia="zh-CN"/>
        </w:rPr>
        <w:t>采购人</w:t>
      </w:r>
      <w:r>
        <w:rPr>
          <w:rFonts w:hint="default" w:ascii="Times New Roman" w:hAnsi="Times New Roman" w:cs="Times New Roman" w:eastAsiaTheme="minorEastAsia"/>
          <w:b w:val="0"/>
          <w:bCs/>
          <w:color w:val="auto"/>
          <w:sz w:val="21"/>
          <w:szCs w:val="21"/>
          <w:highlight w:val="none"/>
        </w:rPr>
        <w:t>向承保公司追加名单和投保费用，新增人员投保成功后享受自然年度保险待遇。</w:t>
      </w:r>
    </w:p>
    <w:p w14:paraId="03717C50">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1"/>
          <w:szCs w:val="21"/>
          <w:highlight w:val="none"/>
          <w:lang w:val="en-US" w:eastAsia="zh-CN"/>
        </w:rPr>
        <w:t>4</w:t>
      </w:r>
      <w:r>
        <w:rPr>
          <w:rFonts w:hint="default" w:ascii="Times New Roman" w:hAnsi="Times New Roman" w:cs="Times New Roman" w:eastAsiaTheme="minorEastAsia"/>
          <w:b/>
          <w:color w:val="auto"/>
          <w:sz w:val="21"/>
          <w:szCs w:val="21"/>
          <w:highlight w:val="none"/>
        </w:rPr>
        <w:t>、保险赔付要求</w:t>
      </w:r>
    </w:p>
    <w:p w14:paraId="70AF70D5">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cs="Times New Roman" w:eastAsiaTheme="minorEastAsia"/>
          <w:b w:val="0"/>
          <w:bCs/>
          <w:color w:val="auto"/>
          <w:sz w:val="21"/>
          <w:szCs w:val="21"/>
          <w:highlight w:val="none"/>
          <w:u w:val="none"/>
          <w:lang w:val="en-US" w:eastAsia="zh-CN"/>
        </w:rPr>
      </w:pPr>
      <w:r>
        <w:rPr>
          <w:rFonts w:hint="eastAsia" w:cs="Times New Roman" w:eastAsiaTheme="minorEastAsia"/>
          <w:b w:val="0"/>
          <w:bCs/>
          <w:color w:val="auto"/>
          <w:sz w:val="21"/>
          <w:szCs w:val="21"/>
          <w:highlight w:val="none"/>
          <w:u w:val="none"/>
          <w:lang w:eastAsia="zh-CN"/>
        </w:rPr>
        <w:t>（</w:t>
      </w:r>
      <w:r>
        <w:rPr>
          <w:rFonts w:hint="eastAsia" w:cs="Times New Roman" w:eastAsiaTheme="minorEastAsia"/>
          <w:b w:val="0"/>
          <w:bCs/>
          <w:color w:val="auto"/>
          <w:sz w:val="21"/>
          <w:szCs w:val="21"/>
          <w:highlight w:val="none"/>
          <w:u w:val="none"/>
          <w:lang w:val="en-US" w:eastAsia="zh-CN"/>
        </w:rPr>
        <w:t>1）</w:t>
      </w:r>
      <w:r>
        <w:rPr>
          <w:rFonts w:hint="default" w:ascii="Times New Roman" w:hAnsi="Times New Roman" w:cs="Times New Roman" w:eastAsiaTheme="minorEastAsia"/>
          <w:b w:val="0"/>
          <w:bCs/>
          <w:color w:val="auto"/>
          <w:sz w:val="21"/>
          <w:szCs w:val="21"/>
          <w:highlight w:val="none"/>
        </w:rPr>
        <w:t>被保险人在保险期限内发生的</w:t>
      </w:r>
      <w:r>
        <w:rPr>
          <w:rFonts w:hint="default" w:ascii="Times New Roman" w:hAnsi="Times New Roman" w:cs="Times New Roman" w:eastAsiaTheme="minorEastAsia"/>
          <w:b w:val="0"/>
          <w:bCs/>
          <w:color w:val="auto"/>
          <w:sz w:val="21"/>
          <w:szCs w:val="21"/>
          <w:highlight w:val="none"/>
          <w:lang w:eastAsia="zh-CN"/>
        </w:rPr>
        <w:t>符合</w:t>
      </w:r>
      <w:r>
        <w:rPr>
          <w:rFonts w:hint="default" w:ascii="Times New Roman" w:hAnsi="Times New Roman" w:cs="Times New Roman" w:eastAsiaTheme="minorEastAsia"/>
          <w:b w:val="0"/>
          <w:bCs/>
          <w:color w:val="auto"/>
          <w:sz w:val="21"/>
          <w:szCs w:val="21"/>
          <w:highlight w:val="none"/>
        </w:rPr>
        <w:t>医保政策的</w:t>
      </w:r>
      <w:r>
        <w:rPr>
          <w:rFonts w:hint="eastAsia" w:cs="Times New Roman" w:eastAsiaTheme="minorEastAsia"/>
          <w:b w:val="0"/>
          <w:bCs/>
          <w:color w:val="auto"/>
          <w:sz w:val="21"/>
          <w:szCs w:val="21"/>
          <w:highlight w:val="none"/>
          <w:lang w:val="en-US" w:eastAsia="zh-CN"/>
        </w:rPr>
        <w:t>住院</w:t>
      </w:r>
      <w:r>
        <w:rPr>
          <w:rFonts w:hint="default" w:ascii="Times New Roman" w:hAnsi="Times New Roman" w:cs="Times New Roman" w:eastAsiaTheme="minorEastAsia"/>
          <w:b w:val="0"/>
          <w:bCs/>
          <w:color w:val="auto"/>
          <w:sz w:val="21"/>
          <w:szCs w:val="21"/>
          <w:highlight w:val="none"/>
        </w:rPr>
        <w:t>就医费用</w:t>
      </w:r>
      <w:r>
        <w:rPr>
          <w:rFonts w:hint="eastAsia" w:cs="Times New Roman" w:eastAsiaTheme="minorEastAsia"/>
          <w:b w:val="0"/>
          <w:bCs/>
          <w:color w:val="auto"/>
          <w:sz w:val="21"/>
          <w:szCs w:val="21"/>
          <w:highlight w:val="none"/>
          <w:u w:val="none"/>
          <w:lang w:val="en-US" w:eastAsia="zh-CN"/>
        </w:rPr>
        <w:t>按以下规定补助：</w:t>
      </w:r>
    </w:p>
    <w:p w14:paraId="257D39DF">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cs="Times New Roman" w:eastAsiaTheme="minorEastAsia"/>
          <w:b w:val="0"/>
          <w:bCs/>
          <w:color w:val="auto"/>
          <w:sz w:val="21"/>
          <w:szCs w:val="21"/>
          <w:highlight w:val="none"/>
          <w:u w:val="none"/>
          <w:lang w:val="en-US" w:eastAsia="zh-CN"/>
        </w:rPr>
      </w:pPr>
      <w:r>
        <w:rPr>
          <w:rFonts w:hint="default" w:ascii="Calibri" w:hAnsi="Calibri" w:cs="Calibri" w:eastAsiaTheme="minorEastAsia"/>
          <w:b w:val="0"/>
          <w:bCs/>
          <w:color w:val="auto"/>
          <w:sz w:val="21"/>
          <w:szCs w:val="21"/>
          <w:highlight w:val="none"/>
          <w:u w:val="none"/>
          <w:lang w:val="en-US" w:eastAsia="zh-CN"/>
        </w:rPr>
        <w:t>①</w:t>
      </w:r>
      <w:r>
        <w:rPr>
          <w:rFonts w:hint="eastAsia" w:cs="Times New Roman" w:eastAsiaTheme="minorEastAsia"/>
          <w:b w:val="0"/>
          <w:bCs/>
          <w:color w:val="auto"/>
          <w:sz w:val="21"/>
          <w:szCs w:val="21"/>
          <w:highlight w:val="none"/>
          <w:u w:val="none"/>
          <w:lang w:val="en-US" w:eastAsia="zh-CN"/>
        </w:rPr>
        <w:t>起付线与先行自付规则。起付线：执行基本医疗保险起付线标准，起付线以下费用不予补助。先行自付费用：乙类、丙类药品及诊疗项目先行自付部分，纳入补助范围。</w:t>
      </w:r>
    </w:p>
    <w:p w14:paraId="2565D6FF">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cs="Times New Roman" w:eastAsiaTheme="minorEastAsia"/>
          <w:b w:val="0"/>
          <w:bCs/>
          <w:color w:val="auto"/>
          <w:sz w:val="21"/>
          <w:szCs w:val="21"/>
          <w:highlight w:val="none"/>
          <w:u w:val="none"/>
          <w:lang w:val="en-US" w:eastAsia="zh-CN"/>
        </w:rPr>
      </w:pPr>
      <w:r>
        <w:rPr>
          <w:rFonts w:hint="default" w:ascii="Calibri" w:hAnsi="Calibri" w:cs="Calibri" w:eastAsiaTheme="minorEastAsia"/>
          <w:b w:val="0"/>
          <w:bCs/>
          <w:color w:val="auto"/>
          <w:sz w:val="21"/>
          <w:szCs w:val="21"/>
          <w:highlight w:val="none"/>
          <w:u w:val="none"/>
          <w:lang w:val="en-US" w:eastAsia="zh-CN"/>
        </w:rPr>
        <w:t>②</w:t>
      </w:r>
      <w:r>
        <w:rPr>
          <w:rFonts w:hint="eastAsia" w:cs="Times New Roman" w:eastAsiaTheme="minorEastAsia"/>
          <w:b w:val="0"/>
          <w:bCs/>
          <w:color w:val="auto"/>
          <w:sz w:val="21"/>
          <w:szCs w:val="21"/>
          <w:highlight w:val="none"/>
          <w:u w:val="none"/>
          <w:lang w:val="en-US" w:eastAsia="zh-CN"/>
        </w:rPr>
        <w:t>分段补助规则。起付线以上个人自付部分按比例赔付。市内就医：按中标人承诺赔付比例（不低于55% ）补助；区内异地就医：按中标人承诺赔付比例（不低于50% ）补助；区外异地就医：按中标人承诺赔付比例（不低于 45% ）补助。</w:t>
      </w:r>
    </w:p>
    <w:p w14:paraId="0790B802">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cs="Times New Roman" w:eastAsiaTheme="minorEastAsia"/>
          <w:b w:val="0"/>
          <w:bCs/>
          <w:color w:val="auto"/>
          <w:sz w:val="21"/>
          <w:szCs w:val="21"/>
          <w:highlight w:val="none"/>
          <w:u w:val="none"/>
          <w:lang w:val="en-US" w:eastAsia="zh-CN"/>
        </w:rPr>
      </w:pPr>
      <w:r>
        <w:rPr>
          <w:rFonts w:hint="default" w:ascii="Calibri" w:hAnsi="Calibri" w:cs="Calibri" w:eastAsiaTheme="minorEastAsia"/>
          <w:b w:val="0"/>
          <w:bCs/>
          <w:color w:val="auto"/>
          <w:sz w:val="21"/>
          <w:szCs w:val="21"/>
          <w:highlight w:val="none"/>
          <w:u w:val="none"/>
          <w:lang w:val="en-US" w:eastAsia="zh-CN"/>
        </w:rPr>
        <w:t>③</w:t>
      </w:r>
      <w:r>
        <w:rPr>
          <w:rFonts w:hint="eastAsia" w:cs="Times New Roman" w:eastAsiaTheme="minorEastAsia"/>
          <w:b w:val="0"/>
          <w:bCs/>
          <w:color w:val="auto"/>
          <w:sz w:val="21"/>
          <w:szCs w:val="21"/>
          <w:highlight w:val="none"/>
          <w:u w:val="none"/>
          <w:lang w:val="en-US" w:eastAsia="zh-CN"/>
        </w:rPr>
        <w:t>赔付额度封顶线，赔付额度封顶线为乙方承担赔付责任的最高支付限额。本补充医疗保险每一保险人每一保险年度享受赔付额度封顶线，与总费用挂钩。年度总费用 10 万元及以下：赔付额度封顶线为 ¥10,000.00（壹万元整）；年度总费用 10 万元以上：赔付额度封顶线为 ¥12,000.00（壹万贰仟元整）。</w:t>
      </w:r>
    </w:p>
    <w:p w14:paraId="50BE051F">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ascii="Times New Roman" w:hAnsi="Times New Roman" w:cs="Times New Roman" w:eastAsiaTheme="minorEastAsia"/>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④</w:t>
      </w:r>
      <w:r>
        <w:rPr>
          <w:rFonts w:hint="default" w:ascii="Times New Roman" w:hAnsi="Times New Roman" w:cs="Times New Roman" w:eastAsiaTheme="minorEastAsia"/>
          <w:b w:val="0"/>
          <w:bCs/>
          <w:color w:val="auto"/>
          <w:sz w:val="21"/>
          <w:szCs w:val="21"/>
          <w:highlight w:val="none"/>
        </w:rPr>
        <w:t>跨年度处理</w:t>
      </w:r>
      <w:r>
        <w:rPr>
          <w:rFonts w:hint="eastAsia"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lang w:val="en-US" w:eastAsia="zh-CN"/>
        </w:rPr>
        <w:t>被保险</w:t>
      </w:r>
      <w:r>
        <w:rPr>
          <w:rFonts w:hint="default" w:ascii="Times New Roman" w:hAnsi="Times New Roman" w:cs="Times New Roman" w:eastAsiaTheme="minorEastAsia"/>
          <w:b w:val="0"/>
          <w:bCs/>
          <w:color w:val="auto"/>
          <w:sz w:val="21"/>
          <w:szCs w:val="21"/>
          <w:highlight w:val="none"/>
        </w:rPr>
        <w:t>人跨年度连续住院，住院医疗费用按实际发生时间计入前后两个保险年度，下一保险年度医疗费用列入下一保险年度报销范围</w:t>
      </w:r>
      <w:r>
        <w:rPr>
          <w:rFonts w:hint="default" w:ascii="Times New Roman" w:hAnsi="Times New Roman" w:cs="Times New Roman" w:eastAsiaTheme="minorEastAsia"/>
          <w:b w:val="0"/>
          <w:bCs/>
          <w:color w:val="auto"/>
          <w:sz w:val="21"/>
          <w:szCs w:val="21"/>
          <w:highlight w:val="none"/>
          <w:lang w:eastAsia="zh-CN"/>
        </w:rPr>
        <w:t>，但只能在前</w:t>
      </w:r>
      <w:r>
        <w:rPr>
          <w:rFonts w:hint="default" w:ascii="Times New Roman" w:hAnsi="Times New Roman" w:cs="Times New Roman" w:eastAsiaTheme="minorEastAsia"/>
          <w:b w:val="0"/>
          <w:bCs/>
          <w:color w:val="auto"/>
          <w:sz w:val="21"/>
          <w:szCs w:val="21"/>
          <w:highlight w:val="none"/>
        </w:rPr>
        <w:t>保险</w:t>
      </w:r>
      <w:r>
        <w:rPr>
          <w:rFonts w:hint="default" w:ascii="Times New Roman" w:hAnsi="Times New Roman" w:cs="Times New Roman" w:eastAsiaTheme="minorEastAsia"/>
          <w:b w:val="0"/>
          <w:bCs/>
          <w:color w:val="auto"/>
          <w:sz w:val="21"/>
          <w:szCs w:val="21"/>
          <w:highlight w:val="none"/>
          <w:lang w:eastAsia="zh-CN"/>
        </w:rPr>
        <w:t>年度计算扣减一次住院起付线，后一</w:t>
      </w:r>
      <w:r>
        <w:rPr>
          <w:rFonts w:hint="default" w:ascii="Times New Roman" w:hAnsi="Times New Roman" w:cs="Times New Roman" w:eastAsiaTheme="minorEastAsia"/>
          <w:b w:val="0"/>
          <w:bCs/>
          <w:color w:val="auto"/>
          <w:sz w:val="21"/>
          <w:szCs w:val="21"/>
          <w:highlight w:val="none"/>
        </w:rPr>
        <w:t>保险</w:t>
      </w:r>
      <w:r>
        <w:rPr>
          <w:rFonts w:hint="default" w:ascii="Times New Roman" w:hAnsi="Times New Roman" w:cs="Times New Roman" w:eastAsiaTheme="minorEastAsia"/>
          <w:b w:val="0"/>
          <w:bCs/>
          <w:color w:val="auto"/>
          <w:sz w:val="21"/>
          <w:szCs w:val="21"/>
          <w:highlight w:val="none"/>
          <w:lang w:eastAsia="zh-CN"/>
        </w:rPr>
        <w:t>年度不能重复计算。</w:t>
      </w:r>
    </w:p>
    <w:p w14:paraId="1C0C1D43">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Times New Roman" w:hAnsi="Times New Roman" w:cs="Times New Roman" w:eastAsiaTheme="minorEastAsia"/>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⑤</w:t>
      </w:r>
      <w:r>
        <w:rPr>
          <w:rFonts w:hint="eastAsia" w:ascii="Times New Roman" w:hAnsi="Times New Roman" w:cs="Times New Roman" w:eastAsiaTheme="minorEastAsia"/>
          <w:b w:val="0"/>
          <w:bCs/>
          <w:color w:val="auto"/>
          <w:sz w:val="21"/>
          <w:szCs w:val="21"/>
          <w:highlight w:val="none"/>
        </w:rPr>
        <w:t>被保险人在202</w:t>
      </w:r>
      <w:r>
        <w:rPr>
          <w:rFonts w:hint="eastAsia" w:ascii="Times New Roman" w:hAnsi="Times New Roman" w:cs="Times New Roman" w:eastAsiaTheme="minorEastAsia"/>
          <w:b w:val="0"/>
          <w:bCs/>
          <w:color w:val="auto"/>
          <w:sz w:val="21"/>
          <w:szCs w:val="21"/>
          <w:highlight w:val="none"/>
          <w:lang w:val="en-US" w:eastAsia="zh-CN"/>
        </w:rPr>
        <w:t>6</w:t>
      </w:r>
      <w:r>
        <w:rPr>
          <w:rFonts w:hint="eastAsia" w:ascii="Times New Roman" w:hAnsi="Times New Roman" w:cs="Times New Roman" w:eastAsiaTheme="minorEastAsia"/>
          <w:b w:val="0"/>
          <w:bCs/>
          <w:color w:val="auto"/>
          <w:sz w:val="21"/>
          <w:szCs w:val="21"/>
          <w:highlight w:val="none"/>
        </w:rPr>
        <w:t>年</w:t>
      </w:r>
      <w:r>
        <w:rPr>
          <w:rFonts w:hint="eastAsia" w:cs="Times New Roman" w:eastAsiaTheme="minorEastAsia"/>
          <w:b w:val="0"/>
          <w:bCs/>
          <w:color w:val="auto"/>
          <w:sz w:val="21"/>
          <w:szCs w:val="21"/>
          <w:highlight w:val="none"/>
          <w:lang w:val="en-US" w:eastAsia="zh-CN"/>
        </w:rPr>
        <w:t>1月份</w:t>
      </w:r>
      <w:r>
        <w:rPr>
          <w:rFonts w:hint="eastAsia" w:ascii="Times New Roman" w:hAnsi="Times New Roman" w:cs="Times New Roman" w:eastAsiaTheme="minorEastAsia"/>
          <w:b w:val="0"/>
          <w:bCs/>
          <w:color w:val="auto"/>
          <w:sz w:val="21"/>
          <w:szCs w:val="21"/>
          <w:highlight w:val="none"/>
        </w:rPr>
        <w:t>产生的医疗费用</w:t>
      </w:r>
      <w:r>
        <w:rPr>
          <w:rFonts w:hint="eastAsia" w:cs="Times New Roman" w:eastAsiaTheme="minorEastAsia"/>
          <w:b w:val="0"/>
          <w:bCs/>
          <w:color w:val="auto"/>
          <w:sz w:val="21"/>
          <w:szCs w:val="21"/>
          <w:highlight w:val="none"/>
          <w:lang w:eastAsia="zh-CN"/>
        </w:rPr>
        <w:t>由原</w:t>
      </w:r>
      <w:r>
        <w:rPr>
          <w:rFonts w:hint="eastAsia" w:cs="Times New Roman" w:eastAsiaTheme="minorEastAsia"/>
          <w:b w:val="0"/>
          <w:bCs/>
          <w:color w:val="auto"/>
          <w:sz w:val="21"/>
          <w:szCs w:val="21"/>
          <w:highlight w:val="none"/>
          <w:lang w:val="en-US" w:eastAsia="zh-CN"/>
        </w:rPr>
        <w:t>2025年度承保公司延续办理，其年度享受赔付额度并入2026年合并计算</w:t>
      </w:r>
      <w:r>
        <w:rPr>
          <w:rFonts w:hint="eastAsia" w:ascii="Times New Roman" w:hAnsi="Times New Roman" w:cs="Times New Roman" w:eastAsiaTheme="minorEastAsia"/>
          <w:b w:val="0"/>
          <w:bCs/>
          <w:color w:val="auto"/>
          <w:sz w:val="21"/>
          <w:szCs w:val="21"/>
          <w:highlight w:val="none"/>
          <w:lang w:eastAsia="zh-CN"/>
        </w:rPr>
        <w:t>。</w:t>
      </w:r>
    </w:p>
    <w:p w14:paraId="23F47DF1">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cs="Times New Roman" w:eastAsiaTheme="minorEastAsia"/>
          <w:b w:val="0"/>
          <w:bCs/>
          <w:sz w:val="21"/>
          <w:szCs w:val="21"/>
          <w:highlight w:val="none"/>
          <w:lang w:eastAsia="zh-CN"/>
        </w:rPr>
      </w:pPr>
      <w:r>
        <w:rPr>
          <w:rFonts w:hint="eastAsia" w:ascii="宋体" w:hAnsi="宋体" w:eastAsia="宋体" w:cs="宋体"/>
          <w:b w:val="0"/>
          <w:bCs/>
          <w:color w:val="auto"/>
          <w:sz w:val="21"/>
          <w:szCs w:val="21"/>
          <w:highlight w:val="none"/>
          <w:lang w:val="en-US" w:eastAsia="zh-CN"/>
        </w:rPr>
        <w:t>⑥</w:t>
      </w:r>
      <w:r>
        <w:rPr>
          <w:rFonts w:hint="default" w:ascii="Times New Roman" w:hAnsi="Times New Roman" w:cs="Times New Roman" w:eastAsiaTheme="minorEastAsia"/>
          <w:b w:val="0"/>
          <w:bCs/>
          <w:color w:val="auto"/>
          <w:sz w:val="21"/>
          <w:szCs w:val="21"/>
          <w:highlight w:val="none"/>
        </w:rPr>
        <w:t>赔付时间</w:t>
      </w:r>
      <w:r>
        <w:rPr>
          <w:rFonts w:hint="eastAsia"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承保公司自决定受理</w:t>
      </w:r>
      <w:r>
        <w:rPr>
          <w:rFonts w:hint="default" w:ascii="Times New Roman" w:hAnsi="Times New Roman" w:cs="Times New Roman" w:eastAsiaTheme="minorEastAsia"/>
          <w:b w:val="0"/>
          <w:bCs/>
          <w:color w:val="auto"/>
          <w:sz w:val="21"/>
          <w:szCs w:val="21"/>
          <w:highlight w:val="none"/>
          <w:lang w:val="en-US" w:eastAsia="zh-CN"/>
        </w:rPr>
        <w:t>被保险</w:t>
      </w:r>
      <w:r>
        <w:rPr>
          <w:rFonts w:hint="default" w:ascii="Times New Roman" w:hAnsi="Times New Roman" w:cs="Times New Roman" w:eastAsiaTheme="minorEastAsia"/>
          <w:b w:val="0"/>
          <w:bCs/>
          <w:color w:val="auto"/>
          <w:sz w:val="21"/>
          <w:szCs w:val="21"/>
          <w:highlight w:val="none"/>
        </w:rPr>
        <w:t>人提交有关资料之日起，在10个工作日内完成赔付。</w:t>
      </w:r>
      <w:r>
        <w:rPr>
          <w:rFonts w:hint="eastAsia" w:cs="Times New Roman" w:eastAsiaTheme="minorEastAsia"/>
          <w:b w:val="0"/>
          <w:bCs/>
          <w:color w:val="auto"/>
          <w:sz w:val="21"/>
          <w:szCs w:val="21"/>
          <w:highlight w:val="none"/>
          <w:u w:val="none"/>
          <w:lang w:val="en-US" w:eastAsia="zh-CN"/>
        </w:rPr>
        <w:t>本补充医疗保险赔付有效期为 3 年。</w:t>
      </w:r>
    </w:p>
    <w:p w14:paraId="2C6E0A2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jc w:val="left"/>
        <w:textAlignment w:val="auto"/>
        <w:rPr>
          <w:rFonts w:hint="eastAsia" w:cs="Times New Roman" w:eastAsiaTheme="minorEastAsia"/>
          <w:b w:val="0"/>
          <w:bCs/>
          <w:color w:val="auto"/>
          <w:sz w:val="21"/>
          <w:szCs w:val="21"/>
          <w:highlight w:val="none"/>
          <w:u w:val="none"/>
          <w:lang w:val="en-US" w:eastAsia="zh-CN"/>
        </w:rPr>
      </w:pPr>
      <w:r>
        <w:rPr>
          <w:rFonts w:hint="eastAsia" w:ascii="Times New Roman" w:hAnsi="Times New Roman" w:cs="Times New Roman" w:eastAsiaTheme="minorEastAsia"/>
          <w:b w:val="0"/>
          <w:bCs/>
          <w:color w:val="auto"/>
          <w:kern w:val="2"/>
          <w:sz w:val="21"/>
          <w:szCs w:val="21"/>
          <w:highlight w:val="none"/>
          <w:lang w:val="en-US" w:eastAsia="zh-CN" w:bidi="ar-SA"/>
        </w:rPr>
        <w:t>（2）</w:t>
      </w:r>
      <w:r>
        <w:rPr>
          <w:rFonts w:hint="eastAsia" w:cs="Times New Roman" w:eastAsiaTheme="minorEastAsia"/>
          <w:b w:val="0"/>
          <w:bCs/>
          <w:color w:val="auto"/>
          <w:sz w:val="21"/>
          <w:szCs w:val="21"/>
          <w:highlight w:val="none"/>
          <w:u w:val="none"/>
          <w:lang w:val="en-US" w:eastAsia="zh-CN"/>
        </w:rPr>
        <w:t xml:space="preserve">服务要求。保险公司须派驻不少于 2 名 专项服务人员至采购人办公场所联合办公。办公地点为蒙山县县城，与基本医保部门共同履行公务员补充医疗保险（医疗补助）各项职能，为参保人提供一站式服务。专项服务人员全程参与并管理政策咨询、保费征收、费用审核、医疗巡查、理赔接待、档案整理等所有环节。服务期限：2026-2028 年度蒙山县公务员补充医疗保险（医疗补助）。 </w:t>
      </w:r>
    </w:p>
    <w:p w14:paraId="01FE74D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jc w:val="left"/>
        <w:textAlignment w:val="auto"/>
        <w:rPr>
          <w:rFonts w:hint="default" w:cs="Times New Roman" w:eastAsiaTheme="minorEastAsia"/>
          <w:b w:val="0"/>
          <w:bCs/>
          <w:color w:val="auto"/>
          <w:sz w:val="21"/>
          <w:szCs w:val="21"/>
          <w:highlight w:val="none"/>
          <w:u w:val="none"/>
          <w:lang w:val="en-US" w:eastAsia="zh-CN"/>
        </w:rPr>
      </w:pPr>
      <w:r>
        <w:rPr>
          <w:rFonts w:hint="default" w:ascii="Times New Roman" w:hAnsi="Times New Roman" w:cs="Times New Roman" w:eastAsiaTheme="minorEastAsia"/>
          <w:b w:val="0"/>
          <w:bCs/>
          <w:color w:val="auto"/>
          <w:kern w:val="2"/>
          <w:sz w:val="21"/>
          <w:szCs w:val="21"/>
          <w:highlight w:val="none"/>
          <w:lang w:val="en-US" w:eastAsia="zh-CN" w:bidi="ar-SA"/>
        </w:rPr>
        <w:t>（3）</w:t>
      </w:r>
      <w:r>
        <w:rPr>
          <w:rFonts w:hint="default" w:ascii="Times New Roman" w:hAnsi="Times New Roman" w:cs="Times New Roman"/>
          <w:color w:val="auto"/>
          <w:szCs w:val="21"/>
          <w:highlight w:val="none"/>
        </w:rPr>
        <w:t>20</w:t>
      </w:r>
      <w:r>
        <w:rPr>
          <w:rFonts w:hint="default" w:ascii="Times New Roman" w:hAnsi="Times New Roman" w:cs="Times New Roman"/>
          <w:color w:val="auto"/>
          <w:szCs w:val="21"/>
          <w:highlight w:val="none"/>
          <w:lang w:val="en-US" w:eastAsia="zh-CN"/>
        </w:rPr>
        <w:t>2</w:t>
      </w:r>
      <w:r>
        <w:rPr>
          <w:rFonts w:hint="eastAsia" w:cs="Times New Roman"/>
          <w:color w:val="auto"/>
          <w:szCs w:val="21"/>
          <w:highlight w:val="none"/>
          <w:lang w:val="en-US" w:eastAsia="zh-CN"/>
        </w:rPr>
        <w:t>6</w:t>
      </w:r>
      <w:r>
        <w:rPr>
          <w:rFonts w:hint="default" w:ascii="Times New Roman" w:hAnsi="Times New Roman" w:cs="Times New Roman"/>
          <w:color w:val="auto"/>
          <w:szCs w:val="21"/>
          <w:highlight w:val="none"/>
        </w:rPr>
        <w:t>年</w:t>
      </w:r>
      <w:r>
        <w:rPr>
          <w:rFonts w:hint="eastAsia" w:cs="Times New Roman"/>
          <w:color w:val="auto"/>
          <w:szCs w:val="21"/>
          <w:highlight w:val="none"/>
          <w:lang w:val="en-US" w:eastAsia="zh-CN"/>
        </w:rPr>
        <w:t>1月、2月</w:t>
      </w:r>
      <w:r>
        <w:rPr>
          <w:rFonts w:hint="default" w:ascii="Times New Roman" w:hAnsi="Times New Roman" w:cs="Times New Roman"/>
          <w:color w:val="auto"/>
          <w:szCs w:val="21"/>
          <w:highlight w:val="none"/>
        </w:rPr>
        <w:t>跨</w:t>
      </w:r>
      <w:r>
        <w:rPr>
          <w:rFonts w:hint="eastAsia" w:cs="Times New Roman"/>
          <w:color w:val="auto"/>
          <w:szCs w:val="21"/>
          <w:highlight w:val="none"/>
          <w:lang w:val="en-US" w:eastAsia="zh-CN"/>
        </w:rPr>
        <w:t>月</w:t>
      </w:r>
      <w:r>
        <w:rPr>
          <w:rFonts w:hint="default" w:ascii="Times New Roman" w:hAnsi="Times New Roman" w:cs="Times New Roman"/>
          <w:color w:val="auto"/>
          <w:szCs w:val="21"/>
          <w:highlight w:val="none"/>
        </w:rPr>
        <w:t>住院的被保险人在202</w:t>
      </w:r>
      <w:r>
        <w:rPr>
          <w:rFonts w:hint="default" w:ascii="Times New Roman" w:hAnsi="Times New Roman" w:cs="Times New Roman"/>
          <w:color w:val="auto"/>
          <w:szCs w:val="21"/>
          <w:highlight w:val="none"/>
          <w:lang w:val="en-US" w:eastAsia="zh-CN"/>
        </w:rPr>
        <w:t>6</w:t>
      </w:r>
      <w:r>
        <w:rPr>
          <w:rFonts w:hint="default" w:ascii="Times New Roman" w:hAnsi="Times New Roman" w:cs="Times New Roman"/>
          <w:color w:val="auto"/>
          <w:szCs w:val="21"/>
          <w:highlight w:val="none"/>
        </w:rPr>
        <w:t>年产生的医疗费用的补充医疗保险赔付责任由</w:t>
      </w:r>
      <w:r>
        <w:rPr>
          <w:rFonts w:hint="eastAsia" w:cs="Times New Roman"/>
          <w:color w:val="auto"/>
          <w:szCs w:val="21"/>
          <w:highlight w:val="none"/>
          <w:lang w:val="en-US" w:eastAsia="zh-CN"/>
        </w:rPr>
        <w:t>对应</w:t>
      </w:r>
      <w:r>
        <w:rPr>
          <w:rFonts w:hint="default" w:ascii="Times New Roman" w:hAnsi="Times New Roman" w:cs="Times New Roman"/>
          <w:color w:val="auto"/>
          <w:szCs w:val="21"/>
          <w:highlight w:val="none"/>
        </w:rPr>
        <w:t>承保公司承担并提供相应的服务。</w:t>
      </w:r>
    </w:p>
    <w:p w14:paraId="67C409F5">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default" w:ascii="Times New Roman" w:hAnsi="Times New Roman" w:eastAsia="宋体" w:cs="Times New Roman"/>
          <w:b/>
          <w:bCs/>
          <w:color w:val="auto"/>
          <w:highlight w:val="none"/>
          <w:lang w:eastAsia="zh-CN"/>
        </w:rPr>
      </w:pPr>
      <w:r>
        <w:rPr>
          <w:rFonts w:hint="eastAsia" w:cs="Times New Roman"/>
          <w:b/>
          <w:bCs/>
          <w:color w:val="auto"/>
          <w:highlight w:val="none"/>
          <w:lang w:val="en-US" w:eastAsia="zh-CN"/>
        </w:rPr>
        <w:t>三</w:t>
      </w:r>
      <w:r>
        <w:rPr>
          <w:rFonts w:hint="default" w:ascii="Times New Roman" w:hAnsi="Times New Roman" w:cs="Times New Roman"/>
          <w:b/>
          <w:bCs/>
          <w:color w:val="auto"/>
          <w:highlight w:val="none"/>
        </w:rPr>
        <w:t>、</w:t>
      </w:r>
      <w:r>
        <w:rPr>
          <w:rFonts w:hint="default" w:ascii="Times New Roman" w:hAnsi="Times New Roman" w:cs="Times New Roman"/>
          <w:b/>
          <w:bCs/>
          <w:color w:val="auto"/>
          <w:highlight w:val="none"/>
          <w:lang w:eastAsia="zh-CN"/>
        </w:rPr>
        <w:t>商务</w:t>
      </w:r>
      <w:r>
        <w:rPr>
          <w:rFonts w:hint="eastAsia" w:ascii="Times New Roman" w:hAnsi="Times New Roman" w:cs="Times New Roman"/>
          <w:b/>
          <w:bCs/>
          <w:color w:val="auto"/>
          <w:highlight w:val="none"/>
          <w:lang w:eastAsia="zh-CN"/>
        </w:rPr>
        <w:t>要求</w:t>
      </w:r>
      <w:r>
        <w:rPr>
          <w:rFonts w:hint="default" w:ascii="Times New Roman" w:hAnsi="Times New Roman" w:cs="Times New Roman"/>
          <w:b/>
          <w:bCs/>
          <w:color w:val="auto"/>
          <w:highlight w:val="none"/>
          <w:lang w:eastAsia="zh-CN"/>
        </w:rPr>
        <w:t>：</w:t>
      </w:r>
    </w:p>
    <w:p w14:paraId="5ED98B47">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ascii="Times New Roman" w:hAnsi="Times New Roman" w:cs="Times New Roman" w:eastAsiaTheme="minorEastAsia"/>
          <w:b w:val="0"/>
          <w:bCs/>
          <w:color w:val="auto"/>
          <w:sz w:val="21"/>
          <w:szCs w:val="21"/>
          <w:highlight w:val="none"/>
          <w:lang w:val="en-US" w:eastAsia="zh-CN"/>
        </w:rPr>
      </w:pP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lang w:val="en-US" w:eastAsia="zh-CN"/>
        </w:rPr>
        <w:t>1</w:t>
      </w:r>
      <w:r>
        <w:rPr>
          <w:rFonts w:hint="default" w:ascii="Times New Roman" w:hAnsi="Times New Roman" w:cs="Times New Roman" w:eastAsiaTheme="minorEastAsia"/>
          <w:b w:val="0"/>
          <w:bCs/>
          <w:color w:val="auto"/>
          <w:sz w:val="21"/>
          <w:szCs w:val="21"/>
          <w:highlight w:val="none"/>
          <w:lang w:eastAsia="zh-CN"/>
        </w:rPr>
        <w:t>）合同签订时间：自中标通知书发出之日起7日内</w:t>
      </w:r>
      <w:r>
        <w:rPr>
          <w:rFonts w:hint="default" w:ascii="Times New Roman" w:hAnsi="Times New Roman" w:cs="Times New Roman" w:eastAsiaTheme="minorEastAsia"/>
          <w:b w:val="0"/>
          <w:bCs/>
          <w:color w:val="auto"/>
          <w:sz w:val="21"/>
          <w:szCs w:val="21"/>
          <w:highlight w:val="none"/>
          <w:lang w:val="en-US" w:eastAsia="zh-CN"/>
        </w:rPr>
        <w:t>。</w:t>
      </w:r>
    </w:p>
    <w:p w14:paraId="77CFB2CB">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ascii="Times New Roman" w:hAnsi="Times New Roman" w:cs="Times New Roman" w:eastAsiaTheme="minorEastAsia"/>
          <w:b w:val="0"/>
          <w:bCs/>
          <w:color w:val="auto"/>
          <w:sz w:val="21"/>
          <w:szCs w:val="21"/>
          <w:highlight w:val="none"/>
          <w:lang w:val="en-US" w:eastAsia="zh-CN"/>
        </w:rPr>
      </w:pPr>
      <w:r>
        <w:rPr>
          <w:rFonts w:hint="default" w:ascii="Times New Roman" w:hAnsi="Times New Roman" w:cs="Times New Roman" w:eastAsiaTheme="minorEastAsia"/>
          <w:b w:val="0"/>
          <w:bCs/>
          <w:color w:val="auto"/>
          <w:sz w:val="21"/>
          <w:szCs w:val="21"/>
          <w:highlight w:val="none"/>
          <w:lang w:val="en-US" w:eastAsia="zh-CN"/>
        </w:rPr>
        <w:t>（2）合同履行期限：</w:t>
      </w:r>
      <w:r>
        <w:rPr>
          <w:rFonts w:hint="default" w:ascii="Times New Roman" w:hAnsi="Times New Roman" w:eastAsia="宋体" w:cs="Times New Roman"/>
          <w:color w:val="auto"/>
          <w:szCs w:val="21"/>
          <w:highlight w:val="none"/>
          <w:lang w:val="en-US" w:eastAsia="zh-CN"/>
        </w:rPr>
        <w:t>自2026年</w:t>
      </w:r>
      <w:r>
        <w:rPr>
          <w:rFonts w:hint="eastAsia" w:cs="Times New Roman"/>
          <w:color w:val="auto"/>
          <w:szCs w:val="21"/>
          <w:highlight w:val="none"/>
          <w:lang w:val="en-US" w:eastAsia="zh-CN"/>
        </w:rPr>
        <w:t>2</w:t>
      </w:r>
      <w:r>
        <w:rPr>
          <w:rFonts w:hint="default" w:ascii="Times New Roman" w:hAnsi="Times New Roman" w:eastAsia="宋体" w:cs="Times New Roman"/>
          <w:color w:val="auto"/>
          <w:szCs w:val="21"/>
          <w:highlight w:val="none"/>
          <w:lang w:val="en-US" w:eastAsia="zh-CN"/>
        </w:rPr>
        <w:t>月1日起至2028年12月31日止</w:t>
      </w:r>
      <w:r>
        <w:rPr>
          <w:rFonts w:hint="default" w:ascii="Times New Roman" w:hAnsi="Times New Roman" w:cs="Times New Roman" w:eastAsiaTheme="minorEastAsia"/>
          <w:b w:val="0"/>
          <w:bCs/>
          <w:color w:val="auto"/>
          <w:sz w:val="21"/>
          <w:szCs w:val="21"/>
          <w:highlight w:val="none"/>
          <w:lang w:val="en-US" w:eastAsia="zh-CN"/>
        </w:rPr>
        <w:t xml:space="preserve">。 </w:t>
      </w:r>
    </w:p>
    <w:p w14:paraId="480C5313">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ascii="Times New Roman" w:hAnsi="Times New Roman" w:cs="Times New Roman" w:eastAsiaTheme="minorEastAsia"/>
          <w:b w:val="0"/>
          <w:bCs/>
          <w:color w:val="auto"/>
          <w:sz w:val="21"/>
          <w:szCs w:val="21"/>
          <w:highlight w:val="none"/>
          <w:lang w:val="en-US" w:eastAsia="zh-CN"/>
        </w:rPr>
      </w:pPr>
      <w:r>
        <w:rPr>
          <w:rFonts w:hint="default" w:ascii="Times New Roman" w:hAnsi="Times New Roman" w:cs="Times New Roman" w:eastAsiaTheme="minorEastAsia"/>
          <w:b w:val="0"/>
          <w:bCs/>
          <w:color w:val="auto"/>
          <w:sz w:val="21"/>
          <w:szCs w:val="21"/>
          <w:highlight w:val="none"/>
          <w:lang w:val="en-US" w:eastAsia="zh-CN"/>
        </w:rPr>
        <w:t>（3）</w:t>
      </w:r>
      <w:r>
        <w:rPr>
          <w:rFonts w:hint="default" w:ascii="Times New Roman" w:hAnsi="Times New Roman" w:cs="Times New Roman" w:eastAsiaTheme="minorEastAsia"/>
          <w:b/>
          <w:color w:val="auto"/>
          <w:sz w:val="21"/>
          <w:szCs w:val="21"/>
          <w:highlight w:val="none"/>
        </w:rPr>
        <w:t>投保费用拨付方式：</w:t>
      </w:r>
      <w:r>
        <w:rPr>
          <w:rFonts w:hint="default" w:ascii="Times New Roman" w:hAnsi="Times New Roman" w:cs="Times New Roman" w:eastAsiaTheme="minorEastAsia"/>
          <w:b w:val="0"/>
          <w:bCs/>
          <w:color w:val="auto"/>
          <w:sz w:val="21"/>
          <w:szCs w:val="21"/>
          <w:highlight w:val="none"/>
        </w:rPr>
        <w:t>投保费用由</w:t>
      </w:r>
      <w:r>
        <w:rPr>
          <w:rFonts w:hint="default" w:ascii="Times New Roman" w:hAnsi="Times New Roman" w:cs="Times New Roman" w:eastAsiaTheme="minorEastAsia"/>
          <w:b w:val="0"/>
          <w:bCs/>
          <w:color w:val="auto"/>
          <w:sz w:val="21"/>
          <w:szCs w:val="21"/>
          <w:highlight w:val="none"/>
          <w:lang w:eastAsia="zh-CN"/>
        </w:rPr>
        <w:t>采购人</w:t>
      </w:r>
      <w:r>
        <w:rPr>
          <w:rFonts w:hint="default" w:ascii="Times New Roman" w:hAnsi="Times New Roman" w:cs="Times New Roman" w:eastAsiaTheme="minorEastAsia"/>
          <w:b w:val="0"/>
          <w:bCs/>
          <w:color w:val="auto"/>
          <w:sz w:val="21"/>
          <w:szCs w:val="21"/>
          <w:highlight w:val="none"/>
        </w:rPr>
        <w:t>按当年实际参保人数所需金额向县财政申请，每年分两次拨付给承保公司。</w:t>
      </w:r>
    </w:p>
    <w:p w14:paraId="25EAE1F7">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ascii="Times New Roman" w:hAnsi="Times New Roman" w:cs="Times New Roman" w:eastAsiaTheme="minorEastAsia"/>
          <w:b w:val="0"/>
          <w:bCs/>
          <w:color w:val="auto"/>
          <w:sz w:val="21"/>
          <w:szCs w:val="21"/>
          <w:highlight w:val="none"/>
          <w:lang w:val="en-US" w:eastAsia="zh-CN"/>
        </w:rPr>
      </w:pPr>
      <w:r>
        <w:rPr>
          <w:rFonts w:hint="eastAsia" w:cs="Times New Roman" w:eastAsiaTheme="minorEastAsia"/>
          <w:b w:val="0"/>
          <w:bCs/>
          <w:color w:val="auto"/>
          <w:sz w:val="21"/>
          <w:szCs w:val="21"/>
          <w:highlight w:val="none"/>
          <w:lang w:val="en-US" w:eastAsia="zh-CN"/>
        </w:rPr>
        <w:t>（4）</w:t>
      </w:r>
      <w:r>
        <w:rPr>
          <w:rFonts w:hint="default" w:ascii="Times New Roman" w:hAnsi="Times New Roman" w:cs="Times New Roman" w:eastAsiaTheme="minorEastAsia"/>
          <w:b w:val="0"/>
          <w:bCs/>
          <w:color w:val="auto"/>
          <w:sz w:val="21"/>
          <w:szCs w:val="21"/>
          <w:highlight w:val="none"/>
          <w:lang w:val="en-US" w:eastAsia="zh-CN"/>
        </w:rPr>
        <w:t>履行地点：采购人指定地点。</w:t>
      </w:r>
    </w:p>
    <w:p w14:paraId="05E2A681">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ascii="Times New Roman" w:hAnsi="Times New Roman" w:cs="Times New Roman" w:eastAsiaTheme="minorEastAsia"/>
          <w:b w:val="0"/>
          <w:bCs/>
          <w:color w:val="auto"/>
          <w:sz w:val="21"/>
          <w:szCs w:val="21"/>
          <w:highlight w:val="none"/>
          <w:lang w:val="en-US" w:eastAsia="zh-CN"/>
        </w:rPr>
      </w:pPr>
      <w:r>
        <w:rPr>
          <w:rFonts w:hint="default" w:ascii="Times New Roman" w:hAnsi="Times New Roman" w:cs="Times New Roman" w:eastAsiaTheme="minorEastAsia"/>
          <w:b w:val="0"/>
          <w:bCs/>
          <w:color w:val="auto"/>
          <w:sz w:val="21"/>
          <w:szCs w:val="21"/>
          <w:highlight w:val="none"/>
          <w:lang w:val="en-US" w:eastAsia="zh-CN"/>
        </w:rPr>
        <w:t>（</w:t>
      </w:r>
      <w:r>
        <w:rPr>
          <w:rFonts w:hint="eastAsia" w:cs="Times New Roman" w:eastAsiaTheme="minorEastAsia"/>
          <w:b w:val="0"/>
          <w:bCs/>
          <w:color w:val="auto"/>
          <w:sz w:val="21"/>
          <w:szCs w:val="21"/>
          <w:highlight w:val="none"/>
          <w:lang w:val="en-US" w:eastAsia="zh-CN"/>
        </w:rPr>
        <w:t>5</w:t>
      </w:r>
      <w:r>
        <w:rPr>
          <w:rFonts w:hint="default" w:ascii="Times New Roman" w:hAnsi="Times New Roman" w:cs="Times New Roman" w:eastAsiaTheme="minorEastAsia"/>
          <w:b w:val="0"/>
          <w:bCs/>
          <w:color w:val="auto"/>
          <w:sz w:val="21"/>
          <w:szCs w:val="21"/>
          <w:highlight w:val="none"/>
          <w:lang w:val="en-US" w:eastAsia="zh-CN"/>
        </w:rPr>
        <w:t>）售后服务要求：处理问题响应时间：接到采购人处理问题通知后2小时内到达采购人指定现场。</w:t>
      </w:r>
    </w:p>
    <w:p w14:paraId="51DD1D70">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ascii="Times New Roman" w:hAnsi="Times New Roman" w:cs="Times New Roman" w:eastAsiaTheme="minorEastAsia"/>
          <w:b w:val="0"/>
          <w:bCs/>
          <w:color w:val="auto"/>
          <w:sz w:val="21"/>
          <w:szCs w:val="21"/>
          <w:highlight w:val="none"/>
          <w:lang w:val="en-US" w:eastAsia="zh-CN"/>
        </w:rPr>
      </w:pPr>
      <w:r>
        <w:rPr>
          <w:rFonts w:hint="default" w:ascii="Times New Roman" w:hAnsi="Times New Roman" w:cs="Times New Roman" w:eastAsiaTheme="minorEastAsia"/>
          <w:b w:val="0"/>
          <w:bCs/>
          <w:color w:val="auto"/>
          <w:sz w:val="21"/>
          <w:szCs w:val="21"/>
          <w:highlight w:val="none"/>
          <w:lang w:val="en-US" w:eastAsia="zh-CN"/>
        </w:rPr>
        <w:t>（</w:t>
      </w:r>
      <w:r>
        <w:rPr>
          <w:rFonts w:hint="eastAsia" w:cs="Times New Roman" w:eastAsiaTheme="minorEastAsia"/>
          <w:b w:val="0"/>
          <w:bCs/>
          <w:color w:val="auto"/>
          <w:sz w:val="21"/>
          <w:szCs w:val="21"/>
          <w:highlight w:val="none"/>
          <w:lang w:val="en-US" w:eastAsia="zh-CN"/>
        </w:rPr>
        <w:t>6</w:t>
      </w:r>
      <w:r>
        <w:rPr>
          <w:rFonts w:hint="default" w:ascii="Times New Roman" w:hAnsi="Times New Roman" w:cs="Times New Roman" w:eastAsiaTheme="minorEastAsia"/>
          <w:b w:val="0"/>
          <w:bCs/>
          <w:color w:val="auto"/>
          <w:sz w:val="21"/>
          <w:szCs w:val="21"/>
          <w:highlight w:val="none"/>
          <w:lang w:val="en-US" w:eastAsia="zh-CN"/>
        </w:rPr>
        <w:t>）报价要求：本项目</w:t>
      </w:r>
      <w:r>
        <w:rPr>
          <w:rFonts w:hint="eastAsia" w:cs="Times New Roman" w:eastAsiaTheme="minorEastAsia"/>
          <w:b w:val="0"/>
          <w:bCs/>
          <w:color w:val="auto"/>
          <w:sz w:val="21"/>
          <w:szCs w:val="21"/>
          <w:highlight w:val="none"/>
          <w:lang w:val="en-US" w:eastAsia="zh-CN"/>
        </w:rPr>
        <w:t>为</w:t>
      </w:r>
      <w:r>
        <w:rPr>
          <w:rFonts w:hint="default" w:ascii="Times New Roman" w:hAnsi="Times New Roman" w:cs="Times New Roman" w:eastAsiaTheme="minorEastAsia"/>
          <w:b w:val="0"/>
          <w:bCs/>
          <w:color w:val="auto"/>
          <w:sz w:val="21"/>
          <w:szCs w:val="21"/>
          <w:highlight w:val="none"/>
          <w:lang w:val="en-US" w:eastAsia="zh-CN"/>
        </w:rPr>
        <w:t>固定</w:t>
      </w:r>
      <w:r>
        <w:rPr>
          <w:rFonts w:hint="eastAsia" w:cs="Times New Roman" w:eastAsiaTheme="minorEastAsia"/>
          <w:b w:val="0"/>
          <w:bCs/>
          <w:color w:val="auto"/>
          <w:sz w:val="21"/>
          <w:szCs w:val="21"/>
          <w:highlight w:val="none"/>
          <w:lang w:val="en-US" w:eastAsia="zh-CN"/>
        </w:rPr>
        <w:t>单价采购</w:t>
      </w:r>
      <w:r>
        <w:rPr>
          <w:rFonts w:hint="default" w:ascii="Times New Roman" w:hAnsi="Times New Roman" w:cs="Times New Roman" w:eastAsiaTheme="minorEastAsia"/>
          <w:b w:val="0"/>
          <w:bCs/>
          <w:color w:val="auto"/>
          <w:sz w:val="21"/>
          <w:szCs w:val="21"/>
          <w:highlight w:val="none"/>
          <w:lang w:val="en-US" w:eastAsia="zh-CN"/>
        </w:rPr>
        <w:t>，限价为180元/人/年，其他价格的投标报价视为投标无效。</w:t>
      </w:r>
    </w:p>
    <w:p w14:paraId="5CB67263">
      <w:pPr>
        <w:spacing w:line="500" w:lineRule="exact"/>
        <w:ind w:firstLine="420" w:firstLineChars="200"/>
        <w:jc w:val="left"/>
        <w:rPr>
          <w:rFonts w:hint="default" w:ascii="Times New Roman" w:hAnsi="Times New Roman" w:cs="Times New Roman" w:eastAsiaTheme="minorEastAsia"/>
          <w:b w:val="0"/>
          <w:bCs/>
          <w:color w:val="auto"/>
          <w:sz w:val="21"/>
          <w:szCs w:val="21"/>
          <w:highlight w:val="none"/>
          <w:lang w:val="en-US" w:eastAsia="zh-CN"/>
        </w:rPr>
      </w:pPr>
      <w:r>
        <w:rPr>
          <w:rFonts w:hint="default" w:ascii="Times New Roman" w:hAnsi="Times New Roman" w:cs="Times New Roman" w:eastAsiaTheme="minorEastAsia"/>
          <w:b w:val="0"/>
          <w:bCs/>
          <w:color w:val="auto"/>
          <w:sz w:val="21"/>
          <w:szCs w:val="21"/>
          <w:highlight w:val="none"/>
          <w:lang w:val="en-US" w:eastAsia="zh-CN"/>
        </w:rPr>
        <w:t>（</w:t>
      </w:r>
      <w:r>
        <w:rPr>
          <w:rFonts w:hint="eastAsia" w:cs="Times New Roman" w:eastAsiaTheme="minorEastAsia"/>
          <w:b w:val="0"/>
          <w:bCs/>
          <w:color w:val="auto"/>
          <w:sz w:val="21"/>
          <w:szCs w:val="21"/>
          <w:highlight w:val="none"/>
          <w:lang w:val="en-US" w:eastAsia="zh-CN"/>
        </w:rPr>
        <w:t>7</w:t>
      </w:r>
      <w:r>
        <w:rPr>
          <w:rFonts w:hint="default" w:ascii="Times New Roman" w:hAnsi="Times New Roman" w:cs="Times New Roman" w:eastAsiaTheme="minorEastAsia"/>
          <w:b w:val="0"/>
          <w:bCs/>
          <w:color w:val="auto"/>
          <w:sz w:val="21"/>
          <w:szCs w:val="21"/>
          <w:highlight w:val="none"/>
          <w:lang w:val="en-US" w:eastAsia="zh-CN"/>
        </w:rPr>
        <w:t>）验收标准：验收要求如有国家相关标准、行业标准、地方标准或者其他标准、规范的，应执行相应的标准、规范。如具体采购需求与标准、规范不一致的，高于标准、规范的按具体采购需求执行，低于标准、规范的按标准、规范执行。未尽事宜参照《关于印发广西壮族自治区政府采购项目履约验收管理办法的通知》（桂财采〔2015〕22号）以及财政部《关于进一步加强政府采购需求和履约验收管理的指导意见》（财库〔2016〕205号）规定执行。</w:t>
      </w:r>
    </w:p>
    <w:p w14:paraId="18121C8A">
      <w:pPr>
        <w:pStyle w:val="3"/>
        <w:spacing w:before="20" w:after="20"/>
        <w:jc w:val="both"/>
        <w:rPr>
          <w:rFonts w:hint="eastAsia"/>
          <w:color w:val="auto"/>
          <w:highlight w:val="none"/>
        </w:rPr>
      </w:pPr>
    </w:p>
    <w:p w14:paraId="2C4E6239">
      <w:pPr>
        <w:rPr>
          <w:rFonts w:hint="eastAsia"/>
          <w:color w:val="auto"/>
          <w:highlight w:val="none"/>
        </w:rPr>
      </w:pPr>
      <w:r>
        <w:rPr>
          <w:rFonts w:hint="eastAsia"/>
          <w:color w:val="auto"/>
          <w:highlight w:val="none"/>
        </w:rPr>
        <w:br w:type="page"/>
      </w:r>
    </w:p>
    <w:p w14:paraId="53060985">
      <w:pPr>
        <w:pStyle w:val="3"/>
        <w:spacing w:before="20" w:after="20"/>
        <w:jc w:val="center"/>
        <w:rPr>
          <w:color w:val="auto"/>
          <w:highlight w:val="none"/>
        </w:rPr>
      </w:pPr>
      <w:r>
        <w:rPr>
          <w:rFonts w:hint="eastAsia"/>
          <w:color w:val="auto"/>
          <w:highlight w:val="none"/>
        </w:rPr>
        <w:t>第</w:t>
      </w:r>
      <w:r>
        <w:rPr>
          <w:rFonts w:hint="eastAsia"/>
          <w:color w:val="auto"/>
          <w:highlight w:val="none"/>
          <w:lang w:eastAsia="zh-CN"/>
        </w:rPr>
        <w:t>三</w:t>
      </w:r>
      <w:r>
        <w:rPr>
          <w:rFonts w:hint="eastAsia"/>
          <w:color w:val="auto"/>
          <w:highlight w:val="none"/>
        </w:rPr>
        <w:t>章</w:t>
      </w:r>
      <w:r>
        <w:rPr>
          <w:rFonts w:hint="eastAsia"/>
          <w:color w:val="auto"/>
          <w:highlight w:val="none"/>
          <w:lang w:val="en-US" w:eastAsia="zh-CN"/>
        </w:rPr>
        <w:t xml:space="preserve">  </w:t>
      </w:r>
      <w:r>
        <w:rPr>
          <w:rFonts w:hint="eastAsia"/>
          <w:color w:val="auto"/>
          <w:highlight w:val="none"/>
          <w:lang w:eastAsia="zh-CN"/>
        </w:rPr>
        <w:t>投标人</w:t>
      </w:r>
      <w:r>
        <w:rPr>
          <w:rFonts w:hint="eastAsia"/>
          <w:color w:val="auto"/>
          <w:highlight w:val="none"/>
        </w:rPr>
        <w:t>须知</w:t>
      </w:r>
      <w:bookmarkEnd w:id="46"/>
    </w:p>
    <w:p w14:paraId="7F4AC927">
      <w:pPr>
        <w:spacing w:line="400" w:lineRule="exact"/>
        <w:jc w:val="center"/>
        <w:outlineLvl w:val="1"/>
        <w:rPr>
          <w:rFonts w:ascii="宋体" w:hAnsi="宋体"/>
          <w:b/>
          <w:color w:val="auto"/>
          <w:sz w:val="32"/>
          <w:szCs w:val="32"/>
          <w:highlight w:val="none"/>
        </w:rPr>
      </w:pPr>
      <w:r>
        <w:rPr>
          <w:rFonts w:hint="eastAsia" w:ascii="宋体" w:hAnsi="宋体"/>
          <w:b/>
          <w:color w:val="auto"/>
          <w:sz w:val="32"/>
          <w:szCs w:val="32"/>
          <w:highlight w:val="none"/>
          <w:lang w:eastAsia="zh-CN"/>
        </w:rPr>
        <w:t>投标人</w:t>
      </w:r>
      <w:r>
        <w:rPr>
          <w:rFonts w:hint="eastAsia" w:ascii="宋体" w:hAnsi="宋体"/>
          <w:b/>
          <w:color w:val="auto"/>
          <w:sz w:val="32"/>
          <w:szCs w:val="32"/>
          <w:highlight w:val="none"/>
        </w:rPr>
        <w:t>须知前附表</w:t>
      </w:r>
    </w:p>
    <w:p w14:paraId="033060A6">
      <w:pPr>
        <w:spacing w:line="400" w:lineRule="exact"/>
        <w:jc w:val="center"/>
        <w:rPr>
          <w:rFonts w:ascii="宋体" w:hAnsi="宋体"/>
          <w:b/>
          <w:color w:val="auto"/>
          <w:sz w:val="32"/>
          <w:szCs w:val="32"/>
          <w:highlight w:val="none"/>
        </w:rPr>
      </w:pPr>
    </w:p>
    <w:tbl>
      <w:tblPr>
        <w:tblStyle w:val="32"/>
        <w:tblW w:w="96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701"/>
      </w:tblGrid>
      <w:tr w14:paraId="16803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exact"/>
          <w:jc w:val="center"/>
        </w:trPr>
        <w:tc>
          <w:tcPr>
            <w:tcW w:w="992" w:type="dxa"/>
            <w:vAlign w:val="center"/>
          </w:tcPr>
          <w:p w14:paraId="67E79AAF">
            <w:pPr>
              <w:keepNext w:val="0"/>
              <w:keepLines w:val="0"/>
              <w:pageBreakBefore w:val="0"/>
              <w:widowControl w:val="0"/>
              <w:kinsoku/>
              <w:wordWrap/>
              <w:overflowPunct/>
              <w:topLinePunct w:val="0"/>
              <w:bidi w:val="0"/>
              <w:adjustRightInd/>
              <w:spacing w:line="360" w:lineRule="exact"/>
              <w:jc w:val="center"/>
              <w:rPr>
                <w:b/>
                <w:color w:val="auto"/>
                <w:szCs w:val="21"/>
                <w:highlight w:val="none"/>
              </w:rPr>
            </w:pPr>
            <w:r>
              <w:rPr>
                <w:b/>
                <w:color w:val="auto"/>
                <w:szCs w:val="21"/>
                <w:highlight w:val="none"/>
              </w:rPr>
              <w:t>条款号</w:t>
            </w:r>
          </w:p>
        </w:tc>
        <w:tc>
          <w:tcPr>
            <w:tcW w:w="8701" w:type="dxa"/>
            <w:vAlign w:val="center"/>
          </w:tcPr>
          <w:p w14:paraId="3C02A0A1">
            <w:pPr>
              <w:keepNext w:val="0"/>
              <w:keepLines w:val="0"/>
              <w:pageBreakBefore w:val="0"/>
              <w:widowControl w:val="0"/>
              <w:kinsoku/>
              <w:wordWrap/>
              <w:overflowPunct/>
              <w:topLinePunct w:val="0"/>
              <w:bidi w:val="0"/>
              <w:adjustRightInd/>
              <w:spacing w:line="360" w:lineRule="exact"/>
              <w:jc w:val="center"/>
              <w:rPr>
                <w:b/>
                <w:color w:val="auto"/>
                <w:szCs w:val="21"/>
                <w:highlight w:val="none"/>
              </w:rPr>
            </w:pPr>
            <w:r>
              <w:rPr>
                <w:b/>
                <w:color w:val="auto"/>
                <w:szCs w:val="21"/>
                <w:highlight w:val="none"/>
              </w:rPr>
              <w:t>内    容</w:t>
            </w:r>
          </w:p>
        </w:tc>
      </w:tr>
      <w:tr w14:paraId="74A7D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992" w:type="dxa"/>
            <w:vAlign w:val="center"/>
          </w:tcPr>
          <w:p w14:paraId="5B353F39">
            <w:pPr>
              <w:keepNext w:val="0"/>
              <w:keepLines w:val="0"/>
              <w:pageBreakBefore w:val="0"/>
              <w:widowControl w:val="0"/>
              <w:kinsoku/>
              <w:wordWrap/>
              <w:overflowPunct/>
              <w:topLinePunct w:val="0"/>
              <w:bidi w:val="0"/>
              <w:adjustRightInd/>
              <w:spacing w:line="360" w:lineRule="exact"/>
              <w:jc w:val="center"/>
              <w:rPr>
                <w:color w:val="auto"/>
                <w:szCs w:val="21"/>
                <w:highlight w:val="none"/>
              </w:rPr>
            </w:pPr>
            <w:r>
              <w:rPr>
                <w:color w:val="auto"/>
                <w:szCs w:val="21"/>
                <w:highlight w:val="none"/>
              </w:rPr>
              <w:t>3</w:t>
            </w:r>
          </w:p>
        </w:tc>
        <w:tc>
          <w:tcPr>
            <w:tcW w:w="8701" w:type="dxa"/>
            <w:vAlign w:val="center"/>
          </w:tcPr>
          <w:p w14:paraId="6AA2191A">
            <w:pPr>
              <w:keepNext w:val="0"/>
              <w:keepLines w:val="0"/>
              <w:pageBreakBefore w:val="0"/>
              <w:widowControl w:val="0"/>
              <w:kinsoku/>
              <w:wordWrap/>
              <w:overflowPunct/>
              <w:topLinePunct w:val="0"/>
              <w:bidi w:val="0"/>
              <w:adjustRightInd/>
              <w:snapToGrid w:val="0"/>
              <w:spacing w:line="360" w:lineRule="exact"/>
              <w:jc w:val="left"/>
              <w:rPr>
                <w:rFonts w:hint="eastAsia"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lang w:val="en-US" w:eastAsia="zh-CN"/>
              </w:rPr>
              <w:t>1</w:t>
            </w:r>
            <w:r>
              <w:rPr>
                <w:color w:val="auto"/>
                <w:szCs w:val="21"/>
                <w:highlight w:val="none"/>
              </w:rPr>
              <w:t>．</w:t>
            </w:r>
            <w:r>
              <w:rPr>
                <w:rFonts w:hint="eastAsia" w:ascii="Times New Roman" w:hAnsi="Times New Roman" w:eastAsia="宋体" w:cs="Times New Roman"/>
                <w:color w:val="auto"/>
                <w:szCs w:val="21"/>
                <w:highlight w:val="none"/>
                <w:lang w:eastAsia="zh-CN"/>
              </w:rPr>
              <w:t>投标人的资格要求详见招标公告。</w:t>
            </w:r>
          </w:p>
          <w:p w14:paraId="470BF1E2">
            <w:pPr>
              <w:keepNext w:val="0"/>
              <w:keepLines w:val="0"/>
              <w:pageBreakBefore w:val="0"/>
              <w:widowControl w:val="0"/>
              <w:kinsoku/>
              <w:wordWrap/>
              <w:overflowPunct/>
              <w:topLinePunct w:val="0"/>
              <w:bidi w:val="0"/>
              <w:adjustRightInd/>
              <w:snapToGrid w:val="0"/>
              <w:spacing w:line="360" w:lineRule="exact"/>
              <w:jc w:val="left"/>
              <w:rPr>
                <w:rFonts w:hint="eastAsia"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lang w:val="en-US" w:eastAsia="zh-CN"/>
              </w:rPr>
              <w:t>2</w:t>
            </w:r>
            <w:r>
              <w:rPr>
                <w:color w:val="auto"/>
                <w:szCs w:val="21"/>
                <w:highlight w:val="none"/>
              </w:rPr>
              <w:t>．</w:t>
            </w:r>
            <w:r>
              <w:rPr>
                <w:rFonts w:hint="eastAsia"/>
                <w:b/>
                <w:bCs/>
                <w:color w:val="auto"/>
                <w:szCs w:val="21"/>
                <w:highlight w:val="none"/>
                <w:lang w:eastAsia="zh-CN"/>
              </w:rPr>
              <w:t>本项目</w:t>
            </w:r>
            <w:r>
              <w:rPr>
                <w:rFonts w:hint="eastAsia" w:ascii="Times New Roman" w:hAnsi="Times New Roman" w:eastAsia="宋体" w:cs="Times New Roman"/>
                <w:b/>
                <w:bCs/>
                <w:color w:val="auto"/>
                <w:szCs w:val="21"/>
                <w:highlight w:val="none"/>
                <w:lang w:eastAsia="zh-CN"/>
              </w:rPr>
              <w:t>不接受供应商信息、投标设备信息异常的</w:t>
            </w:r>
            <w:r>
              <w:rPr>
                <w:rFonts w:hint="eastAsia" w:ascii="Times New Roman" w:hAnsi="Times New Roman" w:eastAsia="宋体" w:cs="Times New Roman"/>
                <w:b/>
                <w:bCs/>
                <w:color w:val="auto"/>
                <w:szCs w:val="21"/>
                <w:highlight w:val="none"/>
                <w:lang w:val="en-US" w:eastAsia="zh-CN"/>
              </w:rPr>
              <w:t>响应文件</w:t>
            </w:r>
            <w:r>
              <w:rPr>
                <w:rFonts w:hint="eastAsia" w:ascii="Times New Roman" w:hAnsi="Times New Roman" w:eastAsia="宋体" w:cs="Times New Roman"/>
                <w:b/>
                <w:bCs/>
                <w:color w:val="auto"/>
                <w:szCs w:val="21"/>
                <w:highlight w:val="none"/>
                <w:lang w:eastAsia="zh-CN"/>
              </w:rPr>
              <w:t>资料，如供应商</w:t>
            </w:r>
            <w:r>
              <w:rPr>
                <w:rFonts w:hint="eastAsia" w:ascii="Times New Roman" w:hAnsi="Times New Roman" w:eastAsia="宋体" w:cs="Times New Roman"/>
                <w:b/>
                <w:bCs/>
                <w:color w:val="auto"/>
                <w:szCs w:val="21"/>
                <w:highlight w:val="none"/>
                <w:lang w:val="en-US" w:eastAsia="zh-CN"/>
              </w:rPr>
              <w:t>IP地址、mac地址、硬盘号、cpu号、主板号信息、供应商入驻时填写的主要人员信息、响应文件上传时所填写的法定代表人或授权代表的姓名和手机号码等信息异常的相关资料，如有上述情况</w:t>
            </w:r>
            <w:r>
              <w:rPr>
                <w:rFonts w:hint="default" w:ascii="Times New Roman" w:hAnsi="Times New Roman" w:eastAsia="宋体" w:cs="Times New Roman"/>
                <w:b/>
                <w:bCs/>
                <w:color w:val="auto"/>
                <w:szCs w:val="21"/>
                <w:highlight w:val="none"/>
                <w:lang w:eastAsia="zh-CN"/>
              </w:rPr>
              <w:t>，</w:t>
            </w:r>
            <w:r>
              <w:rPr>
                <w:rFonts w:hint="eastAsia" w:ascii="Times New Roman" w:hAnsi="Times New Roman" w:eastAsia="宋体" w:cs="Times New Roman"/>
                <w:b/>
                <w:bCs/>
                <w:color w:val="auto"/>
                <w:szCs w:val="21"/>
                <w:highlight w:val="none"/>
                <w:lang w:eastAsia="zh-CN"/>
              </w:rPr>
              <w:t>响应文件</w:t>
            </w:r>
            <w:r>
              <w:rPr>
                <w:rFonts w:hint="default" w:ascii="Times New Roman" w:hAnsi="Times New Roman" w:eastAsia="宋体" w:cs="Times New Roman"/>
                <w:b/>
                <w:bCs/>
                <w:color w:val="auto"/>
                <w:szCs w:val="21"/>
                <w:highlight w:val="none"/>
                <w:lang w:eastAsia="zh-CN"/>
              </w:rPr>
              <w:t>将被视为无效</w:t>
            </w:r>
            <w:r>
              <w:rPr>
                <w:rFonts w:hint="eastAsia" w:ascii="Times New Roman" w:hAnsi="Times New Roman" w:eastAsia="宋体" w:cs="Times New Roman"/>
                <w:b/>
                <w:bCs/>
                <w:color w:val="auto"/>
                <w:szCs w:val="21"/>
                <w:highlight w:val="none"/>
                <w:lang w:eastAsia="zh-CN"/>
              </w:rPr>
              <w:t>，一切责任由供应商自行负责。</w:t>
            </w:r>
          </w:p>
        </w:tc>
      </w:tr>
      <w:tr w14:paraId="6CF47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exact"/>
          <w:jc w:val="center"/>
        </w:trPr>
        <w:tc>
          <w:tcPr>
            <w:tcW w:w="992" w:type="dxa"/>
            <w:vAlign w:val="center"/>
          </w:tcPr>
          <w:p w14:paraId="161C6A04">
            <w:pPr>
              <w:keepNext w:val="0"/>
              <w:keepLines w:val="0"/>
              <w:pageBreakBefore w:val="0"/>
              <w:widowControl w:val="0"/>
              <w:kinsoku/>
              <w:wordWrap/>
              <w:overflowPunct/>
              <w:topLinePunct w:val="0"/>
              <w:bidi w:val="0"/>
              <w:adjustRightInd/>
              <w:spacing w:line="360" w:lineRule="exact"/>
              <w:jc w:val="center"/>
              <w:rPr>
                <w:color w:val="auto"/>
                <w:szCs w:val="21"/>
                <w:highlight w:val="none"/>
              </w:rPr>
            </w:pPr>
            <w:r>
              <w:rPr>
                <w:rFonts w:hint="eastAsia"/>
                <w:color w:val="auto"/>
                <w:szCs w:val="21"/>
                <w:highlight w:val="none"/>
                <w:lang w:val="en-US" w:eastAsia="zh-CN"/>
              </w:rPr>
              <w:t>6</w:t>
            </w:r>
            <w:r>
              <w:rPr>
                <w:color w:val="auto"/>
                <w:szCs w:val="21"/>
                <w:highlight w:val="none"/>
              </w:rPr>
              <w:t>.1</w:t>
            </w:r>
          </w:p>
        </w:tc>
        <w:tc>
          <w:tcPr>
            <w:tcW w:w="8701" w:type="dxa"/>
            <w:vAlign w:val="center"/>
          </w:tcPr>
          <w:p w14:paraId="5B0F6D3C">
            <w:pPr>
              <w:keepNext w:val="0"/>
              <w:keepLines w:val="0"/>
              <w:pageBreakBefore w:val="0"/>
              <w:widowControl w:val="0"/>
              <w:kinsoku/>
              <w:wordWrap/>
              <w:overflowPunct/>
              <w:topLinePunct w:val="0"/>
              <w:bidi w:val="0"/>
              <w:adjustRightInd/>
              <w:spacing w:line="360" w:lineRule="exact"/>
              <w:rPr>
                <w:color w:val="auto"/>
                <w:szCs w:val="21"/>
                <w:highlight w:val="none"/>
              </w:rPr>
            </w:pPr>
            <w:r>
              <w:rPr>
                <w:color w:val="auto"/>
                <w:szCs w:val="21"/>
                <w:highlight w:val="none"/>
              </w:rPr>
              <w:t>是否接受联合体</w:t>
            </w:r>
            <w:r>
              <w:rPr>
                <w:rFonts w:hint="eastAsia"/>
                <w:color w:val="auto"/>
                <w:szCs w:val="21"/>
                <w:highlight w:val="none"/>
                <w:lang w:eastAsia="zh-CN"/>
              </w:rPr>
              <w:t>投</w:t>
            </w:r>
            <w:r>
              <w:rPr>
                <w:color w:val="auto"/>
                <w:szCs w:val="21"/>
                <w:highlight w:val="none"/>
              </w:rPr>
              <w:t>标：</w:t>
            </w:r>
            <w:r>
              <w:rPr>
                <w:rFonts w:hint="eastAsia"/>
                <w:color w:val="auto"/>
                <w:szCs w:val="21"/>
                <w:highlight w:val="none"/>
              </w:rPr>
              <w:t>不</w:t>
            </w:r>
            <w:r>
              <w:rPr>
                <w:color w:val="auto"/>
                <w:szCs w:val="21"/>
                <w:highlight w:val="none"/>
              </w:rPr>
              <w:t>接受</w:t>
            </w:r>
          </w:p>
        </w:tc>
      </w:tr>
      <w:tr w14:paraId="5499E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992" w:type="dxa"/>
            <w:vAlign w:val="center"/>
          </w:tcPr>
          <w:p w14:paraId="3B9503FB">
            <w:pPr>
              <w:keepNext w:val="0"/>
              <w:keepLines w:val="0"/>
              <w:pageBreakBefore w:val="0"/>
              <w:widowControl w:val="0"/>
              <w:kinsoku/>
              <w:wordWrap/>
              <w:overflowPunct/>
              <w:topLinePunct w:val="0"/>
              <w:bidi w:val="0"/>
              <w:adjustRightInd/>
              <w:spacing w:line="360" w:lineRule="exact"/>
              <w:jc w:val="center"/>
              <w:rPr>
                <w:color w:val="auto"/>
                <w:szCs w:val="21"/>
                <w:highlight w:val="none"/>
              </w:rPr>
            </w:pPr>
            <w:r>
              <w:rPr>
                <w:rFonts w:hint="eastAsia"/>
                <w:color w:val="auto"/>
                <w:szCs w:val="21"/>
                <w:highlight w:val="none"/>
                <w:lang w:val="en-US" w:eastAsia="zh-CN"/>
              </w:rPr>
              <w:t>6</w:t>
            </w:r>
            <w:r>
              <w:rPr>
                <w:color w:val="auto"/>
                <w:szCs w:val="21"/>
                <w:highlight w:val="none"/>
              </w:rPr>
              <w:t>.2</w:t>
            </w:r>
          </w:p>
        </w:tc>
        <w:tc>
          <w:tcPr>
            <w:tcW w:w="8701" w:type="dxa"/>
            <w:vAlign w:val="center"/>
          </w:tcPr>
          <w:p w14:paraId="6B4A1D9F">
            <w:pPr>
              <w:keepNext w:val="0"/>
              <w:keepLines w:val="0"/>
              <w:pageBreakBefore w:val="0"/>
              <w:widowControl w:val="0"/>
              <w:kinsoku/>
              <w:wordWrap/>
              <w:overflowPunct/>
              <w:topLinePunct w:val="0"/>
              <w:bidi w:val="0"/>
              <w:adjustRightInd/>
              <w:spacing w:line="360" w:lineRule="exact"/>
              <w:rPr>
                <w:color w:val="auto"/>
                <w:highlight w:val="none"/>
              </w:rPr>
            </w:pPr>
            <w:r>
              <w:rPr>
                <w:color w:val="auto"/>
                <w:szCs w:val="21"/>
                <w:highlight w:val="none"/>
              </w:rPr>
              <w:t>联合体</w:t>
            </w:r>
            <w:r>
              <w:rPr>
                <w:rFonts w:hint="eastAsia"/>
                <w:color w:val="auto"/>
                <w:szCs w:val="21"/>
                <w:highlight w:val="none"/>
                <w:lang w:eastAsia="zh-CN"/>
              </w:rPr>
              <w:t>投标</w:t>
            </w:r>
            <w:r>
              <w:rPr>
                <w:color w:val="auto"/>
                <w:szCs w:val="21"/>
                <w:highlight w:val="none"/>
              </w:rPr>
              <w:t>要求如下：</w:t>
            </w:r>
            <w:r>
              <w:rPr>
                <w:rFonts w:hint="eastAsia"/>
                <w:color w:val="auto"/>
                <w:szCs w:val="21"/>
                <w:highlight w:val="none"/>
              </w:rPr>
              <w:t>无</w:t>
            </w:r>
          </w:p>
        </w:tc>
      </w:tr>
      <w:tr w14:paraId="6D048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jc w:val="center"/>
        </w:trPr>
        <w:tc>
          <w:tcPr>
            <w:tcW w:w="992" w:type="dxa"/>
            <w:vAlign w:val="center"/>
          </w:tcPr>
          <w:p w14:paraId="6B205DED">
            <w:pPr>
              <w:keepNext w:val="0"/>
              <w:keepLines w:val="0"/>
              <w:pageBreakBefore w:val="0"/>
              <w:widowControl w:val="0"/>
              <w:kinsoku/>
              <w:wordWrap/>
              <w:overflowPunct/>
              <w:topLinePunct w:val="0"/>
              <w:bidi w:val="0"/>
              <w:adjustRightInd/>
              <w:spacing w:line="360" w:lineRule="exact"/>
              <w:jc w:val="center"/>
              <w:rPr>
                <w:color w:val="auto"/>
                <w:szCs w:val="21"/>
                <w:highlight w:val="none"/>
              </w:rPr>
            </w:pPr>
            <w:r>
              <w:rPr>
                <w:rFonts w:hint="eastAsia"/>
                <w:color w:val="auto"/>
                <w:szCs w:val="21"/>
                <w:highlight w:val="none"/>
                <w:lang w:val="en-US" w:eastAsia="zh-CN"/>
              </w:rPr>
              <w:t>7</w:t>
            </w:r>
            <w:r>
              <w:rPr>
                <w:color w:val="auto"/>
                <w:szCs w:val="21"/>
                <w:highlight w:val="none"/>
              </w:rPr>
              <w:t>.2</w:t>
            </w:r>
          </w:p>
        </w:tc>
        <w:tc>
          <w:tcPr>
            <w:tcW w:w="8701" w:type="dxa"/>
            <w:vAlign w:val="center"/>
          </w:tcPr>
          <w:p w14:paraId="00DE01E7">
            <w:pPr>
              <w:pStyle w:val="11"/>
              <w:keepNext w:val="0"/>
              <w:keepLines w:val="0"/>
              <w:pageBreakBefore w:val="0"/>
              <w:widowControl w:val="0"/>
              <w:kinsoku/>
              <w:wordWrap/>
              <w:overflowPunct/>
              <w:topLinePunct w:val="0"/>
              <w:bidi w:val="0"/>
              <w:adjustRightInd/>
              <w:spacing w:line="360" w:lineRule="exact"/>
              <w:rPr>
                <w:color w:val="auto"/>
                <w:szCs w:val="21"/>
                <w:highlight w:val="none"/>
              </w:rPr>
            </w:pPr>
            <w:r>
              <w:rPr>
                <w:rFonts w:hint="eastAsia"/>
                <w:color w:val="auto"/>
                <w:szCs w:val="21"/>
                <w:highlight w:val="none"/>
                <w:lang w:eastAsia="zh-CN"/>
              </w:rPr>
              <w:sym w:font="Wingdings 2" w:char="0052"/>
            </w:r>
            <w:r>
              <w:rPr>
                <w:color w:val="auto"/>
                <w:szCs w:val="21"/>
                <w:highlight w:val="none"/>
              </w:rPr>
              <w:t>不允许分包</w:t>
            </w:r>
            <w:r>
              <w:rPr>
                <w:rFonts w:hint="eastAsia"/>
                <w:color w:val="auto"/>
                <w:szCs w:val="21"/>
                <w:highlight w:val="none"/>
              </w:rPr>
              <w:t xml:space="preserve">       </w:t>
            </w:r>
            <w:r>
              <w:rPr>
                <w:color w:val="auto"/>
                <w:szCs w:val="21"/>
                <w:highlight w:val="none"/>
              </w:rPr>
              <w:sym w:font="Wingdings 2" w:char="00A3"/>
            </w:r>
            <w:r>
              <w:rPr>
                <w:color w:val="auto"/>
                <w:szCs w:val="21"/>
                <w:highlight w:val="none"/>
              </w:rPr>
              <w:t>允许分包</w:t>
            </w:r>
          </w:p>
        </w:tc>
      </w:tr>
      <w:tr w14:paraId="06CC2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992" w:type="dxa"/>
            <w:vAlign w:val="center"/>
          </w:tcPr>
          <w:p w14:paraId="4528B455">
            <w:pPr>
              <w:keepNext w:val="0"/>
              <w:keepLines w:val="0"/>
              <w:pageBreakBefore w:val="0"/>
              <w:widowControl w:val="0"/>
              <w:kinsoku/>
              <w:wordWrap/>
              <w:overflowPunct/>
              <w:topLinePunct w:val="0"/>
              <w:bidi w:val="0"/>
              <w:adjustRightInd/>
              <w:spacing w:line="360" w:lineRule="exact"/>
              <w:jc w:val="center"/>
              <w:rPr>
                <w:rFonts w:hint="default" w:eastAsia="宋体"/>
                <w:color w:val="auto"/>
                <w:szCs w:val="21"/>
                <w:highlight w:val="none"/>
                <w:lang w:val="en-US" w:eastAsia="zh-CN"/>
              </w:rPr>
            </w:pPr>
            <w:r>
              <w:rPr>
                <w:color w:val="auto"/>
                <w:szCs w:val="21"/>
                <w:highlight w:val="none"/>
              </w:rPr>
              <w:t>1</w:t>
            </w:r>
            <w:r>
              <w:rPr>
                <w:rFonts w:hint="eastAsia"/>
                <w:color w:val="auto"/>
                <w:szCs w:val="21"/>
                <w:highlight w:val="none"/>
                <w:lang w:val="en-US" w:eastAsia="zh-CN"/>
              </w:rPr>
              <w:t>3.1</w:t>
            </w:r>
          </w:p>
        </w:tc>
        <w:tc>
          <w:tcPr>
            <w:tcW w:w="8701" w:type="dxa"/>
            <w:vAlign w:val="center"/>
          </w:tcPr>
          <w:p w14:paraId="2DFC2F9D">
            <w:pPr>
              <w:keepNext w:val="0"/>
              <w:keepLines w:val="0"/>
              <w:pageBreakBefore w:val="0"/>
              <w:widowControl w:val="0"/>
              <w:kinsoku/>
              <w:wordWrap/>
              <w:overflowPunct/>
              <w:topLinePunct w:val="0"/>
              <w:bidi w:val="0"/>
              <w:adjustRightInd/>
              <w:snapToGrid w:val="0"/>
              <w:spacing w:line="360" w:lineRule="exact"/>
              <w:jc w:val="left"/>
              <w:rPr>
                <w:b/>
                <w:color w:val="auto"/>
                <w:szCs w:val="21"/>
                <w:highlight w:val="none"/>
              </w:rPr>
            </w:pPr>
            <w:r>
              <w:rPr>
                <w:b/>
                <w:color w:val="auto"/>
                <w:szCs w:val="21"/>
                <w:highlight w:val="none"/>
              </w:rPr>
              <w:t>资格证明文件</w:t>
            </w:r>
          </w:p>
          <w:p w14:paraId="78366BA2">
            <w:pPr>
              <w:keepNext w:val="0"/>
              <w:keepLines w:val="0"/>
              <w:pageBreakBefore w:val="0"/>
              <w:widowControl w:val="0"/>
              <w:numPr>
                <w:ilvl w:val="0"/>
                <w:numId w:val="0"/>
              </w:numPr>
              <w:kinsoku/>
              <w:wordWrap/>
              <w:overflowPunct/>
              <w:topLinePunct w:val="0"/>
              <w:bidi w:val="0"/>
              <w:adjustRightInd/>
              <w:snapToGrid w:val="0"/>
              <w:spacing w:line="360" w:lineRule="exact"/>
              <w:jc w:val="left"/>
              <w:rPr>
                <w:color w:val="auto"/>
                <w:szCs w:val="21"/>
                <w:highlight w:val="none"/>
              </w:rPr>
            </w:pPr>
            <w:r>
              <w:rPr>
                <w:rFonts w:ascii="Times New Roman" w:hAnsi="Times New Roman" w:eastAsia="宋体" w:cs="Times New Roman"/>
                <w:color w:val="auto"/>
                <w:kern w:val="2"/>
                <w:sz w:val="21"/>
                <w:szCs w:val="21"/>
                <w:highlight w:val="none"/>
                <w:lang w:val="en-US" w:eastAsia="zh-CN" w:bidi="ar-SA"/>
              </w:rPr>
              <w:t>1．</w:t>
            </w:r>
            <w:r>
              <w:rPr>
                <w:rFonts w:hint="eastAsia" w:ascii="Times New Roman" w:hAnsi="Times New Roman" w:eastAsia="宋体" w:cs="Times New Roman"/>
                <w:color w:val="auto"/>
                <w:szCs w:val="21"/>
                <w:highlight w:val="none"/>
                <w:lang w:eastAsia="zh-CN"/>
              </w:rPr>
              <w:t>投标人</w:t>
            </w:r>
            <w:r>
              <w:rPr>
                <w:color w:val="auto"/>
                <w:szCs w:val="21"/>
                <w:highlight w:val="none"/>
              </w:rPr>
              <w:t>为法人或者其他组织的提供其营业执照等证明文件（如营业执照或者事业单位法人证书或者执业许可证等），</w:t>
            </w:r>
            <w:r>
              <w:rPr>
                <w:rFonts w:hint="eastAsia" w:ascii="Times New Roman" w:hAnsi="Times New Roman" w:eastAsia="宋体" w:cs="Times New Roman"/>
                <w:color w:val="auto"/>
                <w:szCs w:val="21"/>
                <w:highlight w:val="none"/>
                <w:lang w:eastAsia="zh-CN"/>
              </w:rPr>
              <w:t>投标人</w:t>
            </w:r>
            <w:r>
              <w:rPr>
                <w:color w:val="auto"/>
                <w:szCs w:val="21"/>
                <w:highlight w:val="none"/>
              </w:rPr>
              <w:t>为自然人的提供其身份证复印件；（</w:t>
            </w:r>
            <w:r>
              <w:rPr>
                <w:b/>
                <w:color w:val="auto"/>
                <w:szCs w:val="21"/>
                <w:highlight w:val="none"/>
              </w:rPr>
              <w:t>必须提供，否则</w:t>
            </w:r>
            <w:r>
              <w:rPr>
                <w:rFonts w:hint="eastAsia"/>
                <w:b/>
                <w:color w:val="auto"/>
                <w:szCs w:val="21"/>
                <w:highlight w:val="none"/>
                <w:lang w:eastAsia="zh-CN"/>
              </w:rPr>
              <w:t>按</w:t>
            </w:r>
            <w:r>
              <w:rPr>
                <w:b/>
                <w:color w:val="auto"/>
                <w:szCs w:val="21"/>
                <w:highlight w:val="none"/>
              </w:rPr>
              <w:t>无效</w:t>
            </w:r>
            <w:r>
              <w:rPr>
                <w:rFonts w:hint="eastAsia"/>
                <w:b/>
                <w:color w:val="auto"/>
                <w:szCs w:val="21"/>
                <w:highlight w:val="none"/>
                <w:lang w:eastAsia="zh-CN"/>
              </w:rPr>
              <w:t>投标</w:t>
            </w:r>
            <w:r>
              <w:rPr>
                <w:b/>
                <w:color w:val="auto"/>
                <w:szCs w:val="21"/>
                <w:highlight w:val="none"/>
              </w:rPr>
              <w:t>处理</w:t>
            </w:r>
            <w:r>
              <w:rPr>
                <w:color w:val="auto"/>
                <w:szCs w:val="21"/>
                <w:highlight w:val="none"/>
              </w:rPr>
              <w:t>）</w:t>
            </w:r>
          </w:p>
          <w:p w14:paraId="6B9FCB6B">
            <w:pPr>
              <w:keepNext w:val="0"/>
              <w:keepLines w:val="0"/>
              <w:pageBreakBefore w:val="0"/>
              <w:widowControl w:val="0"/>
              <w:numPr>
                <w:ilvl w:val="0"/>
                <w:numId w:val="0"/>
              </w:numPr>
              <w:kinsoku/>
              <w:wordWrap/>
              <w:overflowPunct/>
              <w:topLinePunct w:val="0"/>
              <w:bidi w:val="0"/>
              <w:adjustRightInd/>
              <w:snapToGrid w:val="0"/>
              <w:spacing w:line="360" w:lineRule="exact"/>
              <w:jc w:val="left"/>
              <w:rPr>
                <w:rFonts w:hint="default" w:eastAsia="宋体"/>
                <w:color w:val="auto"/>
                <w:szCs w:val="21"/>
                <w:highlight w:val="none"/>
                <w:lang w:val="en-US" w:eastAsia="zh-CN"/>
              </w:rPr>
            </w:pPr>
            <w:r>
              <w:rPr>
                <w:rFonts w:hint="eastAsia"/>
                <w:color w:val="auto"/>
                <w:szCs w:val="21"/>
                <w:highlight w:val="none"/>
                <w:lang w:val="en-US" w:eastAsia="zh-CN"/>
              </w:rPr>
              <w:t>2</w:t>
            </w:r>
            <w:r>
              <w:rPr>
                <w:rFonts w:ascii="Times New Roman" w:hAnsi="Times New Roman" w:eastAsia="宋体" w:cs="Times New Roman"/>
                <w:color w:val="auto"/>
                <w:kern w:val="2"/>
                <w:sz w:val="21"/>
                <w:szCs w:val="21"/>
                <w:highlight w:val="none"/>
                <w:lang w:val="en-US" w:eastAsia="zh-CN" w:bidi="ar-SA"/>
              </w:rPr>
              <w:t>．</w:t>
            </w:r>
            <w:r>
              <w:rPr>
                <w:rFonts w:hint="eastAsia" w:ascii="宋体" w:hAnsi="宋体"/>
                <w:color w:val="auto"/>
                <w:szCs w:val="21"/>
                <w:highlight w:val="none"/>
                <w:lang w:val="en-US" w:eastAsia="zh-CN"/>
              </w:rPr>
              <w:t>有效的“经营保险业务许可证”复印件</w:t>
            </w:r>
            <w:r>
              <w:rPr>
                <w:rFonts w:hint="eastAsia" w:ascii="宋体" w:hAnsi="宋体"/>
                <w:color w:val="auto"/>
                <w:szCs w:val="21"/>
                <w:highlight w:val="none"/>
                <w:lang w:eastAsia="zh-CN"/>
              </w:rPr>
              <w:t>，许可范围包括“健康保险”；</w:t>
            </w:r>
            <w:r>
              <w:rPr>
                <w:rFonts w:hint="eastAsia"/>
                <w:color w:val="auto"/>
                <w:szCs w:val="21"/>
                <w:highlight w:val="none"/>
                <w:lang w:val="en-US" w:eastAsia="zh-CN"/>
              </w:rPr>
              <w:t>如下属分公司(分支机构)投标的须提供总公司有关文件或制度等能证明总公司授权其独立开展业务或提供总公司出具的授权其参与本项目投标的授权文件；</w:t>
            </w:r>
            <w:r>
              <w:rPr>
                <w:color w:val="auto"/>
                <w:szCs w:val="21"/>
                <w:highlight w:val="none"/>
              </w:rPr>
              <w:t>（</w:t>
            </w:r>
            <w:r>
              <w:rPr>
                <w:b/>
                <w:color w:val="auto"/>
                <w:szCs w:val="21"/>
                <w:highlight w:val="none"/>
              </w:rPr>
              <w:t>必须提供，否则</w:t>
            </w:r>
            <w:r>
              <w:rPr>
                <w:rFonts w:hint="eastAsia"/>
                <w:b/>
                <w:color w:val="auto"/>
                <w:szCs w:val="21"/>
                <w:highlight w:val="none"/>
                <w:lang w:eastAsia="zh-CN"/>
              </w:rPr>
              <w:t>按</w:t>
            </w:r>
            <w:r>
              <w:rPr>
                <w:b/>
                <w:color w:val="auto"/>
                <w:szCs w:val="21"/>
                <w:highlight w:val="none"/>
              </w:rPr>
              <w:t>无效</w:t>
            </w:r>
            <w:r>
              <w:rPr>
                <w:rFonts w:hint="eastAsia"/>
                <w:b/>
                <w:color w:val="auto"/>
                <w:szCs w:val="21"/>
                <w:highlight w:val="none"/>
                <w:lang w:eastAsia="zh-CN"/>
              </w:rPr>
              <w:t>投标</w:t>
            </w:r>
            <w:r>
              <w:rPr>
                <w:b/>
                <w:color w:val="auto"/>
                <w:szCs w:val="21"/>
                <w:highlight w:val="none"/>
              </w:rPr>
              <w:t>处理</w:t>
            </w:r>
            <w:r>
              <w:rPr>
                <w:color w:val="auto"/>
                <w:szCs w:val="21"/>
                <w:highlight w:val="none"/>
              </w:rPr>
              <w:t>）</w:t>
            </w:r>
          </w:p>
          <w:p w14:paraId="7287BFE8">
            <w:pPr>
              <w:keepNext w:val="0"/>
              <w:keepLines w:val="0"/>
              <w:pageBreakBefore w:val="0"/>
              <w:widowControl w:val="0"/>
              <w:kinsoku/>
              <w:wordWrap/>
              <w:overflowPunct/>
              <w:topLinePunct w:val="0"/>
              <w:bidi w:val="0"/>
              <w:adjustRightInd/>
              <w:snapToGrid w:val="0"/>
              <w:spacing w:line="360" w:lineRule="exact"/>
              <w:jc w:val="left"/>
              <w:rPr>
                <w:color w:val="auto"/>
                <w:szCs w:val="21"/>
                <w:highlight w:val="none"/>
              </w:rPr>
            </w:pPr>
            <w:r>
              <w:rPr>
                <w:rFonts w:hint="eastAsia"/>
                <w:color w:val="auto"/>
                <w:szCs w:val="21"/>
                <w:highlight w:val="none"/>
                <w:lang w:val="en-US" w:eastAsia="zh-CN"/>
              </w:rPr>
              <w:t>3</w:t>
            </w:r>
            <w:r>
              <w:rPr>
                <w:color w:val="auto"/>
                <w:szCs w:val="21"/>
                <w:highlight w:val="none"/>
              </w:rPr>
              <w:t>．</w:t>
            </w:r>
            <w:r>
              <w:rPr>
                <w:rFonts w:hint="eastAsia" w:ascii="Times New Roman" w:hAnsi="Times New Roman" w:eastAsia="宋体" w:cs="Times New Roman"/>
                <w:color w:val="auto"/>
                <w:szCs w:val="21"/>
                <w:highlight w:val="none"/>
                <w:lang w:eastAsia="zh-CN"/>
              </w:rPr>
              <w:t>投标人</w:t>
            </w:r>
            <w:r>
              <w:rPr>
                <w:color w:val="auto"/>
                <w:szCs w:val="21"/>
                <w:highlight w:val="none"/>
              </w:rPr>
              <w:t>依法缴纳税收的相关材料（</w:t>
            </w:r>
            <w:r>
              <w:rPr>
                <w:rFonts w:hint="eastAsia"/>
                <w:color w:val="auto"/>
                <w:szCs w:val="21"/>
                <w:highlight w:val="none"/>
                <w:u w:val="none"/>
                <w:lang w:val="en-US" w:eastAsia="zh-CN"/>
              </w:rPr>
              <w:t>最近半年</w:t>
            </w:r>
            <w:r>
              <w:rPr>
                <w:color w:val="auto"/>
                <w:szCs w:val="21"/>
                <w:highlight w:val="none"/>
              </w:rPr>
              <w:t>内</w:t>
            </w:r>
            <w:r>
              <w:rPr>
                <w:rFonts w:hint="eastAsia"/>
                <w:color w:val="auto"/>
                <w:szCs w:val="21"/>
                <w:highlight w:val="none"/>
              </w:rPr>
              <w:t>连续</w:t>
            </w:r>
            <w:r>
              <w:rPr>
                <w:color w:val="auto"/>
                <w:szCs w:val="21"/>
                <w:highlight w:val="none"/>
                <w:u w:val="single"/>
              </w:rPr>
              <w:t xml:space="preserve"> </w:t>
            </w:r>
            <w:r>
              <w:rPr>
                <w:rFonts w:hint="eastAsia"/>
                <w:color w:val="auto"/>
                <w:szCs w:val="21"/>
                <w:highlight w:val="none"/>
                <w:u w:val="single"/>
                <w:lang w:val="en-US" w:eastAsia="zh-CN"/>
              </w:rPr>
              <w:t xml:space="preserve">3 </w:t>
            </w:r>
            <w:r>
              <w:rPr>
                <w:color w:val="auto"/>
                <w:szCs w:val="21"/>
                <w:highlight w:val="none"/>
              </w:rPr>
              <w:t>个月的依法缴纳税收的凭据复印件；依法免税的</w:t>
            </w:r>
            <w:r>
              <w:rPr>
                <w:rFonts w:hint="eastAsia" w:ascii="Times New Roman" w:hAnsi="Times New Roman" w:eastAsia="宋体" w:cs="Times New Roman"/>
                <w:color w:val="auto"/>
                <w:szCs w:val="21"/>
                <w:highlight w:val="none"/>
                <w:lang w:eastAsia="zh-CN"/>
              </w:rPr>
              <w:t>投标人</w:t>
            </w:r>
            <w:r>
              <w:rPr>
                <w:color w:val="auto"/>
                <w:szCs w:val="21"/>
                <w:highlight w:val="none"/>
              </w:rPr>
              <w:t>，必须提供相应文件证明其依法免税。从取得营业执照时间起到</w:t>
            </w:r>
            <w:r>
              <w:rPr>
                <w:rFonts w:hint="eastAsia"/>
                <w:color w:val="auto"/>
                <w:szCs w:val="21"/>
                <w:highlight w:val="none"/>
                <w:lang w:eastAsia="zh-CN"/>
              </w:rPr>
              <w:t>投标</w:t>
            </w:r>
            <w:r>
              <w:rPr>
                <w:color w:val="auto"/>
                <w:szCs w:val="21"/>
                <w:highlight w:val="none"/>
              </w:rPr>
              <w:t>文件提交截止时间为止不足要求月数的，只需提供从取得营业执照起的依法缴纳税收相应证明文件）；（</w:t>
            </w:r>
            <w:r>
              <w:rPr>
                <w:b/>
                <w:color w:val="auto"/>
                <w:szCs w:val="21"/>
                <w:highlight w:val="none"/>
              </w:rPr>
              <w:t>必须提供，否则</w:t>
            </w:r>
            <w:r>
              <w:rPr>
                <w:rFonts w:hint="eastAsia"/>
                <w:b/>
                <w:color w:val="auto"/>
                <w:szCs w:val="21"/>
                <w:highlight w:val="none"/>
                <w:lang w:eastAsia="zh-CN"/>
              </w:rPr>
              <w:t>按</w:t>
            </w:r>
            <w:r>
              <w:rPr>
                <w:b/>
                <w:color w:val="auto"/>
                <w:szCs w:val="21"/>
                <w:highlight w:val="none"/>
              </w:rPr>
              <w:t>无效</w:t>
            </w:r>
            <w:r>
              <w:rPr>
                <w:rFonts w:hint="eastAsia"/>
                <w:b/>
                <w:color w:val="auto"/>
                <w:szCs w:val="21"/>
                <w:highlight w:val="none"/>
                <w:lang w:eastAsia="zh-CN"/>
              </w:rPr>
              <w:t>投标</w:t>
            </w:r>
            <w:r>
              <w:rPr>
                <w:b/>
                <w:color w:val="auto"/>
                <w:szCs w:val="21"/>
                <w:highlight w:val="none"/>
              </w:rPr>
              <w:t>处理</w:t>
            </w:r>
            <w:r>
              <w:rPr>
                <w:color w:val="auto"/>
                <w:szCs w:val="21"/>
                <w:highlight w:val="none"/>
              </w:rPr>
              <w:t>）</w:t>
            </w:r>
          </w:p>
          <w:p w14:paraId="6EBE62CF">
            <w:pPr>
              <w:keepNext w:val="0"/>
              <w:keepLines w:val="0"/>
              <w:pageBreakBefore w:val="0"/>
              <w:widowControl w:val="0"/>
              <w:kinsoku/>
              <w:wordWrap/>
              <w:overflowPunct/>
              <w:topLinePunct w:val="0"/>
              <w:bidi w:val="0"/>
              <w:adjustRightInd/>
              <w:snapToGrid w:val="0"/>
              <w:spacing w:line="360" w:lineRule="exact"/>
              <w:jc w:val="left"/>
              <w:rPr>
                <w:color w:val="auto"/>
                <w:szCs w:val="21"/>
                <w:highlight w:val="none"/>
              </w:rPr>
            </w:pPr>
            <w:r>
              <w:rPr>
                <w:rFonts w:hint="eastAsia"/>
                <w:color w:val="auto"/>
                <w:szCs w:val="21"/>
                <w:highlight w:val="none"/>
                <w:lang w:val="en-US" w:eastAsia="zh-CN"/>
              </w:rPr>
              <w:t>4</w:t>
            </w:r>
            <w:r>
              <w:rPr>
                <w:color w:val="auto"/>
                <w:szCs w:val="21"/>
                <w:highlight w:val="none"/>
              </w:rPr>
              <w:t>．</w:t>
            </w:r>
            <w:r>
              <w:rPr>
                <w:rFonts w:hint="eastAsia" w:ascii="Times New Roman" w:hAnsi="Times New Roman" w:eastAsia="宋体" w:cs="Times New Roman"/>
                <w:color w:val="auto"/>
                <w:szCs w:val="21"/>
                <w:highlight w:val="none"/>
                <w:lang w:eastAsia="zh-CN"/>
              </w:rPr>
              <w:t>投标人</w:t>
            </w:r>
            <w:r>
              <w:rPr>
                <w:color w:val="auto"/>
                <w:szCs w:val="21"/>
                <w:highlight w:val="none"/>
              </w:rPr>
              <w:t>依法缴纳社会保障资金的相关材料[</w:t>
            </w:r>
            <w:r>
              <w:rPr>
                <w:rFonts w:hint="eastAsia"/>
                <w:color w:val="auto"/>
                <w:szCs w:val="21"/>
                <w:highlight w:val="none"/>
                <w:u w:val="none"/>
                <w:lang w:val="en-US" w:eastAsia="zh-CN"/>
              </w:rPr>
              <w:t>最近半年</w:t>
            </w:r>
            <w:r>
              <w:rPr>
                <w:color w:val="auto"/>
                <w:szCs w:val="21"/>
                <w:highlight w:val="none"/>
              </w:rPr>
              <w:t>内</w:t>
            </w:r>
            <w:r>
              <w:rPr>
                <w:rFonts w:hint="eastAsia"/>
                <w:color w:val="auto"/>
                <w:szCs w:val="21"/>
                <w:highlight w:val="none"/>
              </w:rPr>
              <w:t>连续</w:t>
            </w:r>
            <w:r>
              <w:rPr>
                <w:rFonts w:hint="eastAsia"/>
                <w:color w:val="auto"/>
                <w:szCs w:val="21"/>
                <w:highlight w:val="none"/>
                <w:u w:val="single"/>
                <w:lang w:val="en-US" w:eastAsia="zh-CN"/>
              </w:rPr>
              <w:t xml:space="preserve"> 3 </w:t>
            </w:r>
            <w:r>
              <w:rPr>
                <w:color w:val="auto"/>
                <w:szCs w:val="21"/>
                <w:highlight w:val="none"/>
              </w:rPr>
              <w:t>个月的依法缴纳社会保障资金的缴费凭证（专用收据或者社会保险缴纳清单）复印件；依法不需要缴纳社会保障资金的</w:t>
            </w:r>
            <w:r>
              <w:rPr>
                <w:rFonts w:hint="eastAsia" w:ascii="Times New Roman" w:hAnsi="Times New Roman" w:eastAsia="宋体" w:cs="Times New Roman"/>
                <w:color w:val="auto"/>
                <w:szCs w:val="21"/>
                <w:highlight w:val="none"/>
                <w:lang w:eastAsia="zh-CN"/>
              </w:rPr>
              <w:t>投标人</w:t>
            </w:r>
            <w:r>
              <w:rPr>
                <w:color w:val="auto"/>
                <w:szCs w:val="21"/>
                <w:highlight w:val="none"/>
              </w:rPr>
              <w:t>，必须提供相应文件证明不需要缴纳社会保障资金。从取得营业执照时间起到</w:t>
            </w:r>
            <w:r>
              <w:rPr>
                <w:rFonts w:hint="eastAsia" w:ascii="Times New Roman" w:hAnsi="Times New Roman" w:eastAsia="宋体" w:cs="Times New Roman"/>
                <w:color w:val="auto"/>
                <w:szCs w:val="21"/>
                <w:highlight w:val="none"/>
                <w:lang w:eastAsia="zh-CN"/>
              </w:rPr>
              <w:t>投标</w:t>
            </w:r>
            <w:r>
              <w:rPr>
                <w:color w:val="auto"/>
                <w:szCs w:val="21"/>
                <w:highlight w:val="none"/>
              </w:rPr>
              <w:t>文件提交截止时间为止不足要求月数的只需提供从取得营业执照起的依法缴纳社会保障资金的相应证明文件]；（</w:t>
            </w:r>
            <w:r>
              <w:rPr>
                <w:b/>
                <w:color w:val="auto"/>
                <w:szCs w:val="21"/>
                <w:highlight w:val="none"/>
              </w:rPr>
              <w:t>必须提供，否则</w:t>
            </w:r>
            <w:r>
              <w:rPr>
                <w:rFonts w:hint="eastAsia"/>
                <w:b/>
                <w:color w:val="auto"/>
                <w:szCs w:val="21"/>
                <w:highlight w:val="none"/>
                <w:lang w:eastAsia="zh-CN"/>
              </w:rPr>
              <w:t>按</w:t>
            </w:r>
            <w:r>
              <w:rPr>
                <w:b/>
                <w:color w:val="auto"/>
                <w:szCs w:val="21"/>
                <w:highlight w:val="none"/>
              </w:rPr>
              <w:t>无效</w:t>
            </w:r>
            <w:r>
              <w:rPr>
                <w:rFonts w:hint="eastAsia"/>
                <w:b/>
                <w:color w:val="auto"/>
                <w:szCs w:val="21"/>
                <w:highlight w:val="none"/>
                <w:lang w:eastAsia="zh-CN"/>
              </w:rPr>
              <w:t>投标</w:t>
            </w:r>
            <w:r>
              <w:rPr>
                <w:b/>
                <w:color w:val="auto"/>
                <w:szCs w:val="21"/>
                <w:highlight w:val="none"/>
              </w:rPr>
              <w:t>处理</w:t>
            </w:r>
            <w:r>
              <w:rPr>
                <w:color w:val="auto"/>
                <w:szCs w:val="21"/>
                <w:highlight w:val="none"/>
              </w:rPr>
              <w:t>）</w:t>
            </w:r>
          </w:p>
          <w:p w14:paraId="72B77860">
            <w:pPr>
              <w:keepNext w:val="0"/>
              <w:keepLines w:val="0"/>
              <w:pageBreakBefore w:val="0"/>
              <w:widowControl w:val="0"/>
              <w:kinsoku/>
              <w:wordWrap/>
              <w:overflowPunct/>
              <w:topLinePunct w:val="0"/>
              <w:bidi w:val="0"/>
              <w:adjustRightInd/>
              <w:snapToGrid w:val="0"/>
              <w:spacing w:line="360" w:lineRule="exact"/>
              <w:jc w:val="left"/>
              <w:rPr>
                <w:b/>
                <w:color w:val="auto"/>
                <w:szCs w:val="21"/>
                <w:highlight w:val="none"/>
              </w:rPr>
            </w:pPr>
            <w:r>
              <w:rPr>
                <w:rFonts w:hint="eastAsia"/>
                <w:color w:val="auto"/>
                <w:szCs w:val="21"/>
                <w:highlight w:val="none"/>
                <w:lang w:val="en-US" w:eastAsia="zh-CN"/>
              </w:rPr>
              <w:t>5</w:t>
            </w:r>
            <w:r>
              <w:rPr>
                <w:color w:val="auto"/>
                <w:szCs w:val="21"/>
                <w:highlight w:val="none"/>
              </w:rPr>
              <w:t>．</w:t>
            </w:r>
            <w:r>
              <w:rPr>
                <w:rFonts w:hint="eastAsia"/>
                <w:color w:val="auto"/>
                <w:szCs w:val="21"/>
                <w:highlight w:val="none"/>
              </w:rPr>
              <w:t xml:space="preserve">投标人财务状况报告[ </w:t>
            </w:r>
            <w:r>
              <w:rPr>
                <w:rFonts w:hint="eastAsia"/>
                <w:color w:val="auto"/>
                <w:szCs w:val="21"/>
                <w:highlight w:val="none"/>
                <w:lang w:val="en-US" w:eastAsia="zh-CN"/>
              </w:rPr>
              <w:t>2024</w:t>
            </w:r>
            <w:r>
              <w:rPr>
                <w:rFonts w:hint="eastAsia"/>
                <w:color w:val="auto"/>
                <w:szCs w:val="21"/>
                <w:highlight w:val="none"/>
              </w:rPr>
              <w:t>年</w:t>
            </w:r>
            <w:r>
              <w:rPr>
                <w:rFonts w:hint="eastAsia"/>
                <w:color w:val="auto"/>
                <w:szCs w:val="21"/>
                <w:highlight w:val="none"/>
                <w:lang w:eastAsia="zh-CN"/>
              </w:rPr>
              <w:t>或</w:t>
            </w:r>
            <w:r>
              <w:rPr>
                <w:rFonts w:hint="eastAsia"/>
                <w:color w:val="auto"/>
                <w:szCs w:val="21"/>
                <w:highlight w:val="none"/>
                <w:lang w:val="en-US" w:eastAsia="zh-CN"/>
              </w:rPr>
              <w:t>2025年</w:t>
            </w:r>
            <w:r>
              <w:rPr>
                <w:rFonts w:hint="eastAsia"/>
                <w:color w:val="auto"/>
                <w:szCs w:val="21"/>
                <w:highlight w:val="none"/>
              </w:rPr>
              <w:t>财务状况报告复印件，供应商是法人的，应提供经审计的财务报告（包括“四表一注”，即资产负债表、利润表、现金流量表、所有者权益变动表及附注，属于小微企业的无须提供现金流量表）或者其基本开户银行出具的资信证明（注明有效期的，应在有效期内；未注明有效期的，出具时间至投标截止时间不超过一年）；供应商是其他组织或者自然人的，应提供经审计的财务报告（包括“四表一注”，即资产负债表、利润表、现金流量表、所有者权益变动表及附注，属于小微企业的无须提供现金流量表)或者银行出具的资信证明（注明有效期的，应在有效期内；未注明有效期的，出具时间至投标截止时间不超过一年）]；</w:t>
            </w:r>
            <w:r>
              <w:rPr>
                <w:bCs/>
                <w:color w:val="auto"/>
                <w:szCs w:val="21"/>
                <w:highlight w:val="none"/>
              </w:rPr>
              <w:t>（</w:t>
            </w:r>
            <w:r>
              <w:rPr>
                <w:b/>
                <w:color w:val="auto"/>
                <w:szCs w:val="21"/>
                <w:highlight w:val="none"/>
              </w:rPr>
              <w:t>必须提供，否则</w:t>
            </w:r>
            <w:r>
              <w:rPr>
                <w:rFonts w:hint="eastAsia"/>
                <w:b/>
                <w:color w:val="auto"/>
                <w:szCs w:val="21"/>
                <w:highlight w:val="none"/>
                <w:lang w:eastAsia="zh-CN"/>
              </w:rPr>
              <w:t>按</w:t>
            </w:r>
            <w:r>
              <w:rPr>
                <w:b/>
                <w:color w:val="auto"/>
                <w:szCs w:val="21"/>
                <w:highlight w:val="none"/>
              </w:rPr>
              <w:t>无效</w:t>
            </w:r>
            <w:r>
              <w:rPr>
                <w:rFonts w:hint="eastAsia"/>
                <w:b/>
                <w:color w:val="auto"/>
                <w:szCs w:val="21"/>
                <w:highlight w:val="none"/>
                <w:lang w:eastAsia="zh-CN"/>
              </w:rPr>
              <w:t>投标</w:t>
            </w:r>
            <w:r>
              <w:rPr>
                <w:b/>
                <w:color w:val="auto"/>
                <w:szCs w:val="21"/>
                <w:highlight w:val="none"/>
              </w:rPr>
              <w:t>处理</w:t>
            </w:r>
            <w:r>
              <w:rPr>
                <w:bCs/>
                <w:color w:val="auto"/>
                <w:szCs w:val="21"/>
                <w:highlight w:val="none"/>
              </w:rPr>
              <w:t>）</w:t>
            </w:r>
          </w:p>
          <w:p w14:paraId="1EB1D6CC">
            <w:pPr>
              <w:keepNext w:val="0"/>
              <w:keepLines w:val="0"/>
              <w:pageBreakBefore w:val="0"/>
              <w:widowControl w:val="0"/>
              <w:kinsoku/>
              <w:wordWrap/>
              <w:overflowPunct/>
              <w:topLinePunct w:val="0"/>
              <w:bidi w:val="0"/>
              <w:adjustRightInd/>
              <w:snapToGrid w:val="0"/>
              <w:spacing w:line="360" w:lineRule="exact"/>
              <w:jc w:val="left"/>
              <w:rPr>
                <w:color w:val="auto"/>
                <w:szCs w:val="21"/>
                <w:highlight w:val="none"/>
              </w:rPr>
            </w:pPr>
            <w:r>
              <w:rPr>
                <w:rFonts w:hint="eastAsia"/>
                <w:color w:val="auto"/>
                <w:szCs w:val="21"/>
                <w:highlight w:val="none"/>
                <w:lang w:val="en-US" w:eastAsia="zh-CN"/>
              </w:rPr>
              <w:t>6</w:t>
            </w:r>
            <w:r>
              <w:rPr>
                <w:color w:val="auto"/>
                <w:szCs w:val="21"/>
                <w:highlight w:val="none"/>
              </w:rPr>
              <w:t>．供应商直接控股、管理关系信息表（格式后附）；（</w:t>
            </w:r>
            <w:r>
              <w:rPr>
                <w:b/>
                <w:color w:val="auto"/>
                <w:szCs w:val="21"/>
                <w:highlight w:val="none"/>
              </w:rPr>
              <w:t>必须提供，否则</w:t>
            </w:r>
            <w:r>
              <w:rPr>
                <w:rFonts w:hint="eastAsia"/>
                <w:b/>
                <w:color w:val="auto"/>
                <w:szCs w:val="21"/>
                <w:highlight w:val="none"/>
                <w:lang w:eastAsia="zh-CN"/>
              </w:rPr>
              <w:t>按</w:t>
            </w:r>
            <w:r>
              <w:rPr>
                <w:b/>
                <w:color w:val="auto"/>
                <w:szCs w:val="21"/>
                <w:highlight w:val="none"/>
              </w:rPr>
              <w:t>无效</w:t>
            </w:r>
            <w:r>
              <w:rPr>
                <w:rFonts w:hint="eastAsia"/>
                <w:b/>
                <w:color w:val="auto"/>
                <w:szCs w:val="21"/>
                <w:highlight w:val="none"/>
                <w:lang w:eastAsia="zh-CN"/>
              </w:rPr>
              <w:t>投标</w:t>
            </w:r>
            <w:r>
              <w:rPr>
                <w:b/>
                <w:color w:val="auto"/>
                <w:szCs w:val="21"/>
                <w:highlight w:val="none"/>
              </w:rPr>
              <w:t>处理</w:t>
            </w:r>
            <w:r>
              <w:rPr>
                <w:color w:val="auto"/>
                <w:szCs w:val="21"/>
                <w:highlight w:val="none"/>
              </w:rPr>
              <w:t>）</w:t>
            </w:r>
          </w:p>
          <w:p w14:paraId="5E9BC76A">
            <w:pPr>
              <w:keepNext w:val="0"/>
              <w:keepLines w:val="0"/>
              <w:pageBreakBefore w:val="0"/>
              <w:widowControl w:val="0"/>
              <w:kinsoku/>
              <w:wordWrap/>
              <w:overflowPunct/>
              <w:topLinePunct w:val="0"/>
              <w:bidi w:val="0"/>
              <w:adjustRightInd/>
              <w:snapToGrid w:val="0"/>
              <w:spacing w:line="360" w:lineRule="exact"/>
              <w:jc w:val="left"/>
              <w:rPr>
                <w:color w:val="auto"/>
                <w:szCs w:val="21"/>
                <w:highlight w:val="none"/>
              </w:rPr>
            </w:pPr>
            <w:r>
              <w:rPr>
                <w:rFonts w:hint="eastAsia"/>
                <w:color w:val="auto"/>
                <w:szCs w:val="21"/>
                <w:highlight w:val="none"/>
                <w:lang w:val="en-US" w:eastAsia="zh-CN"/>
              </w:rPr>
              <w:t>7</w:t>
            </w:r>
            <w:r>
              <w:rPr>
                <w:color w:val="auto"/>
                <w:szCs w:val="21"/>
                <w:highlight w:val="none"/>
              </w:rPr>
              <w:t>．</w:t>
            </w:r>
            <w:r>
              <w:rPr>
                <w:rFonts w:hint="eastAsia"/>
                <w:color w:val="auto"/>
                <w:szCs w:val="21"/>
                <w:highlight w:val="none"/>
                <w:lang w:eastAsia="zh-CN"/>
              </w:rPr>
              <w:t>投标</w:t>
            </w:r>
            <w:r>
              <w:rPr>
                <w:color w:val="auto"/>
                <w:szCs w:val="21"/>
                <w:highlight w:val="none"/>
              </w:rPr>
              <w:t>声明（格式后附）；（</w:t>
            </w:r>
            <w:r>
              <w:rPr>
                <w:b/>
                <w:color w:val="auto"/>
                <w:szCs w:val="21"/>
                <w:highlight w:val="none"/>
              </w:rPr>
              <w:t>必须提供，否则</w:t>
            </w:r>
            <w:r>
              <w:rPr>
                <w:rFonts w:hint="eastAsia"/>
                <w:b/>
                <w:color w:val="auto"/>
                <w:szCs w:val="21"/>
                <w:highlight w:val="none"/>
                <w:lang w:eastAsia="zh-CN"/>
              </w:rPr>
              <w:t>按</w:t>
            </w:r>
            <w:r>
              <w:rPr>
                <w:b/>
                <w:color w:val="auto"/>
                <w:szCs w:val="21"/>
                <w:highlight w:val="none"/>
              </w:rPr>
              <w:t>无效</w:t>
            </w:r>
            <w:r>
              <w:rPr>
                <w:rFonts w:hint="eastAsia"/>
                <w:b/>
                <w:color w:val="auto"/>
                <w:szCs w:val="21"/>
                <w:highlight w:val="none"/>
                <w:lang w:eastAsia="zh-CN"/>
              </w:rPr>
              <w:t>投标</w:t>
            </w:r>
            <w:r>
              <w:rPr>
                <w:b/>
                <w:color w:val="auto"/>
                <w:szCs w:val="21"/>
                <w:highlight w:val="none"/>
              </w:rPr>
              <w:t>处理</w:t>
            </w:r>
            <w:r>
              <w:rPr>
                <w:color w:val="auto"/>
                <w:szCs w:val="21"/>
                <w:highlight w:val="none"/>
              </w:rPr>
              <w:t>）</w:t>
            </w:r>
          </w:p>
          <w:p w14:paraId="5ED45925">
            <w:pPr>
              <w:keepNext w:val="0"/>
              <w:keepLines w:val="0"/>
              <w:pageBreakBefore w:val="0"/>
              <w:widowControl w:val="0"/>
              <w:kinsoku/>
              <w:wordWrap/>
              <w:overflowPunct/>
              <w:topLinePunct w:val="0"/>
              <w:bidi w:val="0"/>
              <w:adjustRightInd/>
              <w:snapToGrid w:val="0"/>
              <w:spacing w:line="360" w:lineRule="exact"/>
              <w:jc w:val="left"/>
              <w:rPr>
                <w:rFonts w:hint="eastAsia"/>
                <w:color w:val="auto"/>
                <w:szCs w:val="21"/>
                <w:highlight w:val="none"/>
              </w:rPr>
            </w:pPr>
            <w:r>
              <w:rPr>
                <w:rFonts w:hint="eastAsia"/>
                <w:color w:val="auto"/>
                <w:szCs w:val="21"/>
                <w:highlight w:val="none"/>
                <w:lang w:val="en-US" w:eastAsia="zh-CN"/>
              </w:rPr>
              <w:t>8</w:t>
            </w:r>
            <w:r>
              <w:rPr>
                <w:color w:val="auto"/>
                <w:szCs w:val="21"/>
                <w:highlight w:val="none"/>
              </w:rPr>
              <w:t>．除</w:t>
            </w:r>
            <w:r>
              <w:rPr>
                <w:rFonts w:hint="eastAsia"/>
                <w:color w:val="auto"/>
                <w:szCs w:val="21"/>
                <w:highlight w:val="none"/>
                <w:lang w:eastAsia="zh-CN"/>
              </w:rPr>
              <w:t>招标</w:t>
            </w:r>
            <w:r>
              <w:rPr>
                <w:color w:val="auto"/>
                <w:szCs w:val="21"/>
                <w:highlight w:val="none"/>
              </w:rPr>
              <w:t>文件规定必须提供以外，供应商认为需要提供的其他证明材料</w:t>
            </w:r>
            <w:r>
              <w:rPr>
                <w:rFonts w:hint="eastAsia"/>
                <w:color w:val="auto"/>
                <w:szCs w:val="21"/>
                <w:highlight w:val="none"/>
              </w:rPr>
              <w:t>。</w:t>
            </w:r>
          </w:p>
          <w:p w14:paraId="38BCBABC">
            <w:pPr>
              <w:keepNext w:val="0"/>
              <w:keepLines w:val="0"/>
              <w:pageBreakBefore w:val="0"/>
              <w:widowControl w:val="0"/>
              <w:kinsoku/>
              <w:wordWrap/>
              <w:overflowPunct/>
              <w:topLinePunct w:val="0"/>
              <w:bidi w:val="0"/>
              <w:adjustRightInd/>
              <w:snapToGrid w:val="0"/>
              <w:spacing w:line="360" w:lineRule="exact"/>
              <w:jc w:val="left"/>
              <w:rPr>
                <w:b/>
                <w:color w:val="auto"/>
                <w:szCs w:val="21"/>
                <w:highlight w:val="none"/>
              </w:rPr>
            </w:pPr>
            <w:r>
              <w:rPr>
                <w:b/>
                <w:color w:val="auto"/>
                <w:szCs w:val="21"/>
                <w:highlight w:val="none"/>
              </w:rPr>
              <w:t>注：</w:t>
            </w:r>
          </w:p>
          <w:p w14:paraId="00285884">
            <w:pPr>
              <w:keepNext w:val="0"/>
              <w:keepLines w:val="0"/>
              <w:pageBreakBefore w:val="0"/>
              <w:widowControl w:val="0"/>
              <w:kinsoku/>
              <w:wordWrap/>
              <w:overflowPunct/>
              <w:topLinePunct w:val="0"/>
              <w:bidi w:val="0"/>
              <w:adjustRightInd/>
              <w:spacing w:line="360" w:lineRule="exact"/>
              <w:ind w:firstLine="211" w:firstLineChars="100"/>
              <w:rPr>
                <w:b/>
                <w:color w:val="auto"/>
                <w:szCs w:val="21"/>
                <w:highlight w:val="none"/>
              </w:rPr>
            </w:pPr>
            <w:r>
              <w:rPr>
                <w:b/>
                <w:color w:val="auto"/>
                <w:szCs w:val="21"/>
                <w:highlight w:val="none"/>
              </w:rPr>
              <w:t>1</w:t>
            </w:r>
            <w:r>
              <w:rPr>
                <w:color w:val="auto"/>
                <w:szCs w:val="21"/>
                <w:highlight w:val="none"/>
              </w:rPr>
              <w:t>．</w:t>
            </w:r>
            <w:r>
              <w:rPr>
                <w:b/>
                <w:color w:val="auto"/>
                <w:szCs w:val="21"/>
                <w:highlight w:val="none"/>
              </w:rPr>
              <w:t>以上标明“必须提供”材料复印件的，必须加盖</w:t>
            </w:r>
            <w:r>
              <w:rPr>
                <w:rFonts w:hint="eastAsia"/>
                <w:b/>
                <w:color w:val="auto"/>
                <w:szCs w:val="21"/>
                <w:highlight w:val="none"/>
                <w:lang w:eastAsia="zh-CN"/>
              </w:rPr>
              <w:t>投标人</w:t>
            </w:r>
            <w:r>
              <w:rPr>
                <w:b/>
                <w:color w:val="auto"/>
                <w:szCs w:val="21"/>
                <w:highlight w:val="none"/>
              </w:rPr>
              <w:t>CA签章，否则</w:t>
            </w:r>
            <w:r>
              <w:rPr>
                <w:rFonts w:hint="eastAsia"/>
                <w:b/>
                <w:color w:val="auto"/>
                <w:szCs w:val="21"/>
                <w:highlight w:val="none"/>
                <w:lang w:eastAsia="zh-CN"/>
              </w:rPr>
              <w:t>按</w:t>
            </w:r>
            <w:r>
              <w:rPr>
                <w:b/>
                <w:color w:val="auto"/>
                <w:szCs w:val="21"/>
                <w:highlight w:val="none"/>
              </w:rPr>
              <w:t>无效</w:t>
            </w:r>
            <w:r>
              <w:rPr>
                <w:rFonts w:hint="eastAsia"/>
                <w:b/>
                <w:color w:val="auto"/>
                <w:szCs w:val="21"/>
                <w:highlight w:val="none"/>
                <w:lang w:eastAsia="zh-CN"/>
              </w:rPr>
              <w:t>投标</w:t>
            </w:r>
            <w:r>
              <w:rPr>
                <w:b/>
                <w:color w:val="auto"/>
                <w:szCs w:val="21"/>
                <w:highlight w:val="none"/>
              </w:rPr>
              <w:t>处理。</w:t>
            </w:r>
          </w:p>
          <w:p w14:paraId="7058F57A">
            <w:pPr>
              <w:keepNext w:val="0"/>
              <w:keepLines w:val="0"/>
              <w:pageBreakBefore w:val="0"/>
              <w:widowControl w:val="0"/>
              <w:kinsoku/>
              <w:wordWrap/>
              <w:overflowPunct/>
              <w:topLinePunct w:val="0"/>
              <w:bidi w:val="0"/>
              <w:adjustRightInd/>
              <w:spacing w:line="360" w:lineRule="exact"/>
              <w:ind w:firstLine="211" w:firstLineChars="100"/>
              <w:rPr>
                <w:b/>
                <w:color w:val="auto"/>
                <w:szCs w:val="21"/>
                <w:highlight w:val="none"/>
              </w:rPr>
            </w:pPr>
            <w:r>
              <w:rPr>
                <w:b/>
                <w:color w:val="auto"/>
                <w:szCs w:val="21"/>
                <w:highlight w:val="none"/>
              </w:rPr>
              <w:t>2</w:t>
            </w:r>
            <w:r>
              <w:rPr>
                <w:color w:val="auto"/>
                <w:szCs w:val="21"/>
                <w:highlight w:val="none"/>
              </w:rPr>
              <w:t>．</w:t>
            </w:r>
            <w:r>
              <w:rPr>
                <w:rFonts w:hint="eastAsia"/>
                <w:b/>
                <w:color w:val="auto"/>
                <w:szCs w:val="21"/>
                <w:highlight w:val="none"/>
                <w:lang w:eastAsia="zh-CN"/>
              </w:rPr>
              <w:t>投标</w:t>
            </w:r>
            <w:r>
              <w:rPr>
                <w:b/>
                <w:color w:val="auto"/>
                <w:szCs w:val="21"/>
                <w:highlight w:val="none"/>
              </w:rPr>
              <w:t>文件中所须加盖公章部分均采用CA签章。若</w:t>
            </w:r>
            <w:r>
              <w:rPr>
                <w:rFonts w:hint="eastAsia"/>
                <w:b/>
                <w:color w:val="auto"/>
                <w:szCs w:val="21"/>
                <w:highlight w:val="none"/>
                <w:lang w:eastAsia="zh-CN"/>
              </w:rPr>
              <w:t>招标</w:t>
            </w:r>
            <w:r>
              <w:rPr>
                <w:b/>
                <w:color w:val="auto"/>
                <w:szCs w:val="21"/>
                <w:highlight w:val="none"/>
              </w:rPr>
              <w:t>文件中有专门标注的某关联点，并要求</w:t>
            </w:r>
            <w:r>
              <w:rPr>
                <w:rFonts w:hint="eastAsia"/>
                <w:b/>
                <w:color w:val="auto"/>
                <w:szCs w:val="21"/>
                <w:highlight w:val="none"/>
                <w:lang w:eastAsia="zh-CN"/>
              </w:rPr>
              <w:t>投标人</w:t>
            </w:r>
            <w:r>
              <w:rPr>
                <w:b/>
                <w:color w:val="auto"/>
                <w:szCs w:val="21"/>
                <w:highlight w:val="none"/>
              </w:rPr>
              <w:t>在电子投标系统中作出</w:t>
            </w:r>
            <w:r>
              <w:rPr>
                <w:rFonts w:hint="eastAsia"/>
                <w:b/>
                <w:color w:val="auto"/>
                <w:szCs w:val="21"/>
                <w:highlight w:val="none"/>
                <w:lang w:eastAsia="zh-CN"/>
              </w:rPr>
              <w:t>投标</w:t>
            </w:r>
            <w:r>
              <w:rPr>
                <w:b/>
                <w:color w:val="auto"/>
                <w:szCs w:val="21"/>
                <w:highlight w:val="none"/>
              </w:rPr>
              <w:t>响应的，如</w:t>
            </w:r>
            <w:r>
              <w:rPr>
                <w:rFonts w:hint="eastAsia"/>
                <w:b/>
                <w:color w:val="auto"/>
                <w:szCs w:val="21"/>
                <w:highlight w:val="none"/>
                <w:lang w:eastAsia="zh-CN"/>
              </w:rPr>
              <w:t>投标人</w:t>
            </w:r>
            <w:r>
              <w:rPr>
                <w:b/>
                <w:color w:val="auto"/>
                <w:szCs w:val="21"/>
                <w:highlight w:val="none"/>
              </w:rPr>
              <w:t>未对关联点进行响应或者在</w:t>
            </w:r>
            <w:r>
              <w:rPr>
                <w:rFonts w:hint="eastAsia"/>
                <w:b/>
                <w:color w:val="auto"/>
                <w:szCs w:val="21"/>
                <w:highlight w:val="none"/>
                <w:lang w:eastAsia="zh-CN"/>
              </w:rPr>
              <w:t>投标</w:t>
            </w:r>
            <w:r>
              <w:rPr>
                <w:b/>
                <w:color w:val="auto"/>
                <w:szCs w:val="21"/>
                <w:highlight w:val="none"/>
              </w:rPr>
              <w:t>文件其它内容进行描述，造成电子评审不能查询的责任由</w:t>
            </w:r>
            <w:r>
              <w:rPr>
                <w:rFonts w:hint="eastAsia"/>
                <w:b/>
                <w:color w:val="auto"/>
                <w:szCs w:val="21"/>
                <w:highlight w:val="none"/>
                <w:lang w:eastAsia="zh-CN"/>
              </w:rPr>
              <w:t>投标人</w:t>
            </w:r>
            <w:r>
              <w:rPr>
                <w:b/>
                <w:color w:val="auto"/>
                <w:szCs w:val="21"/>
                <w:highlight w:val="none"/>
              </w:rPr>
              <w:t>自行承担。</w:t>
            </w:r>
          </w:p>
          <w:p w14:paraId="0135E93B">
            <w:pPr>
              <w:keepNext w:val="0"/>
              <w:keepLines w:val="0"/>
              <w:pageBreakBefore w:val="0"/>
              <w:widowControl w:val="0"/>
              <w:kinsoku/>
              <w:wordWrap/>
              <w:overflowPunct/>
              <w:topLinePunct w:val="0"/>
              <w:bidi w:val="0"/>
              <w:adjustRightInd/>
              <w:snapToGrid w:val="0"/>
              <w:spacing w:line="360" w:lineRule="exact"/>
              <w:ind w:firstLine="211" w:firstLineChars="100"/>
              <w:jc w:val="left"/>
              <w:rPr>
                <w:b/>
                <w:color w:val="auto"/>
                <w:szCs w:val="21"/>
                <w:highlight w:val="none"/>
              </w:rPr>
            </w:pPr>
            <w:r>
              <w:rPr>
                <w:b/>
                <w:color w:val="auto"/>
                <w:szCs w:val="21"/>
                <w:highlight w:val="none"/>
              </w:rPr>
              <w:t>3</w:t>
            </w:r>
            <w:r>
              <w:rPr>
                <w:color w:val="auto"/>
                <w:szCs w:val="21"/>
                <w:highlight w:val="none"/>
              </w:rPr>
              <w:t>．</w:t>
            </w:r>
            <w:r>
              <w:rPr>
                <w:b/>
                <w:color w:val="auto"/>
                <w:szCs w:val="21"/>
                <w:highlight w:val="none"/>
              </w:rPr>
              <w:t>以上材料未附格式的，由</w:t>
            </w:r>
            <w:r>
              <w:rPr>
                <w:rFonts w:hint="eastAsia"/>
                <w:b/>
                <w:color w:val="auto"/>
                <w:szCs w:val="21"/>
                <w:highlight w:val="none"/>
                <w:lang w:eastAsia="zh-CN"/>
              </w:rPr>
              <w:t>投标人</w:t>
            </w:r>
            <w:r>
              <w:rPr>
                <w:b/>
                <w:color w:val="auto"/>
                <w:szCs w:val="21"/>
                <w:highlight w:val="none"/>
              </w:rPr>
              <w:t>自行拟定。</w:t>
            </w:r>
          </w:p>
        </w:tc>
      </w:tr>
      <w:tr w14:paraId="7131D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92" w:type="dxa"/>
            <w:vAlign w:val="center"/>
          </w:tcPr>
          <w:p w14:paraId="7BA7F326">
            <w:pPr>
              <w:keepNext w:val="0"/>
              <w:keepLines w:val="0"/>
              <w:pageBreakBefore w:val="0"/>
              <w:widowControl w:val="0"/>
              <w:kinsoku/>
              <w:wordWrap/>
              <w:overflowPunct/>
              <w:topLinePunct w:val="0"/>
              <w:bidi w:val="0"/>
              <w:adjustRightInd/>
              <w:spacing w:line="360" w:lineRule="exact"/>
              <w:jc w:val="center"/>
              <w:rPr>
                <w:rFonts w:hint="default" w:eastAsia="宋体"/>
                <w:color w:val="auto"/>
                <w:szCs w:val="21"/>
                <w:highlight w:val="none"/>
                <w:lang w:val="en-US" w:eastAsia="zh-CN"/>
              </w:rPr>
            </w:pPr>
            <w:r>
              <w:rPr>
                <w:rFonts w:hint="eastAsia"/>
                <w:color w:val="auto"/>
                <w:szCs w:val="21"/>
                <w:highlight w:val="none"/>
              </w:rPr>
              <w:t>1</w:t>
            </w:r>
            <w:r>
              <w:rPr>
                <w:rFonts w:hint="eastAsia"/>
                <w:color w:val="auto"/>
                <w:szCs w:val="21"/>
                <w:highlight w:val="none"/>
                <w:lang w:val="en-US" w:eastAsia="zh-CN"/>
              </w:rPr>
              <w:t>3.2</w:t>
            </w:r>
          </w:p>
        </w:tc>
        <w:tc>
          <w:tcPr>
            <w:tcW w:w="8701" w:type="dxa"/>
            <w:vAlign w:val="center"/>
          </w:tcPr>
          <w:p w14:paraId="63F4D42A">
            <w:pPr>
              <w:keepNext w:val="0"/>
              <w:keepLines w:val="0"/>
              <w:pageBreakBefore w:val="0"/>
              <w:widowControl w:val="0"/>
              <w:kinsoku/>
              <w:wordWrap/>
              <w:overflowPunct/>
              <w:topLinePunct w:val="0"/>
              <w:bidi w:val="0"/>
              <w:adjustRightInd/>
              <w:spacing w:line="360" w:lineRule="exact"/>
              <w:rPr>
                <w:b/>
                <w:bCs/>
                <w:color w:val="auto"/>
                <w:szCs w:val="21"/>
                <w:highlight w:val="none"/>
              </w:rPr>
            </w:pPr>
            <w:r>
              <w:rPr>
                <w:rFonts w:hint="eastAsia"/>
                <w:b/>
                <w:bCs/>
                <w:color w:val="auto"/>
                <w:szCs w:val="21"/>
                <w:highlight w:val="none"/>
              </w:rPr>
              <w:t>报价</w:t>
            </w:r>
            <w:r>
              <w:rPr>
                <w:b/>
                <w:bCs/>
                <w:color w:val="auto"/>
                <w:szCs w:val="21"/>
                <w:highlight w:val="none"/>
              </w:rPr>
              <w:t>文件</w:t>
            </w:r>
          </w:p>
          <w:p w14:paraId="2B9B2EA0">
            <w:pPr>
              <w:pStyle w:val="7"/>
              <w:keepNext w:val="0"/>
              <w:keepLines w:val="0"/>
              <w:pageBreakBefore w:val="0"/>
              <w:widowControl w:val="0"/>
              <w:numPr>
                <w:ilvl w:val="0"/>
                <w:numId w:val="2"/>
              </w:numPr>
              <w:kinsoku/>
              <w:wordWrap/>
              <w:overflowPunct/>
              <w:topLinePunct w:val="0"/>
              <w:bidi w:val="0"/>
              <w:adjustRightInd/>
              <w:spacing w:line="360" w:lineRule="exact"/>
              <w:ind w:firstLine="0"/>
              <w:rPr>
                <w:color w:val="auto"/>
                <w:szCs w:val="21"/>
                <w:highlight w:val="none"/>
              </w:rPr>
            </w:pPr>
            <w:r>
              <w:rPr>
                <w:rFonts w:hint="eastAsia"/>
                <w:color w:val="auto"/>
                <w:szCs w:val="21"/>
                <w:highlight w:val="none"/>
                <w:lang w:eastAsia="zh-CN"/>
              </w:rPr>
              <w:t>投标函</w:t>
            </w:r>
            <w:r>
              <w:rPr>
                <w:color w:val="auto"/>
                <w:szCs w:val="21"/>
                <w:highlight w:val="none"/>
              </w:rPr>
              <w:t>（格式后附）；（</w:t>
            </w:r>
            <w:r>
              <w:rPr>
                <w:b/>
                <w:color w:val="auto"/>
                <w:szCs w:val="21"/>
                <w:highlight w:val="none"/>
              </w:rPr>
              <w:t>必须提供，否则</w:t>
            </w:r>
            <w:r>
              <w:rPr>
                <w:rFonts w:hint="eastAsia"/>
                <w:b/>
                <w:color w:val="auto"/>
                <w:szCs w:val="21"/>
                <w:highlight w:val="none"/>
                <w:lang w:eastAsia="zh-CN"/>
              </w:rPr>
              <w:t>按</w:t>
            </w:r>
            <w:r>
              <w:rPr>
                <w:b/>
                <w:color w:val="auto"/>
                <w:szCs w:val="21"/>
                <w:highlight w:val="none"/>
              </w:rPr>
              <w:t>无效</w:t>
            </w:r>
            <w:r>
              <w:rPr>
                <w:rFonts w:hint="eastAsia"/>
                <w:b/>
                <w:color w:val="auto"/>
                <w:szCs w:val="21"/>
                <w:highlight w:val="none"/>
                <w:lang w:eastAsia="zh-CN"/>
              </w:rPr>
              <w:t>投标</w:t>
            </w:r>
            <w:r>
              <w:rPr>
                <w:b/>
                <w:color w:val="auto"/>
                <w:szCs w:val="21"/>
                <w:highlight w:val="none"/>
              </w:rPr>
              <w:t>处理</w:t>
            </w:r>
            <w:r>
              <w:rPr>
                <w:color w:val="auto"/>
                <w:szCs w:val="21"/>
                <w:highlight w:val="none"/>
              </w:rPr>
              <w:t>）</w:t>
            </w:r>
          </w:p>
          <w:p w14:paraId="21975BDE">
            <w:pPr>
              <w:pStyle w:val="7"/>
              <w:keepNext w:val="0"/>
              <w:keepLines w:val="0"/>
              <w:pageBreakBefore w:val="0"/>
              <w:widowControl w:val="0"/>
              <w:numPr>
                <w:ilvl w:val="0"/>
                <w:numId w:val="2"/>
              </w:numPr>
              <w:kinsoku/>
              <w:wordWrap/>
              <w:overflowPunct/>
              <w:topLinePunct w:val="0"/>
              <w:bidi w:val="0"/>
              <w:adjustRightInd/>
              <w:spacing w:line="360" w:lineRule="exact"/>
              <w:ind w:firstLine="0"/>
              <w:rPr>
                <w:color w:val="auto"/>
                <w:szCs w:val="21"/>
                <w:highlight w:val="none"/>
              </w:rPr>
            </w:pPr>
            <w:r>
              <w:rPr>
                <w:rFonts w:hint="eastAsia"/>
                <w:color w:val="auto"/>
                <w:szCs w:val="21"/>
                <w:highlight w:val="none"/>
                <w:lang w:eastAsia="zh-CN"/>
              </w:rPr>
              <w:t>固定单价确认表</w:t>
            </w:r>
            <w:r>
              <w:rPr>
                <w:color w:val="auto"/>
                <w:szCs w:val="21"/>
                <w:highlight w:val="none"/>
              </w:rPr>
              <w:t>（格式后附）；（</w:t>
            </w:r>
            <w:r>
              <w:rPr>
                <w:b/>
                <w:color w:val="auto"/>
                <w:szCs w:val="21"/>
                <w:highlight w:val="none"/>
              </w:rPr>
              <w:t>必须提供，否则</w:t>
            </w:r>
            <w:r>
              <w:rPr>
                <w:rFonts w:hint="eastAsia"/>
                <w:b/>
                <w:color w:val="auto"/>
                <w:szCs w:val="21"/>
                <w:highlight w:val="none"/>
                <w:lang w:eastAsia="zh-CN"/>
              </w:rPr>
              <w:t>按</w:t>
            </w:r>
            <w:r>
              <w:rPr>
                <w:b/>
                <w:color w:val="auto"/>
                <w:szCs w:val="21"/>
                <w:highlight w:val="none"/>
              </w:rPr>
              <w:t>无效</w:t>
            </w:r>
            <w:r>
              <w:rPr>
                <w:rFonts w:hint="eastAsia"/>
                <w:b/>
                <w:color w:val="auto"/>
                <w:szCs w:val="21"/>
                <w:highlight w:val="none"/>
                <w:lang w:eastAsia="zh-CN"/>
              </w:rPr>
              <w:t>投标</w:t>
            </w:r>
            <w:r>
              <w:rPr>
                <w:b/>
                <w:color w:val="auto"/>
                <w:szCs w:val="21"/>
                <w:highlight w:val="none"/>
              </w:rPr>
              <w:t>处理</w:t>
            </w:r>
            <w:r>
              <w:rPr>
                <w:color w:val="auto"/>
                <w:szCs w:val="21"/>
                <w:highlight w:val="none"/>
              </w:rPr>
              <w:t>）</w:t>
            </w:r>
          </w:p>
          <w:p w14:paraId="7F643A1C">
            <w:pPr>
              <w:pStyle w:val="7"/>
              <w:keepNext w:val="0"/>
              <w:keepLines w:val="0"/>
              <w:pageBreakBefore w:val="0"/>
              <w:widowControl w:val="0"/>
              <w:numPr>
                <w:ilvl w:val="0"/>
                <w:numId w:val="2"/>
              </w:numPr>
              <w:kinsoku/>
              <w:wordWrap/>
              <w:overflowPunct/>
              <w:topLinePunct w:val="0"/>
              <w:bidi w:val="0"/>
              <w:adjustRightInd/>
              <w:spacing w:line="360" w:lineRule="exact"/>
              <w:ind w:firstLine="0"/>
              <w:rPr>
                <w:color w:val="auto"/>
                <w:szCs w:val="21"/>
                <w:highlight w:val="none"/>
              </w:rPr>
            </w:pPr>
            <w:r>
              <w:rPr>
                <w:rFonts w:hint="eastAsia"/>
                <w:color w:val="auto"/>
                <w:szCs w:val="21"/>
                <w:highlight w:val="none"/>
                <w:lang w:eastAsia="zh-CN"/>
              </w:rPr>
              <w:t>投标人针对报价需要说明的其他文件和说明（格式自拟）。</w:t>
            </w:r>
          </w:p>
          <w:p w14:paraId="7B2BDFDF">
            <w:pPr>
              <w:keepNext w:val="0"/>
              <w:keepLines w:val="0"/>
              <w:pageBreakBefore w:val="0"/>
              <w:widowControl w:val="0"/>
              <w:kinsoku/>
              <w:wordWrap/>
              <w:overflowPunct/>
              <w:topLinePunct w:val="0"/>
              <w:bidi w:val="0"/>
              <w:adjustRightInd/>
              <w:snapToGrid w:val="0"/>
              <w:spacing w:line="360" w:lineRule="exact"/>
              <w:jc w:val="left"/>
              <w:rPr>
                <w:b/>
                <w:color w:val="auto"/>
                <w:szCs w:val="21"/>
                <w:highlight w:val="none"/>
              </w:rPr>
            </w:pPr>
            <w:r>
              <w:rPr>
                <w:b/>
                <w:color w:val="auto"/>
                <w:szCs w:val="21"/>
                <w:highlight w:val="none"/>
              </w:rPr>
              <w:t xml:space="preserve">注： </w:t>
            </w:r>
          </w:p>
          <w:p w14:paraId="2DBE9D41">
            <w:pPr>
              <w:keepNext w:val="0"/>
              <w:keepLines w:val="0"/>
              <w:pageBreakBefore w:val="0"/>
              <w:widowControl w:val="0"/>
              <w:kinsoku/>
              <w:wordWrap/>
              <w:overflowPunct/>
              <w:topLinePunct w:val="0"/>
              <w:bidi w:val="0"/>
              <w:adjustRightInd/>
              <w:spacing w:line="360" w:lineRule="exact"/>
              <w:ind w:firstLine="211" w:firstLineChars="100"/>
              <w:rPr>
                <w:b/>
                <w:color w:val="auto"/>
                <w:szCs w:val="21"/>
                <w:highlight w:val="none"/>
              </w:rPr>
            </w:pPr>
            <w:r>
              <w:rPr>
                <w:b/>
                <w:color w:val="auto"/>
                <w:szCs w:val="21"/>
                <w:highlight w:val="none"/>
              </w:rPr>
              <w:t>1</w:t>
            </w:r>
            <w:r>
              <w:rPr>
                <w:color w:val="auto"/>
                <w:szCs w:val="21"/>
                <w:highlight w:val="none"/>
              </w:rPr>
              <w:t>．</w:t>
            </w:r>
            <w:r>
              <w:rPr>
                <w:b/>
                <w:color w:val="auto"/>
                <w:szCs w:val="21"/>
                <w:highlight w:val="none"/>
              </w:rPr>
              <w:t>以上标明“必须提供”材料复印件的，必须加盖</w:t>
            </w:r>
            <w:r>
              <w:rPr>
                <w:rFonts w:hint="eastAsia"/>
                <w:b/>
                <w:color w:val="auto"/>
                <w:szCs w:val="21"/>
                <w:highlight w:val="none"/>
                <w:lang w:eastAsia="zh-CN"/>
              </w:rPr>
              <w:t>投标人</w:t>
            </w:r>
            <w:r>
              <w:rPr>
                <w:b/>
                <w:color w:val="auto"/>
                <w:szCs w:val="21"/>
                <w:highlight w:val="none"/>
              </w:rPr>
              <w:t>CA签章，否则</w:t>
            </w:r>
            <w:r>
              <w:rPr>
                <w:rFonts w:hint="eastAsia"/>
                <w:b/>
                <w:color w:val="auto"/>
                <w:szCs w:val="21"/>
                <w:highlight w:val="none"/>
                <w:lang w:eastAsia="zh-CN"/>
              </w:rPr>
              <w:t>按</w:t>
            </w:r>
            <w:r>
              <w:rPr>
                <w:b/>
                <w:color w:val="auto"/>
                <w:szCs w:val="21"/>
                <w:highlight w:val="none"/>
              </w:rPr>
              <w:t>无效</w:t>
            </w:r>
            <w:r>
              <w:rPr>
                <w:rFonts w:hint="eastAsia"/>
                <w:b/>
                <w:color w:val="auto"/>
                <w:szCs w:val="21"/>
                <w:highlight w:val="none"/>
                <w:lang w:eastAsia="zh-CN"/>
              </w:rPr>
              <w:t>投标</w:t>
            </w:r>
            <w:r>
              <w:rPr>
                <w:b/>
                <w:color w:val="auto"/>
                <w:szCs w:val="21"/>
                <w:highlight w:val="none"/>
              </w:rPr>
              <w:t>处理。</w:t>
            </w:r>
          </w:p>
          <w:p w14:paraId="519BCEDE">
            <w:pPr>
              <w:keepNext w:val="0"/>
              <w:keepLines w:val="0"/>
              <w:pageBreakBefore w:val="0"/>
              <w:widowControl w:val="0"/>
              <w:kinsoku/>
              <w:wordWrap/>
              <w:overflowPunct/>
              <w:topLinePunct w:val="0"/>
              <w:bidi w:val="0"/>
              <w:adjustRightInd/>
              <w:spacing w:line="360" w:lineRule="exact"/>
              <w:ind w:firstLine="211" w:firstLineChars="100"/>
              <w:rPr>
                <w:b/>
                <w:color w:val="auto"/>
                <w:szCs w:val="21"/>
                <w:highlight w:val="none"/>
              </w:rPr>
            </w:pPr>
            <w:r>
              <w:rPr>
                <w:b/>
                <w:color w:val="auto"/>
                <w:szCs w:val="21"/>
                <w:highlight w:val="none"/>
              </w:rPr>
              <w:t>2</w:t>
            </w:r>
            <w:r>
              <w:rPr>
                <w:color w:val="auto"/>
                <w:szCs w:val="21"/>
                <w:highlight w:val="none"/>
              </w:rPr>
              <w:t>．</w:t>
            </w:r>
            <w:r>
              <w:rPr>
                <w:rFonts w:hint="eastAsia"/>
                <w:b/>
                <w:color w:val="auto"/>
                <w:szCs w:val="21"/>
                <w:highlight w:val="none"/>
                <w:lang w:eastAsia="zh-CN"/>
              </w:rPr>
              <w:t>投标</w:t>
            </w:r>
            <w:r>
              <w:rPr>
                <w:b/>
                <w:color w:val="auto"/>
                <w:szCs w:val="21"/>
                <w:highlight w:val="none"/>
              </w:rPr>
              <w:t>文件中所须加盖公章部分均采用CA签章。若</w:t>
            </w:r>
            <w:r>
              <w:rPr>
                <w:rFonts w:hint="eastAsia"/>
                <w:b/>
                <w:color w:val="auto"/>
                <w:szCs w:val="21"/>
                <w:highlight w:val="none"/>
                <w:lang w:eastAsia="zh-CN"/>
              </w:rPr>
              <w:t>招标</w:t>
            </w:r>
            <w:r>
              <w:rPr>
                <w:b/>
                <w:color w:val="auto"/>
                <w:szCs w:val="21"/>
                <w:highlight w:val="none"/>
              </w:rPr>
              <w:t>文件中有专门标注的某关联点，并要求</w:t>
            </w:r>
            <w:r>
              <w:rPr>
                <w:rFonts w:hint="eastAsia"/>
                <w:b/>
                <w:color w:val="auto"/>
                <w:szCs w:val="21"/>
                <w:highlight w:val="none"/>
                <w:lang w:eastAsia="zh-CN"/>
              </w:rPr>
              <w:t>投标人</w:t>
            </w:r>
            <w:r>
              <w:rPr>
                <w:b/>
                <w:color w:val="auto"/>
                <w:szCs w:val="21"/>
                <w:highlight w:val="none"/>
              </w:rPr>
              <w:t>在电子投标系统中作出</w:t>
            </w:r>
            <w:r>
              <w:rPr>
                <w:rFonts w:hint="eastAsia"/>
                <w:b/>
                <w:color w:val="auto"/>
                <w:szCs w:val="21"/>
                <w:highlight w:val="none"/>
                <w:lang w:eastAsia="zh-CN"/>
              </w:rPr>
              <w:t>投标</w:t>
            </w:r>
            <w:r>
              <w:rPr>
                <w:b/>
                <w:color w:val="auto"/>
                <w:szCs w:val="21"/>
                <w:highlight w:val="none"/>
              </w:rPr>
              <w:t>响应的，如</w:t>
            </w:r>
            <w:r>
              <w:rPr>
                <w:rFonts w:hint="eastAsia"/>
                <w:b/>
                <w:color w:val="auto"/>
                <w:szCs w:val="21"/>
                <w:highlight w:val="none"/>
                <w:lang w:eastAsia="zh-CN"/>
              </w:rPr>
              <w:t>投标人</w:t>
            </w:r>
            <w:r>
              <w:rPr>
                <w:b/>
                <w:color w:val="auto"/>
                <w:szCs w:val="21"/>
                <w:highlight w:val="none"/>
              </w:rPr>
              <w:t>未对关联点进行响应或者在</w:t>
            </w:r>
            <w:r>
              <w:rPr>
                <w:rFonts w:hint="eastAsia"/>
                <w:b/>
                <w:color w:val="auto"/>
                <w:szCs w:val="21"/>
                <w:highlight w:val="none"/>
                <w:lang w:eastAsia="zh-CN"/>
              </w:rPr>
              <w:t>投标</w:t>
            </w:r>
            <w:r>
              <w:rPr>
                <w:b/>
                <w:color w:val="auto"/>
                <w:szCs w:val="21"/>
                <w:highlight w:val="none"/>
              </w:rPr>
              <w:t>文件其它内容进行描述，造成电子评审不能查询的责任由</w:t>
            </w:r>
            <w:r>
              <w:rPr>
                <w:rFonts w:hint="eastAsia"/>
                <w:b/>
                <w:color w:val="auto"/>
                <w:szCs w:val="21"/>
                <w:highlight w:val="none"/>
                <w:lang w:eastAsia="zh-CN"/>
              </w:rPr>
              <w:t>投标人</w:t>
            </w:r>
            <w:r>
              <w:rPr>
                <w:b/>
                <w:color w:val="auto"/>
                <w:szCs w:val="21"/>
                <w:highlight w:val="none"/>
              </w:rPr>
              <w:t>自行承担。</w:t>
            </w:r>
          </w:p>
          <w:p w14:paraId="2029400F">
            <w:pPr>
              <w:keepNext w:val="0"/>
              <w:keepLines w:val="0"/>
              <w:pageBreakBefore w:val="0"/>
              <w:widowControl w:val="0"/>
              <w:kinsoku/>
              <w:wordWrap/>
              <w:overflowPunct/>
              <w:topLinePunct w:val="0"/>
              <w:bidi w:val="0"/>
              <w:adjustRightInd/>
              <w:snapToGrid w:val="0"/>
              <w:spacing w:line="360" w:lineRule="exact"/>
              <w:ind w:firstLine="211" w:firstLineChars="100"/>
              <w:jc w:val="left"/>
              <w:rPr>
                <w:color w:val="auto"/>
                <w:szCs w:val="21"/>
                <w:highlight w:val="none"/>
              </w:rPr>
            </w:pPr>
            <w:r>
              <w:rPr>
                <w:b/>
                <w:color w:val="auto"/>
                <w:szCs w:val="21"/>
                <w:highlight w:val="none"/>
              </w:rPr>
              <w:t>3</w:t>
            </w:r>
            <w:r>
              <w:rPr>
                <w:color w:val="auto"/>
                <w:szCs w:val="21"/>
                <w:highlight w:val="none"/>
              </w:rPr>
              <w:t>．</w:t>
            </w:r>
            <w:r>
              <w:rPr>
                <w:b/>
                <w:color w:val="auto"/>
                <w:szCs w:val="21"/>
                <w:highlight w:val="none"/>
              </w:rPr>
              <w:t>以上材料未附格式的，由</w:t>
            </w:r>
            <w:r>
              <w:rPr>
                <w:rFonts w:hint="eastAsia"/>
                <w:b/>
                <w:color w:val="auto"/>
                <w:szCs w:val="21"/>
                <w:highlight w:val="none"/>
                <w:lang w:eastAsia="zh-CN"/>
              </w:rPr>
              <w:t>投标人</w:t>
            </w:r>
            <w:r>
              <w:rPr>
                <w:b/>
                <w:color w:val="auto"/>
                <w:szCs w:val="21"/>
                <w:highlight w:val="none"/>
              </w:rPr>
              <w:t>自行拟定。</w:t>
            </w:r>
          </w:p>
        </w:tc>
      </w:tr>
      <w:tr w14:paraId="77AFD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0" w:hRule="atLeast"/>
          <w:jc w:val="center"/>
        </w:trPr>
        <w:tc>
          <w:tcPr>
            <w:tcW w:w="992" w:type="dxa"/>
            <w:vAlign w:val="center"/>
          </w:tcPr>
          <w:p w14:paraId="0C28EE91">
            <w:pPr>
              <w:keepNext w:val="0"/>
              <w:keepLines w:val="0"/>
              <w:pageBreakBefore w:val="0"/>
              <w:widowControl w:val="0"/>
              <w:kinsoku/>
              <w:wordWrap/>
              <w:overflowPunct/>
              <w:topLinePunct w:val="0"/>
              <w:bidi w:val="0"/>
              <w:adjustRightInd/>
              <w:spacing w:line="360" w:lineRule="exact"/>
              <w:jc w:val="center"/>
              <w:rPr>
                <w:rFonts w:hint="default" w:eastAsia="宋体"/>
                <w:color w:val="auto"/>
                <w:szCs w:val="21"/>
                <w:highlight w:val="none"/>
                <w:lang w:val="en-US" w:eastAsia="zh-CN"/>
              </w:rPr>
            </w:pPr>
            <w:r>
              <w:rPr>
                <w:color w:val="auto"/>
                <w:szCs w:val="21"/>
                <w:highlight w:val="none"/>
              </w:rPr>
              <w:t>1</w:t>
            </w:r>
            <w:r>
              <w:rPr>
                <w:rFonts w:hint="eastAsia"/>
                <w:color w:val="auto"/>
                <w:szCs w:val="21"/>
                <w:highlight w:val="none"/>
                <w:lang w:val="en-US" w:eastAsia="zh-CN"/>
              </w:rPr>
              <w:t>3.3</w:t>
            </w:r>
          </w:p>
        </w:tc>
        <w:tc>
          <w:tcPr>
            <w:tcW w:w="8701" w:type="dxa"/>
            <w:vAlign w:val="center"/>
          </w:tcPr>
          <w:p w14:paraId="2EE452D6">
            <w:pPr>
              <w:keepNext w:val="0"/>
              <w:keepLines w:val="0"/>
              <w:pageBreakBefore w:val="0"/>
              <w:widowControl w:val="0"/>
              <w:kinsoku/>
              <w:wordWrap/>
              <w:overflowPunct/>
              <w:topLinePunct w:val="0"/>
              <w:bidi w:val="0"/>
              <w:adjustRightInd/>
              <w:spacing w:line="360" w:lineRule="exact"/>
              <w:rPr>
                <w:b/>
                <w:bCs/>
                <w:color w:val="auto"/>
                <w:szCs w:val="21"/>
                <w:highlight w:val="none"/>
              </w:rPr>
            </w:pPr>
            <w:r>
              <w:rPr>
                <w:b/>
                <w:bCs/>
                <w:color w:val="auto"/>
                <w:szCs w:val="21"/>
                <w:highlight w:val="none"/>
              </w:rPr>
              <w:t>商务技术文件</w:t>
            </w:r>
          </w:p>
          <w:p w14:paraId="42374E59">
            <w:pPr>
              <w:keepNext w:val="0"/>
              <w:keepLines w:val="0"/>
              <w:pageBreakBefore w:val="0"/>
              <w:widowControl w:val="0"/>
              <w:kinsoku/>
              <w:wordWrap/>
              <w:overflowPunct/>
              <w:topLinePunct w:val="0"/>
              <w:bidi w:val="0"/>
              <w:adjustRightInd/>
              <w:spacing w:line="360" w:lineRule="exact"/>
              <w:rPr>
                <w:color w:val="auto"/>
                <w:szCs w:val="21"/>
                <w:highlight w:val="none"/>
              </w:rPr>
            </w:pPr>
            <w:r>
              <w:rPr>
                <w:color w:val="auto"/>
                <w:szCs w:val="21"/>
                <w:highlight w:val="none"/>
              </w:rPr>
              <w:t>1．无串通</w:t>
            </w:r>
            <w:r>
              <w:rPr>
                <w:rFonts w:hint="eastAsia"/>
                <w:color w:val="auto"/>
                <w:szCs w:val="21"/>
                <w:highlight w:val="none"/>
                <w:lang w:eastAsia="zh-CN"/>
              </w:rPr>
              <w:t>投标</w:t>
            </w:r>
            <w:r>
              <w:rPr>
                <w:color w:val="auto"/>
                <w:szCs w:val="21"/>
                <w:highlight w:val="none"/>
              </w:rPr>
              <w:t>行为的承诺函（格式后附）；（</w:t>
            </w:r>
            <w:r>
              <w:rPr>
                <w:b/>
                <w:color w:val="auto"/>
                <w:szCs w:val="21"/>
                <w:highlight w:val="none"/>
              </w:rPr>
              <w:t>必须提供，否则</w:t>
            </w:r>
            <w:r>
              <w:rPr>
                <w:rFonts w:hint="eastAsia"/>
                <w:b/>
                <w:color w:val="auto"/>
                <w:szCs w:val="21"/>
                <w:highlight w:val="none"/>
                <w:lang w:eastAsia="zh-CN"/>
              </w:rPr>
              <w:t>按</w:t>
            </w:r>
            <w:r>
              <w:rPr>
                <w:b/>
                <w:color w:val="auto"/>
                <w:szCs w:val="21"/>
                <w:highlight w:val="none"/>
              </w:rPr>
              <w:t>无效</w:t>
            </w:r>
            <w:r>
              <w:rPr>
                <w:rFonts w:hint="eastAsia"/>
                <w:b/>
                <w:color w:val="auto"/>
                <w:szCs w:val="21"/>
                <w:highlight w:val="none"/>
                <w:lang w:eastAsia="zh-CN"/>
              </w:rPr>
              <w:t>投标</w:t>
            </w:r>
            <w:r>
              <w:rPr>
                <w:b/>
                <w:color w:val="auto"/>
                <w:szCs w:val="21"/>
                <w:highlight w:val="none"/>
              </w:rPr>
              <w:t>处理</w:t>
            </w:r>
            <w:r>
              <w:rPr>
                <w:color w:val="auto"/>
                <w:szCs w:val="21"/>
                <w:highlight w:val="none"/>
              </w:rPr>
              <w:t>）</w:t>
            </w:r>
          </w:p>
          <w:p w14:paraId="19EA9A47">
            <w:pPr>
              <w:keepNext w:val="0"/>
              <w:keepLines w:val="0"/>
              <w:pageBreakBefore w:val="0"/>
              <w:widowControl w:val="0"/>
              <w:kinsoku/>
              <w:wordWrap/>
              <w:overflowPunct/>
              <w:topLinePunct w:val="0"/>
              <w:bidi w:val="0"/>
              <w:adjustRightInd/>
              <w:snapToGrid w:val="0"/>
              <w:spacing w:line="360" w:lineRule="exact"/>
              <w:jc w:val="left"/>
              <w:rPr>
                <w:color w:val="auto"/>
                <w:szCs w:val="21"/>
                <w:highlight w:val="none"/>
              </w:rPr>
            </w:pPr>
            <w:r>
              <w:rPr>
                <w:color w:val="auto"/>
                <w:szCs w:val="21"/>
                <w:highlight w:val="none"/>
              </w:rPr>
              <w:t>2．法定代表人身份证明书及法定代表人有效身份证正反面复印件（格式后附）；（</w:t>
            </w:r>
            <w:r>
              <w:rPr>
                <w:rFonts w:hint="eastAsia"/>
                <w:b/>
                <w:bCs/>
                <w:color w:val="auto"/>
                <w:szCs w:val="21"/>
                <w:highlight w:val="none"/>
                <w:lang w:eastAsia="zh-CN"/>
              </w:rPr>
              <w:t>除自然人投标外</w:t>
            </w:r>
            <w:r>
              <w:rPr>
                <w:b/>
                <w:color w:val="auto"/>
                <w:szCs w:val="21"/>
                <w:highlight w:val="none"/>
              </w:rPr>
              <w:t>必须提供，否则</w:t>
            </w:r>
            <w:r>
              <w:rPr>
                <w:rFonts w:hint="eastAsia"/>
                <w:b/>
                <w:color w:val="auto"/>
                <w:szCs w:val="21"/>
                <w:highlight w:val="none"/>
                <w:lang w:eastAsia="zh-CN"/>
              </w:rPr>
              <w:t>按</w:t>
            </w:r>
            <w:r>
              <w:rPr>
                <w:b/>
                <w:color w:val="auto"/>
                <w:szCs w:val="21"/>
                <w:highlight w:val="none"/>
              </w:rPr>
              <w:t>无效</w:t>
            </w:r>
            <w:r>
              <w:rPr>
                <w:rFonts w:hint="eastAsia"/>
                <w:b/>
                <w:color w:val="auto"/>
                <w:szCs w:val="21"/>
                <w:highlight w:val="none"/>
                <w:lang w:eastAsia="zh-CN"/>
              </w:rPr>
              <w:t>投标</w:t>
            </w:r>
            <w:r>
              <w:rPr>
                <w:b/>
                <w:color w:val="auto"/>
                <w:szCs w:val="21"/>
                <w:highlight w:val="none"/>
              </w:rPr>
              <w:t>处理</w:t>
            </w:r>
            <w:r>
              <w:rPr>
                <w:color w:val="auto"/>
                <w:szCs w:val="21"/>
                <w:highlight w:val="none"/>
              </w:rPr>
              <w:t>）</w:t>
            </w:r>
          </w:p>
          <w:p w14:paraId="115E233D">
            <w:pPr>
              <w:keepNext w:val="0"/>
              <w:keepLines w:val="0"/>
              <w:pageBreakBefore w:val="0"/>
              <w:widowControl w:val="0"/>
              <w:kinsoku/>
              <w:wordWrap/>
              <w:overflowPunct/>
              <w:topLinePunct w:val="0"/>
              <w:bidi w:val="0"/>
              <w:adjustRightInd/>
              <w:spacing w:line="360" w:lineRule="exact"/>
              <w:rPr>
                <w:color w:val="auto"/>
                <w:szCs w:val="21"/>
                <w:highlight w:val="none"/>
              </w:rPr>
            </w:pPr>
            <w:r>
              <w:rPr>
                <w:rFonts w:hint="eastAsia"/>
                <w:color w:val="auto"/>
                <w:szCs w:val="21"/>
                <w:highlight w:val="none"/>
              </w:rPr>
              <w:t>3</w:t>
            </w:r>
            <w:r>
              <w:rPr>
                <w:color w:val="auto"/>
                <w:szCs w:val="21"/>
                <w:highlight w:val="none"/>
              </w:rPr>
              <w:t>．法定代表人授权委托书及委托代理人有效身份证正反面复印件（格式后附）；（</w:t>
            </w:r>
            <w:r>
              <w:rPr>
                <w:b/>
                <w:color w:val="auto"/>
                <w:szCs w:val="21"/>
                <w:highlight w:val="none"/>
              </w:rPr>
              <w:t>委托时必须提供，否则</w:t>
            </w:r>
            <w:r>
              <w:rPr>
                <w:rFonts w:hint="eastAsia"/>
                <w:b/>
                <w:color w:val="auto"/>
                <w:szCs w:val="21"/>
                <w:highlight w:val="none"/>
                <w:lang w:eastAsia="zh-CN"/>
              </w:rPr>
              <w:t>按</w:t>
            </w:r>
            <w:r>
              <w:rPr>
                <w:b/>
                <w:color w:val="auto"/>
                <w:szCs w:val="21"/>
                <w:highlight w:val="none"/>
              </w:rPr>
              <w:t>无效</w:t>
            </w:r>
            <w:r>
              <w:rPr>
                <w:rFonts w:hint="eastAsia"/>
                <w:b/>
                <w:color w:val="auto"/>
                <w:szCs w:val="21"/>
                <w:highlight w:val="none"/>
                <w:lang w:eastAsia="zh-CN"/>
              </w:rPr>
              <w:t>投标</w:t>
            </w:r>
            <w:r>
              <w:rPr>
                <w:b/>
                <w:color w:val="auto"/>
                <w:szCs w:val="21"/>
                <w:highlight w:val="none"/>
              </w:rPr>
              <w:t>处理</w:t>
            </w:r>
            <w:r>
              <w:rPr>
                <w:color w:val="auto"/>
                <w:szCs w:val="21"/>
                <w:highlight w:val="none"/>
              </w:rPr>
              <w:t>）</w:t>
            </w:r>
          </w:p>
          <w:p w14:paraId="0A9BC6E9">
            <w:pPr>
              <w:keepNext w:val="0"/>
              <w:keepLines w:val="0"/>
              <w:pageBreakBefore w:val="0"/>
              <w:widowControl w:val="0"/>
              <w:kinsoku/>
              <w:wordWrap/>
              <w:overflowPunct/>
              <w:topLinePunct w:val="0"/>
              <w:bidi w:val="0"/>
              <w:adjustRightInd/>
              <w:spacing w:line="360" w:lineRule="exact"/>
              <w:rPr>
                <w:color w:val="auto"/>
                <w:szCs w:val="21"/>
                <w:highlight w:val="none"/>
              </w:rPr>
            </w:pPr>
            <w:r>
              <w:rPr>
                <w:rFonts w:hint="eastAsia"/>
                <w:color w:val="auto"/>
                <w:szCs w:val="21"/>
                <w:highlight w:val="none"/>
              </w:rPr>
              <w:t>4</w:t>
            </w:r>
            <w:r>
              <w:rPr>
                <w:color w:val="auto"/>
                <w:szCs w:val="21"/>
                <w:highlight w:val="none"/>
              </w:rPr>
              <w:t>．商务</w:t>
            </w:r>
            <w:r>
              <w:rPr>
                <w:rFonts w:hint="eastAsia"/>
                <w:color w:val="auto"/>
                <w:szCs w:val="21"/>
                <w:highlight w:val="none"/>
                <w:lang w:eastAsia="zh-CN"/>
              </w:rPr>
              <w:t>要求</w:t>
            </w:r>
            <w:r>
              <w:rPr>
                <w:color w:val="auto"/>
                <w:szCs w:val="21"/>
                <w:highlight w:val="none"/>
              </w:rPr>
              <w:t>偏离表（格式后附）；（</w:t>
            </w:r>
            <w:r>
              <w:rPr>
                <w:b/>
                <w:color w:val="auto"/>
                <w:szCs w:val="21"/>
                <w:highlight w:val="none"/>
              </w:rPr>
              <w:t>必须提供，否则</w:t>
            </w:r>
            <w:r>
              <w:rPr>
                <w:rFonts w:hint="eastAsia"/>
                <w:b/>
                <w:color w:val="auto"/>
                <w:szCs w:val="21"/>
                <w:highlight w:val="none"/>
                <w:lang w:eastAsia="zh-CN"/>
              </w:rPr>
              <w:t>按</w:t>
            </w:r>
            <w:r>
              <w:rPr>
                <w:b/>
                <w:color w:val="auto"/>
                <w:szCs w:val="21"/>
                <w:highlight w:val="none"/>
              </w:rPr>
              <w:t>无效</w:t>
            </w:r>
            <w:r>
              <w:rPr>
                <w:rFonts w:hint="eastAsia"/>
                <w:b/>
                <w:color w:val="auto"/>
                <w:szCs w:val="21"/>
                <w:highlight w:val="none"/>
                <w:lang w:eastAsia="zh-CN"/>
              </w:rPr>
              <w:t>投标</w:t>
            </w:r>
            <w:r>
              <w:rPr>
                <w:b/>
                <w:color w:val="auto"/>
                <w:szCs w:val="21"/>
                <w:highlight w:val="none"/>
              </w:rPr>
              <w:t>处理</w:t>
            </w:r>
            <w:r>
              <w:rPr>
                <w:color w:val="auto"/>
                <w:szCs w:val="21"/>
                <w:highlight w:val="none"/>
              </w:rPr>
              <w:t>）</w:t>
            </w:r>
          </w:p>
          <w:p w14:paraId="7F359B7A">
            <w:pPr>
              <w:keepNext w:val="0"/>
              <w:keepLines w:val="0"/>
              <w:pageBreakBefore w:val="0"/>
              <w:widowControl w:val="0"/>
              <w:kinsoku/>
              <w:wordWrap/>
              <w:overflowPunct/>
              <w:topLinePunct w:val="0"/>
              <w:bidi w:val="0"/>
              <w:adjustRightInd/>
              <w:spacing w:line="360" w:lineRule="exact"/>
              <w:rPr>
                <w:rFonts w:hint="eastAsia"/>
                <w:color w:val="auto"/>
                <w:szCs w:val="21"/>
                <w:highlight w:val="none"/>
              </w:rPr>
            </w:pPr>
            <w:r>
              <w:rPr>
                <w:rFonts w:hint="eastAsia"/>
                <w:color w:val="auto"/>
                <w:szCs w:val="21"/>
                <w:highlight w:val="none"/>
              </w:rPr>
              <w:t>5</w:t>
            </w:r>
            <w:r>
              <w:rPr>
                <w:color w:val="auto"/>
                <w:szCs w:val="21"/>
                <w:highlight w:val="none"/>
              </w:rPr>
              <w:t>．</w:t>
            </w:r>
            <w:r>
              <w:rPr>
                <w:rFonts w:hint="eastAsia"/>
                <w:color w:val="auto"/>
                <w:szCs w:val="21"/>
                <w:highlight w:val="none"/>
                <w:lang w:eastAsia="zh-CN"/>
              </w:rPr>
              <w:t>服务需求偏离表</w:t>
            </w:r>
            <w:r>
              <w:rPr>
                <w:color w:val="auto"/>
                <w:szCs w:val="21"/>
                <w:highlight w:val="none"/>
              </w:rPr>
              <w:t>（格式后附）；（</w:t>
            </w:r>
            <w:r>
              <w:rPr>
                <w:b/>
                <w:color w:val="auto"/>
                <w:szCs w:val="21"/>
                <w:highlight w:val="none"/>
              </w:rPr>
              <w:t>必须提供，否则</w:t>
            </w:r>
            <w:r>
              <w:rPr>
                <w:rFonts w:hint="eastAsia"/>
                <w:b/>
                <w:color w:val="auto"/>
                <w:szCs w:val="21"/>
                <w:highlight w:val="none"/>
                <w:lang w:eastAsia="zh-CN"/>
              </w:rPr>
              <w:t>按</w:t>
            </w:r>
            <w:r>
              <w:rPr>
                <w:b/>
                <w:color w:val="auto"/>
                <w:szCs w:val="21"/>
                <w:highlight w:val="none"/>
              </w:rPr>
              <w:t>无效</w:t>
            </w:r>
            <w:r>
              <w:rPr>
                <w:rFonts w:hint="eastAsia"/>
                <w:b/>
                <w:color w:val="auto"/>
                <w:szCs w:val="21"/>
                <w:highlight w:val="none"/>
                <w:lang w:eastAsia="zh-CN"/>
              </w:rPr>
              <w:t>投标</w:t>
            </w:r>
            <w:r>
              <w:rPr>
                <w:b/>
                <w:color w:val="auto"/>
                <w:szCs w:val="21"/>
                <w:highlight w:val="none"/>
              </w:rPr>
              <w:t>处理</w:t>
            </w:r>
            <w:r>
              <w:rPr>
                <w:color w:val="auto"/>
                <w:szCs w:val="21"/>
                <w:highlight w:val="none"/>
              </w:rPr>
              <w:t>）</w:t>
            </w:r>
          </w:p>
          <w:p w14:paraId="5116F6CF">
            <w:pPr>
              <w:keepNext w:val="0"/>
              <w:keepLines w:val="0"/>
              <w:pageBreakBefore w:val="0"/>
              <w:widowControl w:val="0"/>
              <w:kinsoku/>
              <w:wordWrap/>
              <w:overflowPunct/>
              <w:topLinePunct w:val="0"/>
              <w:bidi w:val="0"/>
              <w:adjustRightInd/>
              <w:spacing w:line="360" w:lineRule="exact"/>
              <w:rPr>
                <w:rFonts w:hint="eastAsia"/>
                <w:color w:val="auto"/>
                <w:szCs w:val="21"/>
                <w:highlight w:val="none"/>
                <w:lang w:val="en-US" w:eastAsia="zh-CN"/>
              </w:rPr>
            </w:pPr>
            <w:r>
              <w:rPr>
                <w:rFonts w:hint="eastAsia"/>
                <w:color w:val="auto"/>
                <w:szCs w:val="21"/>
                <w:highlight w:val="none"/>
                <w:lang w:eastAsia="zh-CN"/>
              </w:rPr>
              <w:t>6．服务</w:t>
            </w:r>
            <w:r>
              <w:rPr>
                <w:rFonts w:hint="eastAsia"/>
                <w:color w:val="auto"/>
                <w:szCs w:val="21"/>
                <w:highlight w:val="none"/>
                <w:lang w:val="en-US" w:eastAsia="zh-CN"/>
              </w:rPr>
              <w:t>方案</w:t>
            </w:r>
            <w:r>
              <w:rPr>
                <w:rFonts w:hint="eastAsia"/>
                <w:color w:val="auto"/>
                <w:szCs w:val="21"/>
                <w:highlight w:val="none"/>
                <w:lang w:eastAsia="zh-CN"/>
              </w:rPr>
              <w:t>（格式自拟）</w:t>
            </w:r>
            <w:r>
              <w:rPr>
                <w:rFonts w:hint="eastAsia"/>
                <w:color w:val="auto"/>
                <w:szCs w:val="21"/>
                <w:highlight w:val="none"/>
                <w:lang w:val="en-US" w:eastAsia="zh-CN"/>
              </w:rPr>
              <w:t>；</w:t>
            </w:r>
            <w:r>
              <w:rPr>
                <w:color w:val="auto"/>
                <w:szCs w:val="21"/>
                <w:highlight w:val="none"/>
              </w:rPr>
              <w:t>（</w:t>
            </w:r>
            <w:r>
              <w:rPr>
                <w:b/>
                <w:color w:val="auto"/>
                <w:szCs w:val="21"/>
                <w:highlight w:val="none"/>
              </w:rPr>
              <w:t>必须提供，否则</w:t>
            </w:r>
            <w:r>
              <w:rPr>
                <w:rFonts w:hint="eastAsia"/>
                <w:b/>
                <w:color w:val="auto"/>
                <w:szCs w:val="21"/>
                <w:highlight w:val="none"/>
                <w:lang w:eastAsia="zh-CN"/>
              </w:rPr>
              <w:t>按</w:t>
            </w:r>
            <w:r>
              <w:rPr>
                <w:b/>
                <w:color w:val="auto"/>
                <w:szCs w:val="21"/>
                <w:highlight w:val="none"/>
              </w:rPr>
              <w:t>无效</w:t>
            </w:r>
            <w:r>
              <w:rPr>
                <w:rFonts w:hint="eastAsia"/>
                <w:b/>
                <w:color w:val="auto"/>
                <w:szCs w:val="21"/>
                <w:highlight w:val="none"/>
                <w:lang w:eastAsia="zh-CN"/>
              </w:rPr>
              <w:t>投标</w:t>
            </w:r>
            <w:r>
              <w:rPr>
                <w:b/>
                <w:color w:val="auto"/>
                <w:szCs w:val="21"/>
                <w:highlight w:val="none"/>
              </w:rPr>
              <w:t>处理</w:t>
            </w:r>
            <w:r>
              <w:rPr>
                <w:color w:val="auto"/>
                <w:szCs w:val="21"/>
                <w:highlight w:val="none"/>
              </w:rPr>
              <w:t>）</w:t>
            </w:r>
          </w:p>
          <w:p w14:paraId="5318335A">
            <w:pPr>
              <w:keepNext w:val="0"/>
              <w:keepLines w:val="0"/>
              <w:pageBreakBefore w:val="0"/>
              <w:widowControl w:val="0"/>
              <w:kinsoku/>
              <w:wordWrap/>
              <w:overflowPunct/>
              <w:topLinePunct w:val="0"/>
              <w:bidi w:val="0"/>
              <w:adjustRightInd/>
              <w:spacing w:line="360" w:lineRule="exact"/>
              <w:rPr>
                <w:rFonts w:hint="eastAsia"/>
                <w:color w:val="auto"/>
                <w:szCs w:val="21"/>
                <w:highlight w:val="none"/>
                <w:lang w:val="en-US" w:eastAsia="zh-CN"/>
              </w:rPr>
            </w:pPr>
            <w:r>
              <w:rPr>
                <w:rFonts w:hint="eastAsia"/>
                <w:color w:val="auto"/>
                <w:szCs w:val="21"/>
                <w:highlight w:val="none"/>
                <w:lang w:val="en-US" w:eastAsia="zh-CN"/>
              </w:rPr>
              <w:t>7</w:t>
            </w:r>
            <w:r>
              <w:rPr>
                <w:rFonts w:hint="eastAsia"/>
                <w:color w:val="auto"/>
                <w:szCs w:val="21"/>
                <w:highlight w:val="none"/>
                <w:lang w:eastAsia="zh-CN"/>
              </w:rPr>
              <w:t>．服务保障方案（格式自拟）；</w:t>
            </w:r>
            <w:r>
              <w:rPr>
                <w:color w:val="auto"/>
                <w:szCs w:val="21"/>
                <w:highlight w:val="none"/>
              </w:rPr>
              <w:t>（</w:t>
            </w:r>
            <w:r>
              <w:rPr>
                <w:b/>
                <w:color w:val="auto"/>
                <w:szCs w:val="21"/>
                <w:highlight w:val="none"/>
              </w:rPr>
              <w:t>必须提供，否则</w:t>
            </w:r>
            <w:r>
              <w:rPr>
                <w:rFonts w:hint="eastAsia"/>
                <w:b/>
                <w:color w:val="auto"/>
                <w:szCs w:val="21"/>
                <w:highlight w:val="none"/>
                <w:lang w:eastAsia="zh-CN"/>
              </w:rPr>
              <w:t>按</w:t>
            </w:r>
            <w:r>
              <w:rPr>
                <w:b/>
                <w:color w:val="auto"/>
                <w:szCs w:val="21"/>
                <w:highlight w:val="none"/>
              </w:rPr>
              <w:t>无效</w:t>
            </w:r>
            <w:r>
              <w:rPr>
                <w:rFonts w:hint="eastAsia"/>
                <w:b/>
                <w:color w:val="auto"/>
                <w:szCs w:val="21"/>
                <w:highlight w:val="none"/>
                <w:lang w:eastAsia="zh-CN"/>
              </w:rPr>
              <w:t>投标</w:t>
            </w:r>
            <w:r>
              <w:rPr>
                <w:b/>
                <w:color w:val="auto"/>
                <w:szCs w:val="21"/>
                <w:highlight w:val="none"/>
              </w:rPr>
              <w:t>处理</w:t>
            </w:r>
            <w:r>
              <w:rPr>
                <w:color w:val="auto"/>
                <w:szCs w:val="21"/>
                <w:highlight w:val="none"/>
              </w:rPr>
              <w:t>）</w:t>
            </w:r>
          </w:p>
          <w:p w14:paraId="12952DC8">
            <w:pPr>
              <w:keepNext w:val="0"/>
              <w:keepLines w:val="0"/>
              <w:pageBreakBefore w:val="0"/>
              <w:widowControl w:val="0"/>
              <w:kinsoku/>
              <w:wordWrap/>
              <w:overflowPunct/>
              <w:topLinePunct w:val="0"/>
              <w:bidi w:val="0"/>
              <w:adjustRightInd/>
              <w:spacing w:line="360" w:lineRule="exact"/>
              <w:rPr>
                <w:color w:val="auto"/>
                <w:szCs w:val="21"/>
                <w:highlight w:val="none"/>
              </w:rPr>
            </w:pPr>
            <w:r>
              <w:rPr>
                <w:rFonts w:hint="eastAsia"/>
                <w:color w:val="auto"/>
                <w:szCs w:val="21"/>
                <w:highlight w:val="none"/>
                <w:lang w:val="en-US" w:eastAsia="zh-CN"/>
              </w:rPr>
              <w:t>8</w:t>
            </w:r>
            <w:r>
              <w:rPr>
                <w:rFonts w:hint="eastAsia"/>
                <w:color w:val="auto"/>
                <w:szCs w:val="21"/>
                <w:highlight w:val="none"/>
                <w:lang w:eastAsia="zh-CN"/>
              </w:rPr>
              <w:t>．拟投入项目实施人员一览表（格式自拟）；</w:t>
            </w:r>
          </w:p>
          <w:p w14:paraId="740AE7A4">
            <w:pPr>
              <w:keepNext w:val="0"/>
              <w:keepLines w:val="0"/>
              <w:pageBreakBefore w:val="0"/>
              <w:widowControl w:val="0"/>
              <w:kinsoku/>
              <w:wordWrap/>
              <w:overflowPunct/>
              <w:topLinePunct w:val="0"/>
              <w:bidi w:val="0"/>
              <w:adjustRightInd/>
              <w:snapToGrid w:val="0"/>
              <w:spacing w:line="360" w:lineRule="exact"/>
              <w:jc w:val="left"/>
              <w:rPr>
                <w:rFonts w:hint="eastAsia" w:eastAsia="宋体"/>
                <w:color w:val="auto"/>
                <w:szCs w:val="21"/>
                <w:highlight w:val="none"/>
                <w:lang w:val="en-US" w:eastAsia="zh-CN"/>
              </w:rPr>
            </w:pPr>
            <w:r>
              <w:rPr>
                <w:rFonts w:hint="eastAsia"/>
                <w:color w:val="auto"/>
                <w:szCs w:val="21"/>
                <w:highlight w:val="none"/>
                <w:lang w:val="en-US" w:eastAsia="zh-CN"/>
              </w:rPr>
              <w:t>9</w:t>
            </w:r>
            <w:r>
              <w:rPr>
                <w:rFonts w:hint="eastAsia"/>
                <w:color w:val="auto"/>
                <w:szCs w:val="21"/>
                <w:highlight w:val="none"/>
                <w:lang w:eastAsia="zh-CN"/>
              </w:rPr>
              <w:t>．</w:t>
            </w:r>
            <w:r>
              <w:rPr>
                <w:color w:val="auto"/>
                <w:szCs w:val="21"/>
                <w:highlight w:val="none"/>
              </w:rPr>
              <w:t>中小企业声明函或者残疾人福利性单位声明函或者供应商属于监狱企业的证明材料；</w:t>
            </w:r>
          </w:p>
          <w:p w14:paraId="0784D93F">
            <w:pPr>
              <w:keepNext w:val="0"/>
              <w:keepLines w:val="0"/>
              <w:pageBreakBefore w:val="0"/>
              <w:widowControl w:val="0"/>
              <w:kinsoku/>
              <w:wordWrap/>
              <w:overflowPunct/>
              <w:topLinePunct w:val="0"/>
              <w:bidi w:val="0"/>
              <w:adjustRightInd/>
              <w:spacing w:line="360" w:lineRule="exact"/>
              <w:rPr>
                <w:color w:val="auto"/>
                <w:szCs w:val="21"/>
                <w:highlight w:val="none"/>
              </w:rPr>
            </w:pPr>
            <w:r>
              <w:rPr>
                <w:rFonts w:hint="eastAsia"/>
                <w:color w:val="auto"/>
                <w:szCs w:val="21"/>
                <w:highlight w:val="none"/>
                <w:lang w:val="en-US" w:eastAsia="zh-CN"/>
              </w:rPr>
              <w:t>10</w:t>
            </w:r>
            <w:r>
              <w:rPr>
                <w:rFonts w:hint="eastAsia" w:ascii="Times New Roman" w:hAnsi="Times New Roman" w:eastAsia="宋体" w:cs="Times New Roman"/>
                <w:color w:val="auto"/>
                <w:szCs w:val="21"/>
                <w:highlight w:val="none"/>
              </w:rPr>
              <w:t>．</w:t>
            </w:r>
            <w:r>
              <w:rPr>
                <w:color w:val="auto"/>
                <w:szCs w:val="21"/>
                <w:highlight w:val="none"/>
              </w:rPr>
              <w:t>对应“第</w:t>
            </w:r>
            <w:r>
              <w:rPr>
                <w:rFonts w:hint="eastAsia"/>
                <w:color w:val="auto"/>
                <w:szCs w:val="21"/>
                <w:highlight w:val="none"/>
                <w:lang w:eastAsia="zh-CN"/>
              </w:rPr>
              <w:t>二</w:t>
            </w:r>
            <w:r>
              <w:rPr>
                <w:color w:val="auto"/>
                <w:szCs w:val="21"/>
                <w:highlight w:val="none"/>
              </w:rPr>
              <w:t xml:space="preserve">章 </w:t>
            </w:r>
            <w:r>
              <w:rPr>
                <w:rFonts w:hint="eastAsia"/>
                <w:color w:val="auto"/>
                <w:szCs w:val="21"/>
                <w:highlight w:val="none"/>
              </w:rPr>
              <w:t>采购</w:t>
            </w:r>
            <w:r>
              <w:rPr>
                <w:rFonts w:hint="eastAsia"/>
                <w:color w:val="auto"/>
                <w:szCs w:val="21"/>
                <w:highlight w:val="none"/>
                <w:lang w:eastAsia="zh-CN"/>
              </w:rPr>
              <w:t>需求</w:t>
            </w:r>
            <w:r>
              <w:rPr>
                <w:color w:val="auto"/>
                <w:szCs w:val="21"/>
                <w:highlight w:val="none"/>
              </w:rPr>
              <w:t>”</w:t>
            </w:r>
            <w:r>
              <w:rPr>
                <w:rFonts w:hint="eastAsia"/>
                <w:color w:val="auto"/>
                <w:szCs w:val="21"/>
                <w:highlight w:val="none"/>
              </w:rPr>
              <w:t>和</w:t>
            </w:r>
            <w:r>
              <w:rPr>
                <w:color w:val="auto"/>
                <w:szCs w:val="21"/>
                <w:highlight w:val="none"/>
              </w:rPr>
              <w:t>“</w:t>
            </w:r>
            <w:r>
              <w:rPr>
                <w:rFonts w:hint="eastAsia"/>
                <w:color w:val="auto"/>
                <w:szCs w:val="21"/>
                <w:highlight w:val="none"/>
              </w:rPr>
              <w:t>第四章</w:t>
            </w:r>
            <w:r>
              <w:rPr>
                <w:rFonts w:hint="eastAsia"/>
                <w:color w:val="auto"/>
                <w:szCs w:val="21"/>
                <w:highlight w:val="none"/>
                <w:lang w:val="en-US" w:eastAsia="zh-CN"/>
              </w:rPr>
              <w:t xml:space="preserve"> </w:t>
            </w:r>
            <w:r>
              <w:rPr>
                <w:rFonts w:hint="eastAsia"/>
                <w:color w:val="auto"/>
                <w:szCs w:val="21"/>
                <w:highlight w:val="none"/>
                <w:lang w:eastAsia="zh-CN"/>
              </w:rPr>
              <w:t>评标方法及评标</w:t>
            </w:r>
            <w:r>
              <w:rPr>
                <w:color w:val="auto"/>
                <w:szCs w:val="21"/>
                <w:highlight w:val="none"/>
              </w:rPr>
              <w:t>标准”</w:t>
            </w:r>
            <w:r>
              <w:rPr>
                <w:rFonts w:hint="eastAsia"/>
                <w:color w:val="auto"/>
                <w:szCs w:val="21"/>
                <w:highlight w:val="none"/>
              </w:rPr>
              <w:t>提供</w:t>
            </w:r>
            <w:r>
              <w:rPr>
                <w:color w:val="auto"/>
                <w:szCs w:val="21"/>
                <w:highlight w:val="none"/>
              </w:rPr>
              <w:t>的其他文件资料</w:t>
            </w:r>
            <w:r>
              <w:rPr>
                <w:rFonts w:hint="eastAsia" w:ascii="Times New Roman" w:hAnsi="Times New Roman" w:eastAsia="宋体" w:cs="Times New Roman"/>
                <w:color w:val="auto"/>
                <w:szCs w:val="21"/>
                <w:highlight w:val="none"/>
              </w:rPr>
              <w:t>；</w:t>
            </w:r>
          </w:p>
          <w:p w14:paraId="013B70A1">
            <w:pPr>
              <w:keepNext w:val="0"/>
              <w:keepLines w:val="0"/>
              <w:pageBreakBefore w:val="0"/>
              <w:widowControl w:val="0"/>
              <w:kinsoku/>
              <w:wordWrap/>
              <w:overflowPunct/>
              <w:topLinePunct w:val="0"/>
              <w:bidi w:val="0"/>
              <w:adjustRightInd/>
              <w:spacing w:line="360" w:lineRule="exact"/>
              <w:rPr>
                <w:color w:val="auto"/>
                <w:szCs w:val="21"/>
                <w:highlight w:val="none"/>
              </w:rPr>
            </w:pPr>
            <w:r>
              <w:rPr>
                <w:rFonts w:hint="eastAsia"/>
                <w:color w:val="auto"/>
                <w:szCs w:val="21"/>
                <w:highlight w:val="none"/>
                <w:lang w:val="en-US" w:eastAsia="zh-CN"/>
              </w:rPr>
              <w:t>11</w:t>
            </w:r>
            <w:r>
              <w:rPr>
                <w:color w:val="auto"/>
                <w:szCs w:val="21"/>
                <w:highlight w:val="none"/>
              </w:rPr>
              <w:t>．供应商认为需要提供的其他有关资料。</w:t>
            </w:r>
          </w:p>
          <w:p w14:paraId="5811A100">
            <w:pPr>
              <w:keepNext w:val="0"/>
              <w:keepLines w:val="0"/>
              <w:pageBreakBefore w:val="0"/>
              <w:widowControl w:val="0"/>
              <w:kinsoku/>
              <w:wordWrap/>
              <w:overflowPunct/>
              <w:topLinePunct w:val="0"/>
              <w:bidi w:val="0"/>
              <w:adjustRightInd/>
              <w:snapToGrid w:val="0"/>
              <w:spacing w:line="360" w:lineRule="exact"/>
              <w:jc w:val="left"/>
              <w:rPr>
                <w:b/>
                <w:color w:val="auto"/>
                <w:szCs w:val="21"/>
                <w:highlight w:val="none"/>
              </w:rPr>
            </w:pPr>
            <w:r>
              <w:rPr>
                <w:b/>
                <w:color w:val="auto"/>
                <w:szCs w:val="21"/>
                <w:highlight w:val="none"/>
              </w:rPr>
              <w:t xml:space="preserve">注： </w:t>
            </w:r>
          </w:p>
          <w:p w14:paraId="0BDCB930">
            <w:pPr>
              <w:keepNext w:val="0"/>
              <w:keepLines w:val="0"/>
              <w:pageBreakBefore w:val="0"/>
              <w:widowControl w:val="0"/>
              <w:kinsoku/>
              <w:wordWrap/>
              <w:overflowPunct/>
              <w:topLinePunct w:val="0"/>
              <w:bidi w:val="0"/>
              <w:adjustRightInd/>
              <w:spacing w:line="360" w:lineRule="exact"/>
              <w:ind w:firstLine="211" w:firstLineChars="100"/>
              <w:rPr>
                <w:b/>
                <w:color w:val="auto"/>
                <w:szCs w:val="21"/>
                <w:highlight w:val="none"/>
              </w:rPr>
            </w:pPr>
            <w:r>
              <w:rPr>
                <w:b/>
                <w:color w:val="auto"/>
                <w:szCs w:val="21"/>
                <w:highlight w:val="none"/>
              </w:rPr>
              <w:t>1</w:t>
            </w:r>
            <w:r>
              <w:rPr>
                <w:color w:val="auto"/>
                <w:szCs w:val="21"/>
                <w:highlight w:val="none"/>
              </w:rPr>
              <w:t>．</w:t>
            </w:r>
            <w:r>
              <w:rPr>
                <w:b/>
                <w:color w:val="auto"/>
                <w:szCs w:val="21"/>
                <w:highlight w:val="none"/>
              </w:rPr>
              <w:t>以上标明“必须提供”材料复印件的，必须加盖</w:t>
            </w:r>
            <w:r>
              <w:rPr>
                <w:rFonts w:hint="eastAsia"/>
                <w:b/>
                <w:color w:val="auto"/>
                <w:szCs w:val="21"/>
                <w:highlight w:val="none"/>
                <w:lang w:eastAsia="zh-CN"/>
              </w:rPr>
              <w:t>投标人</w:t>
            </w:r>
            <w:r>
              <w:rPr>
                <w:b/>
                <w:color w:val="auto"/>
                <w:szCs w:val="21"/>
                <w:highlight w:val="none"/>
              </w:rPr>
              <w:t>CA签章，否则</w:t>
            </w:r>
            <w:r>
              <w:rPr>
                <w:rFonts w:hint="eastAsia"/>
                <w:b/>
                <w:color w:val="auto"/>
                <w:szCs w:val="21"/>
                <w:highlight w:val="none"/>
                <w:lang w:eastAsia="zh-CN"/>
              </w:rPr>
              <w:t>按</w:t>
            </w:r>
            <w:r>
              <w:rPr>
                <w:b/>
                <w:color w:val="auto"/>
                <w:szCs w:val="21"/>
                <w:highlight w:val="none"/>
              </w:rPr>
              <w:t>无效</w:t>
            </w:r>
            <w:r>
              <w:rPr>
                <w:rFonts w:hint="eastAsia"/>
                <w:b/>
                <w:color w:val="auto"/>
                <w:szCs w:val="21"/>
                <w:highlight w:val="none"/>
                <w:lang w:eastAsia="zh-CN"/>
              </w:rPr>
              <w:t>投标</w:t>
            </w:r>
            <w:r>
              <w:rPr>
                <w:b/>
                <w:color w:val="auto"/>
                <w:szCs w:val="21"/>
                <w:highlight w:val="none"/>
              </w:rPr>
              <w:t>处理。</w:t>
            </w:r>
          </w:p>
          <w:p w14:paraId="55501589">
            <w:pPr>
              <w:keepNext w:val="0"/>
              <w:keepLines w:val="0"/>
              <w:pageBreakBefore w:val="0"/>
              <w:widowControl w:val="0"/>
              <w:kinsoku/>
              <w:wordWrap/>
              <w:overflowPunct/>
              <w:topLinePunct w:val="0"/>
              <w:bidi w:val="0"/>
              <w:adjustRightInd/>
              <w:spacing w:line="360" w:lineRule="exact"/>
              <w:ind w:firstLine="211" w:firstLineChars="100"/>
              <w:rPr>
                <w:b/>
                <w:color w:val="auto"/>
                <w:szCs w:val="21"/>
                <w:highlight w:val="none"/>
              </w:rPr>
            </w:pPr>
            <w:r>
              <w:rPr>
                <w:b/>
                <w:color w:val="auto"/>
                <w:szCs w:val="21"/>
                <w:highlight w:val="none"/>
              </w:rPr>
              <w:t>2</w:t>
            </w:r>
            <w:r>
              <w:rPr>
                <w:color w:val="auto"/>
                <w:szCs w:val="21"/>
                <w:highlight w:val="none"/>
              </w:rPr>
              <w:t>．</w:t>
            </w:r>
            <w:r>
              <w:rPr>
                <w:rFonts w:hint="eastAsia"/>
                <w:b/>
                <w:color w:val="auto"/>
                <w:szCs w:val="21"/>
                <w:highlight w:val="none"/>
                <w:lang w:eastAsia="zh-CN"/>
              </w:rPr>
              <w:t>投标</w:t>
            </w:r>
            <w:r>
              <w:rPr>
                <w:b/>
                <w:color w:val="auto"/>
                <w:szCs w:val="21"/>
                <w:highlight w:val="none"/>
              </w:rPr>
              <w:t>文件中所须加盖公章部分均采用CA签章。若</w:t>
            </w:r>
            <w:r>
              <w:rPr>
                <w:rFonts w:hint="eastAsia"/>
                <w:b/>
                <w:color w:val="auto"/>
                <w:szCs w:val="21"/>
                <w:highlight w:val="none"/>
                <w:lang w:eastAsia="zh-CN"/>
              </w:rPr>
              <w:t>招标</w:t>
            </w:r>
            <w:r>
              <w:rPr>
                <w:b/>
                <w:color w:val="auto"/>
                <w:szCs w:val="21"/>
                <w:highlight w:val="none"/>
              </w:rPr>
              <w:t>文件中有专门标注的某关联点，并要求</w:t>
            </w:r>
            <w:r>
              <w:rPr>
                <w:rFonts w:hint="eastAsia"/>
                <w:b/>
                <w:color w:val="auto"/>
                <w:szCs w:val="21"/>
                <w:highlight w:val="none"/>
                <w:lang w:eastAsia="zh-CN"/>
              </w:rPr>
              <w:t>投标人</w:t>
            </w:r>
            <w:r>
              <w:rPr>
                <w:b/>
                <w:color w:val="auto"/>
                <w:szCs w:val="21"/>
                <w:highlight w:val="none"/>
              </w:rPr>
              <w:t>在电子投标系统中作出</w:t>
            </w:r>
            <w:r>
              <w:rPr>
                <w:rFonts w:hint="eastAsia"/>
                <w:b/>
                <w:color w:val="auto"/>
                <w:szCs w:val="21"/>
                <w:highlight w:val="none"/>
                <w:lang w:eastAsia="zh-CN"/>
              </w:rPr>
              <w:t>投标</w:t>
            </w:r>
            <w:r>
              <w:rPr>
                <w:b/>
                <w:color w:val="auto"/>
                <w:szCs w:val="21"/>
                <w:highlight w:val="none"/>
              </w:rPr>
              <w:t>响应的，如</w:t>
            </w:r>
            <w:r>
              <w:rPr>
                <w:rFonts w:hint="eastAsia"/>
                <w:b/>
                <w:color w:val="auto"/>
                <w:szCs w:val="21"/>
                <w:highlight w:val="none"/>
                <w:lang w:eastAsia="zh-CN"/>
              </w:rPr>
              <w:t>投标人</w:t>
            </w:r>
            <w:r>
              <w:rPr>
                <w:b/>
                <w:color w:val="auto"/>
                <w:szCs w:val="21"/>
                <w:highlight w:val="none"/>
              </w:rPr>
              <w:t>未对关联点进行响应或者在</w:t>
            </w:r>
            <w:r>
              <w:rPr>
                <w:rFonts w:hint="eastAsia"/>
                <w:b/>
                <w:color w:val="auto"/>
                <w:szCs w:val="21"/>
                <w:highlight w:val="none"/>
                <w:lang w:eastAsia="zh-CN"/>
              </w:rPr>
              <w:t>投标</w:t>
            </w:r>
            <w:r>
              <w:rPr>
                <w:b/>
                <w:color w:val="auto"/>
                <w:szCs w:val="21"/>
                <w:highlight w:val="none"/>
              </w:rPr>
              <w:t>文件其它内容进行描述，造成电子评审不能查询的责任由</w:t>
            </w:r>
            <w:r>
              <w:rPr>
                <w:rFonts w:hint="eastAsia"/>
                <w:b/>
                <w:color w:val="auto"/>
                <w:szCs w:val="21"/>
                <w:highlight w:val="none"/>
                <w:lang w:eastAsia="zh-CN"/>
              </w:rPr>
              <w:t>投标人</w:t>
            </w:r>
            <w:r>
              <w:rPr>
                <w:b/>
                <w:color w:val="auto"/>
                <w:szCs w:val="21"/>
                <w:highlight w:val="none"/>
              </w:rPr>
              <w:t>自行承担。</w:t>
            </w:r>
          </w:p>
          <w:p w14:paraId="6F456064">
            <w:pPr>
              <w:keepNext w:val="0"/>
              <w:keepLines w:val="0"/>
              <w:pageBreakBefore w:val="0"/>
              <w:widowControl w:val="0"/>
              <w:kinsoku/>
              <w:wordWrap/>
              <w:overflowPunct/>
              <w:topLinePunct w:val="0"/>
              <w:bidi w:val="0"/>
              <w:adjustRightInd/>
              <w:spacing w:line="360" w:lineRule="exact"/>
              <w:ind w:firstLine="211" w:firstLineChars="100"/>
              <w:rPr>
                <w:color w:val="auto"/>
                <w:szCs w:val="21"/>
                <w:highlight w:val="none"/>
              </w:rPr>
            </w:pPr>
            <w:r>
              <w:rPr>
                <w:b/>
                <w:color w:val="auto"/>
                <w:szCs w:val="21"/>
                <w:highlight w:val="none"/>
              </w:rPr>
              <w:t>3</w:t>
            </w:r>
            <w:r>
              <w:rPr>
                <w:color w:val="auto"/>
                <w:szCs w:val="21"/>
                <w:highlight w:val="none"/>
              </w:rPr>
              <w:t>．</w:t>
            </w:r>
            <w:r>
              <w:rPr>
                <w:b/>
                <w:color w:val="auto"/>
                <w:szCs w:val="21"/>
                <w:highlight w:val="none"/>
              </w:rPr>
              <w:t>以上材料未附格式的，由</w:t>
            </w:r>
            <w:r>
              <w:rPr>
                <w:rFonts w:hint="eastAsia"/>
                <w:b/>
                <w:color w:val="auto"/>
                <w:szCs w:val="21"/>
                <w:highlight w:val="none"/>
                <w:lang w:eastAsia="zh-CN"/>
              </w:rPr>
              <w:t>投标人</w:t>
            </w:r>
            <w:r>
              <w:rPr>
                <w:b/>
                <w:color w:val="auto"/>
                <w:szCs w:val="21"/>
                <w:highlight w:val="none"/>
              </w:rPr>
              <w:t>自行拟定。</w:t>
            </w:r>
          </w:p>
        </w:tc>
      </w:tr>
      <w:tr w14:paraId="29425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992" w:type="dxa"/>
            <w:vAlign w:val="center"/>
          </w:tcPr>
          <w:p w14:paraId="03C08713">
            <w:pPr>
              <w:keepNext w:val="0"/>
              <w:keepLines w:val="0"/>
              <w:pageBreakBefore w:val="0"/>
              <w:widowControl w:val="0"/>
              <w:kinsoku/>
              <w:wordWrap/>
              <w:overflowPunct/>
              <w:topLinePunct w:val="0"/>
              <w:bidi w:val="0"/>
              <w:adjustRightInd/>
              <w:spacing w:line="360" w:lineRule="exact"/>
              <w:jc w:val="center"/>
              <w:rPr>
                <w:color w:val="auto"/>
                <w:szCs w:val="21"/>
                <w:highlight w:val="none"/>
              </w:rPr>
            </w:pPr>
            <w:r>
              <w:rPr>
                <w:color w:val="auto"/>
                <w:szCs w:val="21"/>
                <w:highlight w:val="none"/>
              </w:rPr>
              <w:t>1</w:t>
            </w:r>
            <w:r>
              <w:rPr>
                <w:rFonts w:hint="eastAsia"/>
                <w:color w:val="auto"/>
                <w:szCs w:val="21"/>
                <w:highlight w:val="none"/>
                <w:lang w:val="en-US" w:eastAsia="zh-CN"/>
              </w:rPr>
              <w:t>6</w:t>
            </w:r>
            <w:r>
              <w:rPr>
                <w:color w:val="auto"/>
                <w:szCs w:val="21"/>
                <w:highlight w:val="none"/>
              </w:rPr>
              <w:t>.2</w:t>
            </w:r>
          </w:p>
        </w:tc>
        <w:tc>
          <w:tcPr>
            <w:tcW w:w="8701" w:type="dxa"/>
            <w:vAlign w:val="center"/>
          </w:tcPr>
          <w:p w14:paraId="52EC702E">
            <w:pPr>
              <w:keepNext w:val="0"/>
              <w:keepLines w:val="0"/>
              <w:pageBreakBefore w:val="0"/>
              <w:widowControl w:val="0"/>
              <w:kinsoku/>
              <w:wordWrap/>
              <w:overflowPunct/>
              <w:topLinePunct w:val="0"/>
              <w:bidi w:val="0"/>
              <w:adjustRightInd/>
              <w:spacing w:line="360" w:lineRule="exact"/>
              <w:rPr>
                <w:rFonts w:hint="default"/>
                <w:color w:val="auto"/>
                <w:highlight w:val="none"/>
                <w:lang w:val="en-US" w:eastAsia="zh-CN"/>
              </w:rPr>
            </w:pPr>
            <w:r>
              <w:rPr>
                <w:rFonts w:hint="default" w:ascii="Times New Roman" w:hAnsi="Times New Roman" w:cs="Times New Roman"/>
                <w:color w:val="auto"/>
                <w:spacing w:val="-1"/>
                <w:kern w:val="0"/>
                <w:szCs w:val="21"/>
                <w:highlight w:val="none"/>
              </w:rPr>
              <w:t>本次报价须为人民币报价，为完成采购人指定服务全部内容的报价，但不限于项目所有服务内容、资料收集、研究编制、项目所需投入的人员、技术、车辆、交通、差旅、专家评审、验收</w:t>
            </w:r>
            <w:r>
              <w:rPr>
                <w:rFonts w:hint="default" w:ascii="Times New Roman" w:hAnsi="Times New Roman" w:cs="Times New Roman"/>
                <w:color w:val="auto"/>
                <w:spacing w:val="-1"/>
                <w:kern w:val="0"/>
                <w:szCs w:val="21"/>
                <w:highlight w:val="none"/>
                <w:lang w:eastAsia="zh-CN"/>
              </w:rPr>
              <w:t>、</w:t>
            </w:r>
            <w:r>
              <w:rPr>
                <w:rFonts w:hint="default" w:ascii="Times New Roman" w:hAnsi="Times New Roman" w:cs="Times New Roman"/>
                <w:color w:val="auto"/>
                <w:spacing w:val="-1"/>
                <w:kern w:val="0"/>
                <w:szCs w:val="21"/>
                <w:highlight w:val="none"/>
              </w:rPr>
              <w:t>各项保险费用和各项税金；</w:t>
            </w:r>
            <w:r>
              <w:rPr>
                <w:rFonts w:hint="default" w:ascii="Times New Roman" w:hAnsi="Times New Roman" w:cs="Times New Roman"/>
                <w:color w:val="auto"/>
                <w:spacing w:val="-1"/>
                <w:kern w:val="0"/>
                <w:szCs w:val="21"/>
                <w:highlight w:val="none"/>
                <w:lang w:eastAsia="zh-CN"/>
              </w:rPr>
              <w:t>供应商</w:t>
            </w:r>
            <w:r>
              <w:rPr>
                <w:rFonts w:hint="default" w:ascii="Times New Roman" w:hAnsi="Times New Roman" w:cs="Times New Roman"/>
                <w:color w:val="auto"/>
                <w:spacing w:val="-1"/>
                <w:kern w:val="0"/>
                <w:szCs w:val="21"/>
                <w:highlight w:val="none"/>
              </w:rPr>
              <w:t>应充分考虑由于国家政策变化、自然灾害、战争等不可抗力因素造成本合同中断引起损失风险费。在合同实施时，采购人将不予支付</w:t>
            </w:r>
            <w:r>
              <w:rPr>
                <w:rFonts w:hint="default" w:ascii="Times New Roman" w:hAnsi="Times New Roman" w:cs="Times New Roman"/>
                <w:color w:val="auto"/>
                <w:spacing w:val="-1"/>
                <w:kern w:val="0"/>
                <w:szCs w:val="21"/>
                <w:highlight w:val="none"/>
                <w:lang w:eastAsia="zh-CN"/>
              </w:rPr>
              <w:t>供应商</w:t>
            </w:r>
            <w:r>
              <w:rPr>
                <w:rFonts w:hint="default" w:ascii="Times New Roman" w:hAnsi="Times New Roman" w:cs="Times New Roman"/>
                <w:color w:val="auto"/>
                <w:spacing w:val="-1"/>
                <w:kern w:val="0"/>
                <w:szCs w:val="21"/>
                <w:highlight w:val="none"/>
              </w:rPr>
              <w:t>没有列入的项目费用，并认为此项目的费用已包括在</w:t>
            </w:r>
            <w:r>
              <w:rPr>
                <w:rFonts w:hint="default" w:ascii="Times New Roman" w:hAnsi="Times New Roman" w:cs="Times New Roman"/>
                <w:color w:val="auto"/>
                <w:spacing w:val="-1"/>
                <w:kern w:val="0"/>
                <w:szCs w:val="21"/>
                <w:highlight w:val="none"/>
                <w:lang w:eastAsia="zh-CN"/>
              </w:rPr>
              <w:t>项目</w:t>
            </w:r>
            <w:r>
              <w:rPr>
                <w:rFonts w:hint="default" w:ascii="Times New Roman" w:hAnsi="Times New Roman" w:cs="Times New Roman"/>
                <w:color w:val="auto"/>
                <w:spacing w:val="-1"/>
                <w:kern w:val="0"/>
                <w:szCs w:val="21"/>
                <w:highlight w:val="none"/>
              </w:rPr>
              <w:t>总报价中。</w:t>
            </w:r>
          </w:p>
        </w:tc>
      </w:tr>
      <w:tr w14:paraId="6E209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992" w:type="dxa"/>
            <w:vAlign w:val="center"/>
          </w:tcPr>
          <w:p w14:paraId="58D25EF0">
            <w:pPr>
              <w:keepNext w:val="0"/>
              <w:keepLines w:val="0"/>
              <w:pageBreakBefore w:val="0"/>
              <w:widowControl w:val="0"/>
              <w:kinsoku/>
              <w:wordWrap/>
              <w:overflowPunct/>
              <w:topLinePunct w:val="0"/>
              <w:bidi w:val="0"/>
              <w:adjustRightInd/>
              <w:spacing w:line="360" w:lineRule="exact"/>
              <w:jc w:val="center"/>
              <w:rPr>
                <w:color w:val="auto"/>
                <w:szCs w:val="21"/>
                <w:highlight w:val="none"/>
              </w:rPr>
            </w:pPr>
            <w:r>
              <w:rPr>
                <w:color w:val="auto"/>
                <w:szCs w:val="21"/>
                <w:highlight w:val="none"/>
              </w:rPr>
              <w:t>1</w:t>
            </w:r>
            <w:r>
              <w:rPr>
                <w:rFonts w:hint="eastAsia"/>
                <w:color w:val="auto"/>
                <w:szCs w:val="21"/>
                <w:highlight w:val="none"/>
                <w:lang w:val="en-US" w:eastAsia="zh-CN"/>
              </w:rPr>
              <w:t>7</w:t>
            </w:r>
            <w:r>
              <w:rPr>
                <w:color w:val="auto"/>
                <w:szCs w:val="21"/>
                <w:highlight w:val="none"/>
              </w:rPr>
              <w:t>.2</w:t>
            </w:r>
          </w:p>
        </w:tc>
        <w:tc>
          <w:tcPr>
            <w:tcW w:w="8701" w:type="dxa"/>
            <w:vAlign w:val="center"/>
          </w:tcPr>
          <w:p w14:paraId="546E6B41">
            <w:pPr>
              <w:pStyle w:val="9"/>
              <w:keepNext w:val="0"/>
              <w:keepLines w:val="0"/>
              <w:pageBreakBefore w:val="0"/>
              <w:widowControl w:val="0"/>
              <w:tabs>
                <w:tab w:val="clear" w:pos="454"/>
              </w:tabs>
              <w:kinsoku/>
              <w:wordWrap/>
              <w:overflowPunct/>
              <w:topLinePunct w:val="0"/>
              <w:bidi w:val="0"/>
              <w:adjustRightInd/>
              <w:snapToGrid w:val="0"/>
              <w:spacing w:afterLines="0" w:line="360" w:lineRule="exact"/>
              <w:ind w:left="283" w:hanging="283" w:hangingChars="135"/>
              <w:rPr>
                <w:color w:val="auto"/>
                <w:kern w:val="2"/>
                <w:sz w:val="21"/>
                <w:szCs w:val="21"/>
                <w:highlight w:val="none"/>
              </w:rPr>
            </w:pPr>
            <w:r>
              <w:rPr>
                <w:rFonts w:hint="eastAsia"/>
                <w:color w:val="auto"/>
                <w:kern w:val="2"/>
                <w:sz w:val="21"/>
                <w:szCs w:val="21"/>
                <w:highlight w:val="none"/>
                <w:lang w:eastAsia="zh-CN"/>
              </w:rPr>
              <w:t>投标</w:t>
            </w:r>
            <w:r>
              <w:rPr>
                <w:color w:val="auto"/>
                <w:kern w:val="2"/>
                <w:sz w:val="21"/>
                <w:szCs w:val="21"/>
                <w:highlight w:val="none"/>
              </w:rPr>
              <w:t>有效期：自</w:t>
            </w:r>
            <w:r>
              <w:rPr>
                <w:rFonts w:hint="eastAsia"/>
                <w:color w:val="auto"/>
                <w:kern w:val="2"/>
                <w:sz w:val="21"/>
                <w:szCs w:val="21"/>
                <w:highlight w:val="none"/>
                <w:lang w:eastAsia="zh-CN"/>
              </w:rPr>
              <w:t>投标</w:t>
            </w:r>
            <w:r>
              <w:rPr>
                <w:color w:val="auto"/>
                <w:kern w:val="2"/>
                <w:sz w:val="21"/>
                <w:szCs w:val="21"/>
                <w:highlight w:val="none"/>
              </w:rPr>
              <w:t>文件提交截止之日起</w:t>
            </w:r>
            <w:r>
              <w:rPr>
                <w:color w:val="auto"/>
                <w:kern w:val="2"/>
                <w:sz w:val="21"/>
                <w:szCs w:val="21"/>
                <w:highlight w:val="none"/>
                <w:u w:val="single"/>
              </w:rPr>
              <w:t xml:space="preserve"> </w:t>
            </w:r>
            <w:r>
              <w:rPr>
                <w:rFonts w:hint="eastAsia"/>
                <w:color w:val="auto"/>
                <w:kern w:val="2"/>
                <w:sz w:val="21"/>
                <w:szCs w:val="21"/>
                <w:highlight w:val="none"/>
                <w:u w:val="single"/>
                <w:lang w:val="en-US" w:eastAsia="zh-CN"/>
              </w:rPr>
              <w:t>6</w:t>
            </w:r>
            <w:r>
              <w:rPr>
                <w:color w:val="auto"/>
                <w:kern w:val="2"/>
                <w:sz w:val="21"/>
                <w:szCs w:val="21"/>
                <w:highlight w:val="none"/>
                <w:u w:val="single"/>
              </w:rPr>
              <w:t xml:space="preserve">0 </w:t>
            </w:r>
            <w:r>
              <w:rPr>
                <w:color w:val="auto"/>
                <w:kern w:val="2"/>
                <w:sz w:val="21"/>
                <w:szCs w:val="21"/>
                <w:highlight w:val="none"/>
              </w:rPr>
              <w:t>日。</w:t>
            </w:r>
          </w:p>
        </w:tc>
      </w:tr>
      <w:tr w14:paraId="57282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992" w:type="dxa"/>
            <w:vAlign w:val="center"/>
          </w:tcPr>
          <w:p w14:paraId="1EC3E1AE">
            <w:pPr>
              <w:keepNext w:val="0"/>
              <w:keepLines w:val="0"/>
              <w:pageBreakBefore w:val="0"/>
              <w:widowControl w:val="0"/>
              <w:kinsoku/>
              <w:wordWrap/>
              <w:overflowPunct/>
              <w:topLinePunct w:val="0"/>
              <w:bidi w:val="0"/>
              <w:adjustRightInd/>
              <w:spacing w:line="360" w:lineRule="exact"/>
              <w:jc w:val="center"/>
              <w:rPr>
                <w:color w:val="auto"/>
                <w:szCs w:val="21"/>
                <w:highlight w:val="none"/>
              </w:rPr>
            </w:pPr>
            <w:r>
              <w:rPr>
                <w:color w:val="auto"/>
                <w:szCs w:val="21"/>
                <w:highlight w:val="none"/>
              </w:rPr>
              <w:t>1</w:t>
            </w:r>
            <w:r>
              <w:rPr>
                <w:rFonts w:hint="eastAsia"/>
                <w:color w:val="auto"/>
                <w:szCs w:val="21"/>
                <w:highlight w:val="none"/>
                <w:lang w:val="en-US" w:eastAsia="zh-CN"/>
              </w:rPr>
              <w:t>8</w:t>
            </w:r>
            <w:r>
              <w:rPr>
                <w:color w:val="auto"/>
                <w:szCs w:val="21"/>
                <w:highlight w:val="none"/>
              </w:rPr>
              <w:t>.1</w:t>
            </w:r>
          </w:p>
        </w:tc>
        <w:tc>
          <w:tcPr>
            <w:tcW w:w="8701" w:type="dxa"/>
            <w:vAlign w:val="center"/>
          </w:tcPr>
          <w:p w14:paraId="76BC410A">
            <w:pPr>
              <w:keepNext w:val="0"/>
              <w:keepLines w:val="0"/>
              <w:pageBreakBefore w:val="0"/>
              <w:widowControl w:val="0"/>
              <w:kinsoku/>
              <w:wordWrap/>
              <w:overflowPunct/>
              <w:topLinePunct w:val="0"/>
              <w:bidi w:val="0"/>
              <w:adjustRightInd/>
              <w:snapToGrid w:val="0"/>
              <w:spacing w:line="360" w:lineRule="exact"/>
              <w:rPr>
                <w:color w:val="auto"/>
                <w:szCs w:val="21"/>
                <w:highlight w:val="none"/>
              </w:rPr>
            </w:pPr>
            <w:r>
              <w:rPr>
                <w:rFonts w:hint="eastAsia"/>
                <w:color w:val="auto"/>
                <w:kern w:val="0"/>
                <w:szCs w:val="21"/>
                <w:highlight w:val="none"/>
                <w:lang w:eastAsia="zh-CN"/>
              </w:rPr>
              <w:t>投标</w:t>
            </w:r>
            <w:r>
              <w:rPr>
                <w:color w:val="auto"/>
                <w:kern w:val="0"/>
                <w:szCs w:val="21"/>
                <w:highlight w:val="none"/>
              </w:rPr>
              <w:t>保证金：</w:t>
            </w:r>
            <w:r>
              <w:rPr>
                <w:color w:val="auto"/>
                <w:szCs w:val="21"/>
                <w:highlight w:val="none"/>
              </w:rPr>
              <w:t>本项目不</w:t>
            </w:r>
            <w:r>
              <w:rPr>
                <w:rFonts w:hint="eastAsia"/>
                <w:color w:val="auto"/>
                <w:szCs w:val="21"/>
                <w:highlight w:val="none"/>
                <w:lang w:eastAsia="zh-CN"/>
              </w:rPr>
              <w:t>收取投标</w:t>
            </w:r>
            <w:r>
              <w:rPr>
                <w:color w:val="auto"/>
                <w:szCs w:val="21"/>
                <w:highlight w:val="none"/>
              </w:rPr>
              <w:t>保证金。</w:t>
            </w:r>
          </w:p>
        </w:tc>
      </w:tr>
      <w:tr w14:paraId="02735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992" w:type="dxa"/>
            <w:vAlign w:val="center"/>
          </w:tcPr>
          <w:p w14:paraId="034F3489">
            <w:pPr>
              <w:keepNext w:val="0"/>
              <w:keepLines w:val="0"/>
              <w:pageBreakBefore w:val="0"/>
              <w:widowControl w:val="0"/>
              <w:kinsoku/>
              <w:wordWrap/>
              <w:overflowPunct/>
              <w:topLinePunct w:val="0"/>
              <w:bidi w:val="0"/>
              <w:adjustRightInd/>
              <w:snapToGrid w:val="0"/>
              <w:spacing w:line="360" w:lineRule="exact"/>
              <w:jc w:val="center"/>
              <w:rPr>
                <w:rFonts w:hint="default"/>
                <w:color w:val="auto"/>
                <w:kern w:val="0"/>
                <w:szCs w:val="21"/>
                <w:highlight w:val="none"/>
                <w:lang w:val="en-US" w:eastAsia="zh-CN"/>
              </w:rPr>
            </w:pPr>
            <w:r>
              <w:rPr>
                <w:rFonts w:hint="eastAsia"/>
                <w:color w:val="auto"/>
                <w:kern w:val="0"/>
                <w:szCs w:val="21"/>
                <w:highlight w:val="none"/>
                <w:lang w:val="en-US" w:eastAsia="zh-CN"/>
              </w:rPr>
              <w:t>20</w:t>
            </w:r>
          </w:p>
        </w:tc>
        <w:tc>
          <w:tcPr>
            <w:tcW w:w="8701" w:type="dxa"/>
            <w:vAlign w:val="center"/>
          </w:tcPr>
          <w:p w14:paraId="550F2C83">
            <w:pPr>
              <w:keepNext w:val="0"/>
              <w:keepLines w:val="0"/>
              <w:pageBreakBefore w:val="0"/>
              <w:widowControl w:val="0"/>
              <w:kinsoku/>
              <w:wordWrap/>
              <w:overflowPunct/>
              <w:topLinePunct w:val="0"/>
              <w:bidi w:val="0"/>
              <w:adjustRightInd/>
              <w:snapToGrid w:val="0"/>
              <w:spacing w:line="360" w:lineRule="exact"/>
              <w:rPr>
                <w:rFonts w:hint="eastAsia"/>
                <w:color w:val="auto"/>
                <w:kern w:val="0"/>
                <w:szCs w:val="21"/>
                <w:highlight w:val="none"/>
                <w:lang w:eastAsia="zh-CN"/>
              </w:rPr>
            </w:pPr>
            <w:r>
              <w:rPr>
                <w:rFonts w:hint="eastAsia"/>
                <w:color w:val="auto"/>
                <w:kern w:val="0"/>
                <w:szCs w:val="21"/>
                <w:highlight w:val="none"/>
                <w:lang w:val="en-US" w:eastAsia="zh-CN"/>
              </w:rPr>
              <w:t>电子备份投标文件：不接受电子备份投标文件。</w:t>
            </w:r>
          </w:p>
        </w:tc>
      </w:tr>
      <w:tr w14:paraId="2243E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Align w:val="center"/>
          </w:tcPr>
          <w:p w14:paraId="2F7928D6">
            <w:pPr>
              <w:keepNext w:val="0"/>
              <w:keepLines w:val="0"/>
              <w:pageBreakBefore w:val="0"/>
              <w:widowControl w:val="0"/>
              <w:kinsoku/>
              <w:wordWrap/>
              <w:overflowPunct/>
              <w:topLinePunct w:val="0"/>
              <w:bidi w:val="0"/>
              <w:adjustRightInd/>
              <w:spacing w:line="360" w:lineRule="exact"/>
              <w:jc w:val="center"/>
              <w:rPr>
                <w:color w:val="auto"/>
                <w:szCs w:val="21"/>
                <w:highlight w:val="none"/>
              </w:rPr>
            </w:pPr>
            <w:r>
              <w:rPr>
                <w:rFonts w:hint="eastAsia"/>
                <w:color w:val="auto"/>
                <w:szCs w:val="21"/>
                <w:highlight w:val="none"/>
                <w:lang w:val="en-US" w:eastAsia="zh-CN"/>
              </w:rPr>
              <w:t>21</w:t>
            </w:r>
            <w:r>
              <w:rPr>
                <w:color w:val="auto"/>
                <w:szCs w:val="21"/>
                <w:highlight w:val="none"/>
              </w:rPr>
              <w:t>.1</w:t>
            </w:r>
          </w:p>
        </w:tc>
        <w:tc>
          <w:tcPr>
            <w:tcW w:w="8701" w:type="dxa"/>
            <w:vAlign w:val="center"/>
          </w:tcPr>
          <w:p w14:paraId="296D7E9D">
            <w:pPr>
              <w:keepNext w:val="0"/>
              <w:keepLines w:val="0"/>
              <w:pageBreakBefore w:val="0"/>
              <w:widowControl w:val="0"/>
              <w:kinsoku/>
              <w:wordWrap/>
              <w:overflowPunct/>
              <w:topLinePunct w:val="0"/>
              <w:bidi w:val="0"/>
              <w:adjustRightInd/>
              <w:snapToGrid w:val="0"/>
              <w:spacing w:line="360" w:lineRule="exact"/>
              <w:jc w:val="left"/>
              <w:rPr>
                <w:color w:val="auto"/>
                <w:szCs w:val="21"/>
                <w:highlight w:val="none"/>
                <w:u w:val="single"/>
              </w:rPr>
            </w:pPr>
            <w:r>
              <w:rPr>
                <w:rFonts w:hint="eastAsia"/>
                <w:color w:val="auto"/>
                <w:szCs w:val="21"/>
                <w:highlight w:val="none"/>
                <w:lang w:eastAsia="zh-CN"/>
              </w:rPr>
              <w:t>投标文</w:t>
            </w:r>
            <w:r>
              <w:rPr>
                <w:color w:val="auto"/>
                <w:szCs w:val="21"/>
                <w:highlight w:val="none"/>
              </w:rPr>
              <w:t>件提交</w:t>
            </w:r>
            <w:r>
              <w:rPr>
                <w:rFonts w:hint="eastAsia"/>
                <w:color w:val="auto"/>
                <w:szCs w:val="21"/>
                <w:highlight w:val="none"/>
                <w:lang w:eastAsia="zh-CN"/>
              </w:rPr>
              <w:t>截止</w:t>
            </w:r>
            <w:r>
              <w:rPr>
                <w:color w:val="auto"/>
                <w:szCs w:val="21"/>
                <w:highlight w:val="none"/>
              </w:rPr>
              <w:t>时间：</w:t>
            </w:r>
            <w:r>
              <w:rPr>
                <w:rStyle w:val="75"/>
                <w:rFonts w:hint="eastAsia"/>
                <w:color w:val="auto"/>
                <w:szCs w:val="21"/>
                <w:highlight w:val="none"/>
              </w:rPr>
              <w:t>详见</w:t>
            </w:r>
            <w:r>
              <w:rPr>
                <w:rStyle w:val="75"/>
                <w:rFonts w:hint="eastAsia"/>
                <w:color w:val="auto"/>
                <w:szCs w:val="21"/>
                <w:highlight w:val="none"/>
                <w:lang w:eastAsia="zh-CN"/>
              </w:rPr>
              <w:t>招标</w:t>
            </w:r>
            <w:r>
              <w:rPr>
                <w:rStyle w:val="75"/>
                <w:rFonts w:hint="eastAsia"/>
                <w:color w:val="auto"/>
                <w:szCs w:val="21"/>
                <w:highlight w:val="none"/>
              </w:rPr>
              <w:t>公告</w:t>
            </w:r>
          </w:p>
          <w:p w14:paraId="2AD7F992">
            <w:pPr>
              <w:keepNext w:val="0"/>
              <w:keepLines w:val="0"/>
              <w:pageBreakBefore w:val="0"/>
              <w:widowControl w:val="0"/>
              <w:tabs>
                <w:tab w:val="left" w:pos="2552"/>
              </w:tabs>
              <w:kinsoku/>
              <w:wordWrap/>
              <w:overflowPunct/>
              <w:topLinePunct w:val="0"/>
              <w:bidi w:val="0"/>
              <w:adjustRightInd/>
              <w:spacing w:line="360" w:lineRule="exact"/>
              <w:rPr>
                <w:rFonts w:hint="eastAsia" w:eastAsia="宋体"/>
                <w:color w:val="auto"/>
                <w:szCs w:val="21"/>
                <w:highlight w:val="none"/>
                <w:lang w:eastAsia="zh-CN"/>
              </w:rPr>
            </w:pPr>
            <w:r>
              <w:rPr>
                <w:rFonts w:hint="eastAsia"/>
                <w:color w:val="auto"/>
                <w:szCs w:val="21"/>
                <w:highlight w:val="none"/>
                <w:lang w:eastAsia="zh-CN"/>
              </w:rPr>
              <w:t>投标地点：</w:t>
            </w:r>
            <w:r>
              <w:rPr>
                <w:rStyle w:val="75"/>
                <w:rFonts w:hint="eastAsia"/>
                <w:color w:val="auto"/>
                <w:szCs w:val="21"/>
                <w:highlight w:val="none"/>
              </w:rPr>
              <w:t>详见</w:t>
            </w:r>
            <w:r>
              <w:rPr>
                <w:rStyle w:val="75"/>
                <w:rFonts w:hint="eastAsia"/>
                <w:color w:val="auto"/>
                <w:szCs w:val="21"/>
                <w:highlight w:val="none"/>
                <w:lang w:eastAsia="zh-CN"/>
              </w:rPr>
              <w:t>招标</w:t>
            </w:r>
            <w:r>
              <w:rPr>
                <w:rStyle w:val="75"/>
                <w:rFonts w:hint="eastAsia"/>
                <w:color w:val="auto"/>
                <w:szCs w:val="21"/>
                <w:highlight w:val="none"/>
              </w:rPr>
              <w:t>公告</w:t>
            </w:r>
          </w:p>
        </w:tc>
      </w:tr>
      <w:tr w14:paraId="71DF5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Align w:val="center"/>
          </w:tcPr>
          <w:p w14:paraId="5943E432">
            <w:pPr>
              <w:keepNext w:val="0"/>
              <w:keepLines w:val="0"/>
              <w:pageBreakBefore w:val="0"/>
              <w:widowControl w:val="0"/>
              <w:kinsoku/>
              <w:wordWrap/>
              <w:overflowPunct/>
              <w:topLinePunct w:val="0"/>
              <w:bidi w:val="0"/>
              <w:adjustRightInd/>
              <w:spacing w:line="360" w:lineRule="exact"/>
              <w:jc w:val="center"/>
              <w:rPr>
                <w:rFonts w:hint="default" w:eastAsia="宋体"/>
                <w:color w:val="auto"/>
                <w:szCs w:val="21"/>
                <w:highlight w:val="none"/>
                <w:lang w:val="en-US" w:eastAsia="zh-CN"/>
              </w:rPr>
            </w:pPr>
            <w:r>
              <w:rPr>
                <w:rFonts w:hint="eastAsia"/>
                <w:color w:val="auto"/>
                <w:szCs w:val="21"/>
                <w:highlight w:val="none"/>
                <w:lang w:val="en-US" w:eastAsia="zh-CN"/>
              </w:rPr>
              <w:t>23</w:t>
            </w:r>
          </w:p>
        </w:tc>
        <w:tc>
          <w:tcPr>
            <w:tcW w:w="8701" w:type="dxa"/>
            <w:vAlign w:val="center"/>
          </w:tcPr>
          <w:p w14:paraId="54EDAC26">
            <w:pPr>
              <w:keepNext w:val="0"/>
              <w:keepLines w:val="0"/>
              <w:pageBreakBefore w:val="0"/>
              <w:widowControl w:val="0"/>
              <w:kinsoku/>
              <w:wordWrap/>
              <w:overflowPunct/>
              <w:topLinePunct w:val="0"/>
              <w:bidi w:val="0"/>
              <w:adjustRightInd/>
              <w:snapToGrid w:val="0"/>
              <w:spacing w:line="360" w:lineRule="exact"/>
              <w:jc w:val="left"/>
              <w:rPr>
                <w:rStyle w:val="75"/>
                <w:rFonts w:hint="eastAsia"/>
                <w:color w:val="auto"/>
                <w:szCs w:val="21"/>
                <w:highlight w:val="none"/>
              </w:rPr>
            </w:pPr>
            <w:r>
              <w:rPr>
                <w:rFonts w:hint="eastAsia" w:ascii="Times New Roman" w:hAnsi="Times New Roman" w:eastAsia="宋体" w:cs="Times New Roman"/>
                <w:color w:val="auto"/>
                <w:szCs w:val="21"/>
                <w:highlight w:val="none"/>
                <w:lang w:eastAsia="zh-CN"/>
              </w:rPr>
              <w:t>开标时间：</w:t>
            </w:r>
            <w:r>
              <w:rPr>
                <w:rStyle w:val="75"/>
                <w:rFonts w:hint="eastAsia"/>
                <w:color w:val="auto"/>
                <w:szCs w:val="21"/>
                <w:highlight w:val="none"/>
              </w:rPr>
              <w:t>详见</w:t>
            </w:r>
            <w:r>
              <w:rPr>
                <w:rStyle w:val="75"/>
                <w:rFonts w:hint="eastAsia"/>
                <w:color w:val="auto"/>
                <w:szCs w:val="21"/>
                <w:highlight w:val="none"/>
                <w:lang w:eastAsia="zh-CN"/>
              </w:rPr>
              <w:t>招标</w:t>
            </w:r>
            <w:r>
              <w:rPr>
                <w:rStyle w:val="75"/>
                <w:rFonts w:hint="eastAsia"/>
                <w:color w:val="auto"/>
                <w:szCs w:val="21"/>
                <w:highlight w:val="none"/>
              </w:rPr>
              <w:t>公告</w:t>
            </w:r>
          </w:p>
          <w:p w14:paraId="3F8A38DA">
            <w:pPr>
              <w:keepNext w:val="0"/>
              <w:keepLines w:val="0"/>
              <w:pageBreakBefore w:val="0"/>
              <w:widowControl w:val="0"/>
              <w:kinsoku/>
              <w:wordWrap/>
              <w:overflowPunct/>
              <w:topLinePunct w:val="0"/>
              <w:bidi w:val="0"/>
              <w:adjustRightInd/>
              <w:snapToGrid w:val="0"/>
              <w:spacing w:line="360" w:lineRule="exact"/>
              <w:jc w:val="left"/>
              <w:rPr>
                <w:rFonts w:hint="eastAsia"/>
                <w:color w:val="auto"/>
                <w:highlight w:val="none"/>
                <w:lang w:eastAsia="zh-CN"/>
              </w:rPr>
            </w:pPr>
            <w:r>
              <w:rPr>
                <w:rFonts w:hint="eastAsia" w:ascii="Times New Roman" w:hAnsi="Times New Roman" w:eastAsia="宋体" w:cs="Times New Roman"/>
                <w:color w:val="auto"/>
                <w:szCs w:val="21"/>
                <w:highlight w:val="none"/>
                <w:lang w:eastAsia="zh-CN"/>
              </w:rPr>
              <w:t>开标地点：</w:t>
            </w:r>
            <w:r>
              <w:rPr>
                <w:rStyle w:val="75"/>
                <w:rFonts w:hint="eastAsia"/>
                <w:color w:val="auto"/>
                <w:szCs w:val="21"/>
                <w:highlight w:val="none"/>
              </w:rPr>
              <w:t>详见</w:t>
            </w:r>
            <w:r>
              <w:rPr>
                <w:rStyle w:val="75"/>
                <w:rFonts w:hint="eastAsia"/>
                <w:color w:val="auto"/>
                <w:szCs w:val="21"/>
                <w:highlight w:val="none"/>
                <w:lang w:eastAsia="zh-CN"/>
              </w:rPr>
              <w:t>招标</w:t>
            </w:r>
            <w:r>
              <w:rPr>
                <w:rStyle w:val="75"/>
                <w:rFonts w:hint="eastAsia"/>
                <w:color w:val="auto"/>
                <w:szCs w:val="21"/>
                <w:highlight w:val="none"/>
              </w:rPr>
              <w:t>公告</w:t>
            </w:r>
          </w:p>
        </w:tc>
      </w:tr>
      <w:tr w14:paraId="5B081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jc w:val="center"/>
        </w:trPr>
        <w:tc>
          <w:tcPr>
            <w:tcW w:w="992" w:type="dxa"/>
            <w:vAlign w:val="center"/>
          </w:tcPr>
          <w:p w14:paraId="6F200ABC">
            <w:pPr>
              <w:keepNext w:val="0"/>
              <w:keepLines w:val="0"/>
              <w:pageBreakBefore w:val="0"/>
              <w:widowControl w:val="0"/>
              <w:kinsoku/>
              <w:wordWrap/>
              <w:overflowPunct/>
              <w:topLinePunct w:val="0"/>
              <w:bidi w:val="0"/>
              <w:adjustRightInd/>
              <w:spacing w:line="360" w:lineRule="exact"/>
              <w:jc w:val="center"/>
              <w:rPr>
                <w:rFonts w:hint="eastAsia" w:eastAsia="宋体"/>
                <w:color w:val="auto"/>
                <w:szCs w:val="21"/>
                <w:highlight w:val="none"/>
                <w:lang w:eastAsia="zh-CN"/>
              </w:rPr>
            </w:pPr>
            <w:r>
              <w:rPr>
                <w:color w:val="auto"/>
                <w:szCs w:val="21"/>
                <w:highlight w:val="none"/>
              </w:rPr>
              <w:t>24.</w:t>
            </w:r>
            <w:r>
              <w:rPr>
                <w:rFonts w:hint="eastAsia"/>
                <w:color w:val="auto"/>
                <w:szCs w:val="21"/>
                <w:highlight w:val="none"/>
                <w:lang w:val="en-US" w:eastAsia="zh-CN"/>
              </w:rPr>
              <w:t>3</w:t>
            </w:r>
          </w:p>
        </w:tc>
        <w:tc>
          <w:tcPr>
            <w:tcW w:w="8701" w:type="dxa"/>
            <w:vAlign w:val="center"/>
          </w:tcPr>
          <w:p w14:paraId="6D6E4339">
            <w:pPr>
              <w:keepNext w:val="0"/>
              <w:keepLines w:val="0"/>
              <w:pageBreakBefore w:val="0"/>
              <w:widowControl w:val="0"/>
              <w:kinsoku/>
              <w:wordWrap/>
              <w:overflowPunct/>
              <w:topLinePunct w:val="0"/>
              <w:bidi w:val="0"/>
              <w:adjustRightInd/>
              <w:snapToGrid w:val="0"/>
              <w:spacing w:line="360" w:lineRule="exact"/>
              <w:jc w:val="left"/>
              <w:rPr>
                <w:rFonts w:hint="default" w:eastAsia="宋体"/>
                <w:color w:val="auto"/>
                <w:szCs w:val="21"/>
                <w:highlight w:val="none"/>
                <w:u w:val="single"/>
                <w:lang w:val="en-US" w:eastAsia="zh-CN"/>
              </w:rPr>
            </w:pPr>
            <w:r>
              <w:rPr>
                <w:rFonts w:hint="eastAsia"/>
                <w:color w:val="auto"/>
                <w:szCs w:val="21"/>
                <w:highlight w:val="none"/>
                <w:lang w:eastAsia="zh-CN"/>
              </w:rPr>
              <w:t>电子投标文件解密时间：</w:t>
            </w:r>
            <w:r>
              <w:rPr>
                <w:rFonts w:hint="eastAsia"/>
                <w:color w:val="auto"/>
                <w:szCs w:val="21"/>
                <w:highlight w:val="none"/>
                <w:lang w:val="en-US" w:eastAsia="zh-CN"/>
              </w:rPr>
              <w:t>30分种</w:t>
            </w:r>
          </w:p>
        </w:tc>
      </w:tr>
      <w:tr w14:paraId="2405D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jc w:val="center"/>
        </w:trPr>
        <w:tc>
          <w:tcPr>
            <w:tcW w:w="992" w:type="dxa"/>
            <w:vAlign w:val="center"/>
          </w:tcPr>
          <w:p w14:paraId="0DD02578">
            <w:pPr>
              <w:keepNext w:val="0"/>
              <w:keepLines w:val="0"/>
              <w:pageBreakBefore w:val="0"/>
              <w:widowControl w:val="0"/>
              <w:kinsoku/>
              <w:wordWrap/>
              <w:overflowPunct/>
              <w:topLinePunct w:val="0"/>
              <w:bidi w:val="0"/>
              <w:adjustRightInd/>
              <w:spacing w:line="360" w:lineRule="exact"/>
              <w:jc w:val="center"/>
              <w:rPr>
                <w:rFonts w:hint="default" w:eastAsia="宋体"/>
                <w:color w:val="auto"/>
                <w:szCs w:val="21"/>
                <w:highlight w:val="none"/>
                <w:lang w:val="en-US" w:eastAsia="zh-CN"/>
              </w:rPr>
            </w:pPr>
            <w:r>
              <w:rPr>
                <w:rFonts w:hint="eastAsia"/>
                <w:color w:val="auto"/>
                <w:szCs w:val="21"/>
                <w:highlight w:val="none"/>
                <w:lang w:val="en-US" w:eastAsia="zh-CN"/>
              </w:rPr>
              <w:t>25.3</w:t>
            </w:r>
          </w:p>
        </w:tc>
        <w:tc>
          <w:tcPr>
            <w:tcW w:w="8701" w:type="dxa"/>
            <w:vAlign w:val="center"/>
          </w:tcPr>
          <w:p w14:paraId="08080742">
            <w:pPr>
              <w:keepNext w:val="0"/>
              <w:keepLines w:val="0"/>
              <w:pageBreakBefore w:val="0"/>
              <w:widowControl w:val="0"/>
              <w:kinsoku/>
              <w:wordWrap/>
              <w:overflowPunct/>
              <w:topLinePunct w:val="0"/>
              <w:bidi w:val="0"/>
              <w:adjustRightInd/>
              <w:snapToGrid w:val="0"/>
              <w:spacing w:line="360" w:lineRule="exact"/>
              <w:jc w:val="left"/>
              <w:rPr>
                <w:rFonts w:hint="eastAsia"/>
                <w:color w:val="auto"/>
                <w:szCs w:val="21"/>
                <w:highlight w:val="none"/>
                <w:lang w:eastAsia="zh-CN"/>
              </w:rPr>
            </w:pPr>
            <w:r>
              <w:rPr>
                <w:rFonts w:hint="eastAsia"/>
                <w:color w:val="auto"/>
                <w:szCs w:val="21"/>
                <w:highlight w:val="none"/>
                <w:lang w:eastAsia="zh-CN"/>
              </w:rPr>
              <w:t>采购人或者采购代理机构在资格审查结束前，对投标人进行信用查询。</w:t>
            </w:r>
          </w:p>
          <w:p w14:paraId="0B0B9C82">
            <w:pPr>
              <w:keepNext w:val="0"/>
              <w:keepLines w:val="0"/>
              <w:pageBreakBefore w:val="0"/>
              <w:widowControl w:val="0"/>
              <w:kinsoku/>
              <w:wordWrap/>
              <w:overflowPunct/>
              <w:topLinePunct w:val="0"/>
              <w:bidi w:val="0"/>
              <w:adjustRightInd/>
              <w:snapToGrid w:val="0"/>
              <w:spacing w:line="360" w:lineRule="exact"/>
              <w:jc w:val="left"/>
              <w:rPr>
                <w:rFonts w:hint="eastAsia"/>
                <w:color w:val="auto"/>
                <w:szCs w:val="21"/>
                <w:highlight w:val="none"/>
                <w:lang w:eastAsia="zh-CN"/>
              </w:rPr>
            </w:pPr>
            <w:r>
              <w:rPr>
                <w:rFonts w:hint="eastAsia"/>
                <w:color w:val="auto"/>
                <w:szCs w:val="21"/>
                <w:highlight w:val="none"/>
                <w:lang w:eastAsia="zh-CN"/>
              </w:rPr>
              <w:t>查询渠道：“信用中国”网站(www.creditchina.gov.cn)、中国政府采购网(www.ccgp. gov. cn)。</w:t>
            </w:r>
          </w:p>
          <w:p w14:paraId="44E71FEB">
            <w:pPr>
              <w:keepNext w:val="0"/>
              <w:keepLines w:val="0"/>
              <w:pageBreakBefore w:val="0"/>
              <w:widowControl w:val="0"/>
              <w:kinsoku/>
              <w:wordWrap/>
              <w:overflowPunct/>
              <w:topLinePunct w:val="0"/>
              <w:bidi w:val="0"/>
              <w:adjustRightInd/>
              <w:snapToGrid w:val="0"/>
              <w:spacing w:line="360" w:lineRule="exact"/>
              <w:jc w:val="left"/>
              <w:rPr>
                <w:rFonts w:hint="eastAsia"/>
                <w:color w:val="auto"/>
                <w:szCs w:val="21"/>
                <w:highlight w:val="none"/>
                <w:lang w:eastAsia="zh-CN"/>
              </w:rPr>
            </w:pPr>
            <w:r>
              <w:rPr>
                <w:rFonts w:hint="eastAsia"/>
                <w:color w:val="auto"/>
                <w:szCs w:val="21"/>
                <w:highlight w:val="none"/>
                <w:lang w:eastAsia="zh-CN"/>
              </w:rPr>
              <w:t>信用查询截止时点：资格审查结束前。</w:t>
            </w:r>
          </w:p>
          <w:p w14:paraId="357CDC93">
            <w:pPr>
              <w:keepNext w:val="0"/>
              <w:keepLines w:val="0"/>
              <w:pageBreakBefore w:val="0"/>
              <w:widowControl w:val="0"/>
              <w:kinsoku/>
              <w:wordWrap/>
              <w:overflowPunct/>
              <w:topLinePunct w:val="0"/>
              <w:bidi w:val="0"/>
              <w:adjustRightInd/>
              <w:snapToGrid w:val="0"/>
              <w:spacing w:line="360" w:lineRule="exact"/>
              <w:jc w:val="left"/>
              <w:rPr>
                <w:rFonts w:hint="eastAsia"/>
                <w:color w:val="auto"/>
                <w:szCs w:val="21"/>
                <w:highlight w:val="none"/>
                <w:lang w:eastAsia="zh-CN"/>
              </w:rPr>
            </w:pPr>
            <w:r>
              <w:rPr>
                <w:rFonts w:hint="eastAsia"/>
                <w:color w:val="auto"/>
                <w:szCs w:val="21"/>
                <w:highlight w:val="none"/>
                <w:lang w:eastAsia="zh-CN"/>
              </w:rPr>
              <w:t>查询记录和证据留存方式：在查询网站中直接截图查询记录，截图作为在广西政府采购云平台(https://www.gcy.zfcg.gxzf.gov.cn/)作为附件上传保存。</w:t>
            </w:r>
          </w:p>
          <w:p w14:paraId="71AE16A5">
            <w:pPr>
              <w:keepNext w:val="0"/>
              <w:keepLines w:val="0"/>
              <w:pageBreakBefore w:val="0"/>
              <w:widowControl w:val="0"/>
              <w:kinsoku/>
              <w:wordWrap/>
              <w:overflowPunct/>
              <w:topLinePunct w:val="0"/>
              <w:bidi w:val="0"/>
              <w:adjustRightInd/>
              <w:snapToGrid w:val="0"/>
              <w:spacing w:line="360" w:lineRule="exact"/>
              <w:jc w:val="left"/>
              <w:rPr>
                <w:rFonts w:hint="eastAsia"/>
                <w:color w:val="auto"/>
                <w:szCs w:val="21"/>
                <w:highlight w:val="none"/>
                <w:lang w:eastAsia="zh-CN"/>
              </w:rPr>
            </w:pPr>
            <w:r>
              <w:rPr>
                <w:rFonts w:hint="eastAsia"/>
                <w:color w:val="auto"/>
                <w:szCs w:val="21"/>
                <w:highlight w:val="none"/>
                <w:lang w:eastAsia="zh-CN"/>
              </w:rPr>
              <w:t>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744C7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992" w:type="dxa"/>
            <w:vAlign w:val="center"/>
          </w:tcPr>
          <w:p w14:paraId="195FF8D4">
            <w:pPr>
              <w:keepNext w:val="0"/>
              <w:keepLines w:val="0"/>
              <w:pageBreakBefore w:val="0"/>
              <w:widowControl w:val="0"/>
              <w:kinsoku/>
              <w:wordWrap/>
              <w:overflowPunct/>
              <w:topLinePunct w:val="0"/>
              <w:bidi w:val="0"/>
              <w:adjustRightInd/>
              <w:spacing w:line="360" w:lineRule="exact"/>
              <w:jc w:val="center"/>
              <w:rPr>
                <w:rFonts w:hint="default" w:eastAsia="宋体"/>
                <w:color w:val="auto"/>
                <w:szCs w:val="21"/>
                <w:highlight w:val="none"/>
                <w:lang w:val="en-US" w:eastAsia="zh-CN"/>
              </w:rPr>
            </w:pPr>
            <w:r>
              <w:rPr>
                <w:rFonts w:hint="eastAsia"/>
                <w:color w:val="auto"/>
                <w:szCs w:val="21"/>
                <w:highlight w:val="none"/>
                <w:lang w:val="en-US" w:eastAsia="zh-CN"/>
              </w:rPr>
              <w:t>26.1</w:t>
            </w:r>
          </w:p>
        </w:tc>
        <w:tc>
          <w:tcPr>
            <w:tcW w:w="8701" w:type="dxa"/>
            <w:vAlign w:val="center"/>
          </w:tcPr>
          <w:p w14:paraId="3ABCDAC6">
            <w:pPr>
              <w:keepNext w:val="0"/>
              <w:keepLines w:val="0"/>
              <w:pageBreakBefore w:val="0"/>
              <w:widowControl w:val="0"/>
              <w:kinsoku/>
              <w:wordWrap/>
              <w:overflowPunct/>
              <w:topLinePunct w:val="0"/>
              <w:bidi w:val="0"/>
              <w:adjustRightInd/>
              <w:snapToGrid w:val="0"/>
              <w:spacing w:line="360" w:lineRule="exact"/>
              <w:rPr>
                <w:rFonts w:hint="default" w:eastAsia="宋体"/>
                <w:color w:val="auto"/>
                <w:szCs w:val="21"/>
                <w:highlight w:val="none"/>
                <w:lang w:val="en-US" w:eastAsia="zh-CN"/>
              </w:rPr>
            </w:pPr>
            <w:r>
              <w:rPr>
                <w:rFonts w:hint="eastAsia"/>
                <w:color w:val="auto"/>
                <w:szCs w:val="21"/>
                <w:highlight w:val="none"/>
                <w:lang w:eastAsia="zh-CN"/>
              </w:rPr>
              <w:t>评标委员会的人数：</w:t>
            </w:r>
            <w:r>
              <w:rPr>
                <w:rFonts w:hint="eastAsia"/>
                <w:color w:val="auto"/>
                <w:szCs w:val="21"/>
                <w:highlight w:val="none"/>
                <w:u w:val="single"/>
                <w:lang w:val="en-US" w:eastAsia="zh-CN"/>
              </w:rPr>
              <w:t xml:space="preserve"> 5 </w:t>
            </w:r>
            <w:r>
              <w:rPr>
                <w:rFonts w:hint="eastAsia"/>
                <w:color w:val="auto"/>
                <w:szCs w:val="21"/>
                <w:highlight w:val="none"/>
                <w:u w:val="none"/>
                <w:lang w:val="en-US" w:eastAsia="zh-CN"/>
              </w:rPr>
              <w:t>人</w:t>
            </w:r>
            <w:r>
              <w:rPr>
                <w:rFonts w:hint="eastAsia"/>
                <w:color w:val="auto"/>
                <w:szCs w:val="21"/>
                <w:highlight w:val="none"/>
                <w:lang w:val="en-US" w:eastAsia="zh-CN"/>
              </w:rPr>
              <w:t>及以上</w:t>
            </w:r>
          </w:p>
        </w:tc>
      </w:tr>
      <w:tr w14:paraId="54DDC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992" w:type="dxa"/>
            <w:vAlign w:val="center"/>
          </w:tcPr>
          <w:p w14:paraId="74750D73">
            <w:pPr>
              <w:keepNext w:val="0"/>
              <w:keepLines w:val="0"/>
              <w:pageBreakBefore w:val="0"/>
              <w:widowControl w:val="0"/>
              <w:kinsoku/>
              <w:wordWrap/>
              <w:overflowPunct/>
              <w:topLinePunct w:val="0"/>
              <w:bidi w:val="0"/>
              <w:adjustRightInd/>
              <w:spacing w:line="360" w:lineRule="exact"/>
              <w:jc w:val="center"/>
              <w:rPr>
                <w:rFonts w:hint="default" w:eastAsia="宋体"/>
                <w:color w:val="auto"/>
                <w:szCs w:val="21"/>
                <w:highlight w:val="none"/>
                <w:lang w:val="en-US" w:eastAsia="zh-CN"/>
              </w:rPr>
            </w:pPr>
            <w:r>
              <w:rPr>
                <w:rFonts w:hint="eastAsia"/>
                <w:color w:val="auto"/>
                <w:szCs w:val="21"/>
                <w:highlight w:val="none"/>
                <w:lang w:val="en-US" w:eastAsia="zh-CN"/>
              </w:rPr>
              <w:t>29.1</w:t>
            </w:r>
          </w:p>
        </w:tc>
        <w:tc>
          <w:tcPr>
            <w:tcW w:w="8701" w:type="dxa"/>
            <w:vAlign w:val="center"/>
          </w:tcPr>
          <w:p w14:paraId="22B60B43">
            <w:pPr>
              <w:keepNext w:val="0"/>
              <w:keepLines w:val="0"/>
              <w:pageBreakBefore w:val="0"/>
              <w:widowControl w:val="0"/>
              <w:kinsoku/>
              <w:wordWrap/>
              <w:overflowPunct/>
              <w:topLinePunct w:val="0"/>
              <w:bidi w:val="0"/>
              <w:adjustRightInd/>
              <w:snapToGrid w:val="0"/>
              <w:spacing w:line="360" w:lineRule="exact"/>
              <w:rPr>
                <w:rFonts w:hint="eastAsia"/>
                <w:color w:val="auto"/>
                <w:szCs w:val="21"/>
                <w:highlight w:val="none"/>
                <w:lang w:eastAsia="zh-CN"/>
              </w:rPr>
            </w:pPr>
            <w:r>
              <w:rPr>
                <w:rFonts w:hint="eastAsia"/>
                <w:color w:val="auto"/>
                <w:szCs w:val="21"/>
                <w:highlight w:val="none"/>
                <w:lang w:eastAsia="zh-CN"/>
              </w:rPr>
              <w:t>评标办法：综合评分法</w:t>
            </w:r>
          </w:p>
        </w:tc>
      </w:tr>
      <w:tr w14:paraId="76E23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992" w:type="dxa"/>
            <w:tcBorders>
              <w:bottom w:val="single" w:color="auto" w:sz="4" w:space="0"/>
            </w:tcBorders>
            <w:vAlign w:val="center"/>
          </w:tcPr>
          <w:p w14:paraId="04513045">
            <w:pPr>
              <w:keepNext w:val="0"/>
              <w:keepLines w:val="0"/>
              <w:pageBreakBefore w:val="0"/>
              <w:widowControl w:val="0"/>
              <w:kinsoku/>
              <w:wordWrap/>
              <w:overflowPunct/>
              <w:topLinePunct w:val="0"/>
              <w:bidi w:val="0"/>
              <w:adjustRightInd/>
              <w:spacing w:line="360" w:lineRule="exact"/>
              <w:jc w:val="center"/>
              <w:rPr>
                <w:color w:val="auto"/>
                <w:szCs w:val="21"/>
                <w:highlight w:val="none"/>
              </w:rPr>
            </w:pPr>
            <w:r>
              <w:rPr>
                <w:color w:val="auto"/>
                <w:szCs w:val="21"/>
                <w:highlight w:val="none"/>
              </w:rPr>
              <w:t>2</w:t>
            </w:r>
            <w:r>
              <w:rPr>
                <w:rFonts w:hint="eastAsia"/>
                <w:color w:val="auto"/>
                <w:szCs w:val="21"/>
                <w:highlight w:val="none"/>
                <w:lang w:val="en-US" w:eastAsia="zh-CN"/>
              </w:rPr>
              <w:t>9</w:t>
            </w:r>
            <w:r>
              <w:rPr>
                <w:color w:val="auto"/>
                <w:szCs w:val="21"/>
                <w:highlight w:val="none"/>
              </w:rPr>
              <w:t>.2</w:t>
            </w:r>
          </w:p>
        </w:tc>
        <w:tc>
          <w:tcPr>
            <w:tcW w:w="8701" w:type="dxa"/>
            <w:vAlign w:val="center"/>
          </w:tcPr>
          <w:p w14:paraId="60437B3C">
            <w:pPr>
              <w:keepNext w:val="0"/>
              <w:keepLines w:val="0"/>
              <w:pageBreakBefore w:val="0"/>
              <w:widowControl w:val="0"/>
              <w:kinsoku/>
              <w:wordWrap/>
              <w:overflowPunct/>
              <w:topLinePunct w:val="0"/>
              <w:bidi w:val="0"/>
              <w:adjustRightInd/>
              <w:snapToGrid w:val="0"/>
              <w:spacing w:line="360" w:lineRule="exact"/>
              <w:rPr>
                <w:color w:val="auto"/>
                <w:szCs w:val="21"/>
                <w:highlight w:val="none"/>
              </w:rPr>
            </w:pPr>
            <w:r>
              <w:rPr>
                <w:color w:val="auto"/>
                <w:szCs w:val="21"/>
                <w:highlight w:val="none"/>
              </w:rPr>
              <w:t>商务条款评审中允许负偏离的条款数为</w:t>
            </w:r>
            <w:r>
              <w:rPr>
                <w:color w:val="auto"/>
                <w:szCs w:val="21"/>
                <w:highlight w:val="none"/>
                <w:u w:val="single"/>
              </w:rPr>
              <w:t xml:space="preserve"> 0 </w:t>
            </w:r>
            <w:r>
              <w:rPr>
                <w:color w:val="auto"/>
                <w:szCs w:val="21"/>
                <w:highlight w:val="none"/>
              </w:rPr>
              <w:t>项。</w:t>
            </w:r>
          </w:p>
          <w:p w14:paraId="1CE4D26D">
            <w:pPr>
              <w:keepNext w:val="0"/>
              <w:keepLines w:val="0"/>
              <w:pageBreakBefore w:val="0"/>
              <w:widowControl w:val="0"/>
              <w:kinsoku/>
              <w:wordWrap/>
              <w:overflowPunct/>
              <w:topLinePunct w:val="0"/>
              <w:bidi w:val="0"/>
              <w:adjustRightInd/>
              <w:snapToGrid w:val="0"/>
              <w:spacing w:line="360" w:lineRule="exact"/>
              <w:rPr>
                <w:color w:val="auto"/>
                <w:szCs w:val="21"/>
                <w:highlight w:val="none"/>
              </w:rPr>
            </w:pPr>
            <w:r>
              <w:rPr>
                <w:color w:val="auto"/>
                <w:szCs w:val="21"/>
                <w:highlight w:val="none"/>
              </w:rPr>
              <w:t>服务需求评审中允许负偏离的条款数为</w:t>
            </w:r>
            <w:r>
              <w:rPr>
                <w:color w:val="auto"/>
                <w:szCs w:val="21"/>
                <w:highlight w:val="none"/>
                <w:u w:val="single"/>
              </w:rPr>
              <w:t xml:space="preserve"> 0 </w:t>
            </w:r>
            <w:r>
              <w:rPr>
                <w:color w:val="auto"/>
                <w:szCs w:val="21"/>
                <w:highlight w:val="none"/>
              </w:rPr>
              <w:t>项。</w:t>
            </w:r>
          </w:p>
        </w:tc>
      </w:tr>
      <w:tr w14:paraId="7677F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992" w:type="dxa"/>
            <w:tcBorders>
              <w:top w:val="single" w:color="auto" w:sz="4" w:space="0"/>
            </w:tcBorders>
            <w:vAlign w:val="center"/>
          </w:tcPr>
          <w:p w14:paraId="4A3C6EE8">
            <w:pPr>
              <w:keepNext w:val="0"/>
              <w:keepLines w:val="0"/>
              <w:pageBreakBefore w:val="0"/>
              <w:widowControl w:val="0"/>
              <w:kinsoku/>
              <w:wordWrap/>
              <w:overflowPunct/>
              <w:topLinePunct w:val="0"/>
              <w:bidi w:val="0"/>
              <w:adjustRightInd/>
              <w:spacing w:line="360" w:lineRule="exact"/>
              <w:jc w:val="center"/>
              <w:rPr>
                <w:rFonts w:hint="default" w:eastAsia="宋体"/>
                <w:color w:val="auto"/>
                <w:szCs w:val="21"/>
                <w:highlight w:val="none"/>
                <w:lang w:val="en-US" w:eastAsia="zh-CN"/>
              </w:rPr>
            </w:pPr>
            <w:r>
              <w:rPr>
                <w:rFonts w:hint="eastAsia"/>
                <w:color w:val="auto"/>
                <w:szCs w:val="21"/>
                <w:highlight w:val="none"/>
                <w:lang w:val="en-US" w:eastAsia="zh-CN"/>
              </w:rPr>
              <w:t>29.3</w:t>
            </w:r>
          </w:p>
        </w:tc>
        <w:tc>
          <w:tcPr>
            <w:tcW w:w="8701" w:type="dxa"/>
            <w:vAlign w:val="center"/>
          </w:tcPr>
          <w:p w14:paraId="1561057A">
            <w:pPr>
              <w:keepNext w:val="0"/>
              <w:keepLines w:val="0"/>
              <w:pageBreakBefore w:val="0"/>
              <w:widowControl w:val="0"/>
              <w:kinsoku/>
              <w:wordWrap/>
              <w:overflowPunct/>
              <w:topLinePunct w:val="0"/>
              <w:bidi w:val="0"/>
              <w:adjustRightInd/>
              <w:snapToGrid w:val="0"/>
              <w:spacing w:line="360" w:lineRule="exact"/>
              <w:rPr>
                <w:rFonts w:hint="default" w:eastAsia="宋体"/>
                <w:b/>
                <w:color w:val="auto"/>
                <w:szCs w:val="21"/>
                <w:highlight w:val="none"/>
                <w:lang w:val="en-US" w:eastAsia="zh-CN"/>
              </w:rPr>
            </w:pPr>
            <w:r>
              <w:rPr>
                <w:rFonts w:hint="eastAsia"/>
                <w:color w:val="auto"/>
                <w:szCs w:val="21"/>
                <w:highlight w:val="none"/>
              </w:rPr>
              <w:t>中标候选人推荐数量</w:t>
            </w:r>
            <w:r>
              <w:rPr>
                <w:rFonts w:hint="eastAsia"/>
                <w:color w:val="auto"/>
                <w:szCs w:val="21"/>
                <w:highlight w:val="none"/>
                <w:lang w:eastAsia="zh-CN"/>
              </w:rPr>
              <w:t>：</w:t>
            </w:r>
            <w:r>
              <w:rPr>
                <w:rFonts w:hint="eastAsia"/>
                <w:color w:val="auto"/>
                <w:szCs w:val="21"/>
                <w:highlight w:val="none"/>
                <w:lang w:val="en-US" w:eastAsia="zh-CN"/>
              </w:rPr>
              <w:t>3名</w:t>
            </w:r>
          </w:p>
        </w:tc>
      </w:tr>
      <w:tr w14:paraId="5B9F0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992" w:type="dxa"/>
            <w:tcBorders>
              <w:top w:val="single" w:color="auto" w:sz="4" w:space="0"/>
            </w:tcBorders>
            <w:vAlign w:val="center"/>
          </w:tcPr>
          <w:p w14:paraId="615FC493">
            <w:pPr>
              <w:keepNext w:val="0"/>
              <w:keepLines w:val="0"/>
              <w:pageBreakBefore w:val="0"/>
              <w:widowControl w:val="0"/>
              <w:kinsoku/>
              <w:wordWrap/>
              <w:overflowPunct/>
              <w:topLinePunct w:val="0"/>
              <w:bidi w:val="0"/>
              <w:adjustRightInd/>
              <w:spacing w:line="360" w:lineRule="exact"/>
              <w:jc w:val="center"/>
              <w:rPr>
                <w:rFonts w:hint="default" w:eastAsia="宋体"/>
                <w:color w:val="auto"/>
                <w:szCs w:val="21"/>
                <w:highlight w:val="none"/>
                <w:lang w:val="en-US" w:eastAsia="zh-CN"/>
              </w:rPr>
            </w:pPr>
            <w:r>
              <w:rPr>
                <w:rFonts w:hint="eastAsia"/>
                <w:color w:val="auto"/>
                <w:szCs w:val="21"/>
                <w:highlight w:val="none"/>
                <w:lang w:val="en-US" w:eastAsia="zh-CN"/>
              </w:rPr>
              <w:t>30.1</w:t>
            </w:r>
          </w:p>
        </w:tc>
        <w:tc>
          <w:tcPr>
            <w:tcW w:w="8701" w:type="dxa"/>
            <w:vAlign w:val="center"/>
          </w:tcPr>
          <w:p w14:paraId="254531CD">
            <w:pPr>
              <w:keepNext w:val="0"/>
              <w:keepLines w:val="0"/>
              <w:pageBreakBefore w:val="0"/>
              <w:widowControl w:val="0"/>
              <w:kinsoku/>
              <w:wordWrap/>
              <w:overflowPunct/>
              <w:topLinePunct w:val="0"/>
              <w:bidi w:val="0"/>
              <w:adjustRightInd/>
              <w:snapToGrid w:val="0"/>
              <w:spacing w:line="360" w:lineRule="exact"/>
              <w:rPr>
                <w:rFonts w:hint="eastAsia"/>
                <w:color w:val="auto"/>
                <w:szCs w:val="21"/>
                <w:highlight w:val="none"/>
              </w:rPr>
            </w:pPr>
            <w:r>
              <w:rPr>
                <w:rFonts w:hint="eastAsia"/>
                <w:color w:val="auto"/>
                <w:szCs w:val="21"/>
                <w:highlight w:val="none"/>
              </w:rPr>
              <w:t>采用综合评分法的采购项目，采购人确定中标人时，出现中标候选人并列的情形，采购人按以下的方式确定中标人：</w:t>
            </w:r>
            <w:r>
              <w:rPr>
                <w:rFonts w:hint="eastAsia" w:ascii="Times New Roman" w:hAnsi="Times New Roman" w:eastAsia="宋体" w:cs="Times New Roman"/>
                <w:color w:val="auto"/>
                <w:sz w:val="21"/>
                <w:szCs w:val="21"/>
                <w:highlight w:val="none"/>
                <w:lang w:val="en-US" w:eastAsia="zh-CN"/>
              </w:rPr>
              <w:t>综合</w:t>
            </w:r>
            <w:r>
              <w:rPr>
                <w:rFonts w:hint="eastAsia"/>
                <w:color w:val="auto"/>
                <w:highlight w:val="none"/>
                <w:lang w:val="en-US" w:eastAsia="zh-CN"/>
              </w:rPr>
              <w:t>总得分</w:t>
            </w:r>
            <w:r>
              <w:rPr>
                <w:rFonts w:hint="default" w:ascii="Times New Roman" w:hAnsi="Times New Roman" w:eastAsia="宋体" w:cs="Times New Roman"/>
                <w:color w:val="auto"/>
                <w:sz w:val="21"/>
                <w:szCs w:val="21"/>
                <w:highlight w:val="none"/>
              </w:rPr>
              <w:t>相同的，</w:t>
            </w:r>
            <w:r>
              <w:rPr>
                <w:rFonts w:hint="eastAsia" w:ascii="Times New Roman" w:hAnsi="Times New Roman" w:eastAsia="宋体" w:cs="Times New Roman"/>
                <w:color w:val="auto"/>
                <w:sz w:val="21"/>
                <w:szCs w:val="21"/>
                <w:highlight w:val="none"/>
                <w:lang w:val="en-US" w:eastAsia="zh-CN"/>
              </w:rPr>
              <w:t>依次按</w:t>
            </w:r>
            <w:r>
              <w:rPr>
                <w:rFonts w:hint="eastAsia" w:ascii="Times New Roman" w:hAnsi="Times New Roman" w:eastAsia="宋体" w:cs="Times New Roman"/>
                <w:color w:val="auto"/>
                <w:sz w:val="21"/>
                <w:szCs w:val="21"/>
                <w:highlight w:val="none"/>
                <w:lang w:eastAsia="zh-CN"/>
              </w:rPr>
              <w:t>服务方案</w:t>
            </w:r>
            <w:r>
              <w:rPr>
                <w:rFonts w:hint="default" w:ascii="Times New Roman" w:hAnsi="Times New Roman" w:eastAsia="宋体" w:cs="Times New Roman"/>
                <w:color w:val="auto"/>
                <w:sz w:val="21"/>
                <w:szCs w:val="21"/>
                <w:highlight w:val="none"/>
              </w:rPr>
              <w:t>得分</w:t>
            </w:r>
            <w:r>
              <w:rPr>
                <w:rFonts w:hint="eastAsia" w:ascii="Times New Roman" w:hAnsi="Times New Roman" w:eastAsia="宋体" w:cs="Times New Roman"/>
                <w:color w:val="auto"/>
                <w:sz w:val="21"/>
                <w:szCs w:val="21"/>
                <w:highlight w:val="none"/>
                <w:lang w:val="en-US" w:eastAsia="zh-CN"/>
              </w:rPr>
              <w:t>高优先、服务保障方案得分高优先、</w:t>
            </w:r>
            <w:r>
              <w:rPr>
                <w:rFonts w:hint="eastAsia" w:ascii="Times New Roman" w:hAnsi="Times New Roman" w:eastAsia="宋体" w:cs="Times New Roman"/>
                <w:color w:val="auto"/>
                <w:spacing w:val="0"/>
                <w:position w:val="0"/>
                <w:sz w:val="21"/>
                <w:szCs w:val="21"/>
                <w:highlight w:val="none"/>
                <w:lang w:eastAsia="zh-CN"/>
              </w:rPr>
              <w:t>信誉实力得分</w:t>
            </w:r>
            <w:r>
              <w:rPr>
                <w:rFonts w:hint="eastAsia" w:ascii="Times New Roman" w:hAnsi="Times New Roman" w:eastAsia="宋体" w:cs="Times New Roman"/>
                <w:color w:val="auto"/>
                <w:spacing w:val="0"/>
                <w:position w:val="0"/>
                <w:sz w:val="21"/>
                <w:szCs w:val="21"/>
                <w:highlight w:val="none"/>
                <w:lang w:val="en-US" w:eastAsia="zh-CN"/>
              </w:rPr>
              <w:t>高优先、</w:t>
            </w:r>
            <w:r>
              <w:rPr>
                <w:rFonts w:hint="eastAsia" w:ascii="Times New Roman" w:hAnsi="Times New Roman" w:eastAsia="宋体" w:cs="Times New Roman"/>
                <w:color w:val="auto"/>
                <w:spacing w:val="0"/>
                <w:position w:val="0"/>
                <w:sz w:val="21"/>
                <w:szCs w:val="21"/>
                <w:highlight w:val="none"/>
                <w:lang w:eastAsia="zh-CN"/>
              </w:rPr>
              <w:t>承保业绩得</w:t>
            </w:r>
            <w:r>
              <w:rPr>
                <w:rFonts w:hint="default" w:ascii="Times New Roman" w:hAnsi="Times New Roman" w:eastAsia="宋体" w:cs="Times New Roman"/>
                <w:color w:val="auto"/>
                <w:spacing w:val="0"/>
                <w:position w:val="0"/>
                <w:sz w:val="21"/>
                <w:szCs w:val="21"/>
                <w:highlight w:val="none"/>
              </w:rPr>
              <w:t>分</w:t>
            </w:r>
            <w:r>
              <w:rPr>
                <w:rFonts w:hint="eastAsia" w:ascii="Times New Roman" w:hAnsi="Times New Roman" w:eastAsia="宋体" w:cs="Times New Roman"/>
                <w:color w:val="auto"/>
                <w:spacing w:val="0"/>
                <w:position w:val="0"/>
                <w:sz w:val="21"/>
                <w:szCs w:val="21"/>
                <w:highlight w:val="none"/>
                <w:lang w:val="en-US" w:eastAsia="zh-CN"/>
              </w:rPr>
              <w:t>高优先。</w:t>
            </w:r>
            <w:r>
              <w:rPr>
                <w:rFonts w:hint="eastAsia" w:ascii="Times New Roman" w:hAnsi="Times New Roman" w:eastAsia="宋体" w:cs="Times New Roman"/>
                <w:color w:val="auto"/>
                <w:sz w:val="21"/>
                <w:szCs w:val="21"/>
                <w:highlight w:val="none"/>
                <w:lang w:val="en-US" w:eastAsia="zh-CN"/>
              </w:rPr>
              <w:t>如果上述得分均相同，则</w:t>
            </w:r>
            <w:r>
              <w:rPr>
                <w:rFonts w:hint="default" w:ascii="Times New Roman" w:hAnsi="Times New Roman" w:eastAsia="宋体" w:cs="Times New Roman"/>
                <w:color w:val="auto"/>
                <w:sz w:val="21"/>
                <w:szCs w:val="21"/>
                <w:highlight w:val="none"/>
              </w:rPr>
              <w:t>按《政府采购货物和服务招标投标管理办法》</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财政部令第87号</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 xml:space="preserve"> 第六十八条由评审小组随机抽取的方式</w:t>
            </w:r>
            <w:r>
              <w:rPr>
                <w:rFonts w:hint="eastAsia"/>
                <w:color w:val="auto"/>
                <w:highlight w:val="none"/>
                <w:lang w:val="en-US" w:eastAsia="zh-CN"/>
              </w:rPr>
              <w:t>确定</w:t>
            </w:r>
            <w:r>
              <w:rPr>
                <w:rFonts w:hint="eastAsia" w:ascii="Times New Roman" w:hAnsi="Times New Roman" w:eastAsia="宋体" w:cs="Times New Roman"/>
                <w:color w:val="auto"/>
                <w:sz w:val="21"/>
                <w:szCs w:val="21"/>
                <w:highlight w:val="none"/>
                <w:lang w:val="en-US" w:eastAsia="zh-CN"/>
              </w:rPr>
              <w:t>排名</w:t>
            </w:r>
            <w:r>
              <w:rPr>
                <w:rFonts w:hint="eastAsia" w:ascii="Times New Roman" w:hAnsi="Times New Roman" w:eastAsia="宋体" w:cs="Times New Roman"/>
                <w:color w:val="auto"/>
                <w:sz w:val="21"/>
                <w:szCs w:val="21"/>
                <w:highlight w:val="none"/>
              </w:rPr>
              <w:t>。</w:t>
            </w:r>
          </w:p>
        </w:tc>
      </w:tr>
      <w:tr w14:paraId="700F9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992" w:type="dxa"/>
            <w:vAlign w:val="center"/>
          </w:tcPr>
          <w:p w14:paraId="5C996DF6">
            <w:pPr>
              <w:keepNext w:val="0"/>
              <w:keepLines w:val="0"/>
              <w:pageBreakBefore w:val="0"/>
              <w:widowControl w:val="0"/>
              <w:kinsoku/>
              <w:wordWrap/>
              <w:overflowPunct/>
              <w:topLinePunct w:val="0"/>
              <w:bidi w:val="0"/>
              <w:adjustRightInd/>
              <w:spacing w:line="360" w:lineRule="exact"/>
              <w:jc w:val="center"/>
              <w:rPr>
                <w:color w:val="auto"/>
                <w:szCs w:val="21"/>
                <w:highlight w:val="none"/>
              </w:rPr>
            </w:pPr>
            <w:r>
              <w:rPr>
                <w:rFonts w:hint="eastAsia"/>
                <w:color w:val="auto"/>
                <w:szCs w:val="21"/>
                <w:highlight w:val="none"/>
                <w:lang w:val="en-US" w:eastAsia="zh-CN"/>
              </w:rPr>
              <w:t>35.1</w:t>
            </w:r>
          </w:p>
        </w:tc>
        <w:tc>
          <w:tcPr>
            <w:tcW w:w="8701" w:type="dxa"/>
            <w:vAlign w:val="center"/>
          </w:tcPr>
          <w:p w14:paraId="7DCDAD6D">
            <w:pPr>
              <w:keepNext w:val="0"/>
              <w:keepLines w:val="0"/>
              <w:pageBreakBefore w:val="0"/>
              <w:widowControl w:val="0"/>
              <w:kinsoku/>
              <w:wordWrap/>
              <w:overflowPunct/>
              <w:topLinePunct w:val="0"/>
              <w:bidi w:val="0"/>
              <w:adjustRightInd/>
              <w:snapToGrid w:val="0"/>
              <w:spacing w:line="360" w:lineRule="exact"/>
              <w:rPr>
                <w:color w:val="auto"/>
                <w:szCs w:val="21"/>
                <w:highlight w:val="none"/>
              </w:rPr>
            </w:pPr>
            <w:r>
              <w:rPr>
                <w:color w:val="auto"/>
                <w:szCs w:val="21"/>
                <w:highlight w:val="none"/>
              </w:rPr>
              <w:t>履约保证金金额：本项目不</w:t>
            </w:r>
            <w:r>
              <w:rPr>
                <w:rFonts w:hint="eastAsia"/>
                <w:color w:val="auto"/>
                <w:szCs w:val="21"/>
                <w:highlight w:val="none"/>
                <w:lang w:eastAsia="zh-CN"/>
              </w:rPr>
              <w:t>收取</w:t>
            </w:r>
            <w:r>
              <w:rPr>
                <w:color w:val="auto"/>
                <w:szCs w:val="21"/>
                <w:highlight w:val="none"/>
              </w:rPr>
              <w:t>履约保证金。</w:t>
            </w:r>
          </w:p>
        </w:tc>
      </w:tr>
      <w:tr w14:paraId="573BA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8" w:hRule="atLeast"/>
          <w:jc w:val="center"/>
        </w:trPr>
        <w:tc>
          <w:tcPr>
            <w:tcW w:w="992" w:type="dxa"/>
            <w:vAlign w:val="center"/>
          </w:tcPr>
          <w:p w14:paraId="33CF3EE9">
            <w:pPr>
              <w:keepNext w:val="0"/>
              <w:keepLines w:val="0"/>
              <w:pageBreakBefore w:val="0"/>
              <w:widowControl w:val="0"/>
              <w:kinsoku/>
              <w:wordWrap/>
              <w:overflowPunct/>
              <w:topLinePunct w:val="0"/>
              <w:bidi w:val="0"/>
              <w:adjustRightInd/>
              <w:spacing w:line="360" w:lineRule="exact"/>
              <w:jc w:val="center"/>
              <w:rPr>
                <w:color w:val="auto"/>
                <w:szCs w:val="21"/>
                <w:highlight w:val="none"/>
              </w:rPr>
            </w:pPr>
            <w:r>
              <w:rPr>
                <w:rFonts w:hint="eastAsia"/>
                <w:color w:val="auto"/>
                <w:szCs w:val="21"/>
                <w:highlight w:val="none"/>
                <w:lang w:val="en-US" w:eastAsia="zh-CN"/>
              </w:rPr>
              <w:t>36.</w:t>
            </w:r>
            <w:r>
              <w:rPr>
                <w:color w:val="auto"/>
                <w:szCs w:val="21"/>
                <w:highlight w:val="none"/>
              </w:rPr>
              <w:t>1</w:t>
            </w:r>
          </w:p>
        </w:tc>
        <w:tc>
          <w:tcPr>
            <w:tcW w:w="8701" w:type="dxa"/>
            <w:vAlign w:val="center"/>
          </w:tcPr>
          <w:p w14:paraId="07EE27EC">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color w:val="auto"/>
                <w:szCs w:val="21"/>
                <w:highlight w:val="none"/>
              </w:rPr>
            </w:pPr>
            <w:r>
              <w:rPr>
                <w:color w:val="auto"/>
                <w:szCs w:val="21"/>
                <w:highlight w:val="none"/>
              </w:rPr>
              <w:t xml:space="preserve">签订合同携带的证明材料： </w:t>
            </w:r>
          </w:p>
          <w:p w14:paraId="0230AF04">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color w:val="auto"/>
                <w:szCs w:val="21"/>
                <w:highlight w:val="none"/>
              </w:rPr>
            </w:pPr>
            <w:r>
              <w:rPr>
                <w:color w:val="auto"/>
                <w:szCs w:val="21"/>
                <w:highlight w:val="none"/>
              </w:rPr>
              <w:t>委托代理人负责签订合同的，须携带授权委托书及委托代理人身份证原件等其他资格证件。</w:t>
            </w:r>
          </w:p>
          <w:p w14:paraId="7A2D615B">
            <w:pPr>
              <w:keepNext w:val="0"/>
              <w:keepLines w:val="0"/>
              <w:pageBreakBefore w:val="0"/>
              <w:widowControl w:val="0"/>
              <w:kinsoku/>
              <w:wordWrap/>
              <w:overflowPunct/>
              <w:topLinePunct w:val="0"/>
              <w:bidi w:val="0"/>
              <w:adjustRightInd/>
              <w:snapToGrid w:val="0"/>
              <w:spacing w:line="360" w:lineRule="exact"/>
              <w:rPr>
                <w:color w:val="auto"/>
                <w:szCs w:val="21"/>
                <w:highlight w:val="none"/>
              </w:rPr>
            </w:pPr>
            <w:r>
              <w:rPr>
                <w:color w:val="auto"/>
                <w:szCs w:val="21"/>
                <w:highlight w:val="none"/>
              </w:rPr>
              <w:t>法定代表人负责签订合同的，须携带法定代表人身份证明原件及身份证原件等其他证明材料。</w:t>
            </w:r>
          </w:p>
        </w:tc>
      </w:tr>
      <w:tr w14:paraId="6C69F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9" w:hRule="atLeast"/>
          <w:jc w:val="center"/>
        </w:trPr>
        <w:tc>
          <w:tcPr>
            <w:tcW w:w="992" w:type="dxa"/>
            <w:vAlign w:val="center"/>
          </w:tcPr>
          <w:p w14:paraId="0663FC33">
            <w:pPr>
              <w:keepNext w:val="0"/>
              <w:keepLines w:val="0"/>
              <w:pageBreakBefore w:val="0"/>
              <w:widowControl w:val="0"/>
              <w:kinsoku/>
              <w:wordWrap/>
              <w:overflowPunct/>
              <w:topLinePunct w:val="0"/>
              <w:bidi w:val="0"/>
              <w:adjustRightInd/>
              <w:spacing w:line="360" w:lineRule="exact"/>
              <w:jc w:val="center"/>
              <w:rPr>
                <w:rFonts w:hint="default" w:eastAsia="宋体"/>
                <w:color w:val="auto"/>
                <w:szCs w:val="21"/>
                <w:highlight w:val="none"/>
                <w:lang w:val="en-US" w:eastAsia="zh-CN"/>
              </w:rPr>
            </w:pPr>
            <w:r>
              <w:rPr>
                <w:rFonts w:hint="eastAsia"/>
                <w:color w:val="auto"/>
                <w:szCs w:val="21"/>
                <w:highlight w:val="none"/>
                <w:lang w:val="en-US" w:eastAsia="zh-CN"/>
              </w:rPr>
              <w:t>38.2</w:t>
            </w:r>
          </w:p>
        </w:tc>
        <w:tc>
          <w:tcPr>
            <w:tcW w:w="8701" w:type="dxa"/>
            <w:vAlign w:val="center"/>
          </w:tcPr>
          <w:p w14:paraId="18776F29">
            <w:pPr>
              <w:keepNext w:val="0"/>
              <w:keepLines w:val="0"/>
              <w:pageBreakBefore w:val="0"/>
              <w:widowControl w:val="0"/>
              <w:kinsoku/>
              <w:wordWrap/>
              <w:overflowPunct/>
              <w:topLinePunct w:val="0"/>
              <w:bidi w:val="0"/>
              <w:adjustRightInd/>
              <w:snapToGrid w:val="0"/>
              <w:spacing w:line="360" w:lineRule="exact"/>
              <w:rPr>
                <w:color w:val="auto"/>
                <w:szCs w:val="21"/>
                <w:highlight w:val="none"/>
              </w:rPr>
            </w:pPr>
            <w:r>
              <w:rPr>
                <w:color w:val="auto"/>
                <w:szCs w:val="21"/>
                <w:highlight w:val="none"/>
              </w:rPr>
              <w:t>接收质疑函方式：以书面形式</w:t>
            </w:r>
          </w:p>
          <w:p w14:paraId="56A88324">
            <w:pPr>
              <w:keepNext w:val="0"/>
              <w:keepLines w:val="0"/>
              <w:pageBreakBefore w:val="0"/>
              <w:widowControl w:val="0"/>
              <w:kinsoku/>
              <w:wordWrap/>
              <w:overflowPunct/>
              <w:topLinePunct w:val="0"/>
              <w:bidi w:val="0"/>
              <w:adjustRightInd/>
              <w:snapToGrid w:val="0"/>
              <w:spacing w:line="360" w:lineRule="exact"/>
              <w:rPr>
                <w:color w:val="auto"/>
                <w:szCs w:val="21"/>
                <w:highlight w:val="none"/>
              </w:rPr>
            </w:pPr>
            <w:r>
              <w:rPr>
                <w:color w:val="auto"/>
                <w:szCs w:val="21"/>
                <w:highlight w:val="none"/>
              </w:rPr>
              <w:t>质疑联系部门及联系方式：</w:t>
            </w:r>
            <w:r>
              <w:rPr>
                <w:rFonts w:hint="eastAsia"/>
                <w:color w:val="auto"/>
                <w:szCs w:val="21"/>
                <w:highlight w:val="none"/>
                <w:lang w:eastAsia="zh-CN"/>
              </w:rPr>
              <w:t>广西林光工程咨询有限公司</w:t>
            </w:r>
            <w:r>
              <w:rPr>
                <w:color w:val="auto"/>
                <w:szCs w:val="21"/>
                <w:highlight w:val="none"/>
              </w:rPr>
              <w:t>，联系电话：0774-6</w:t>
            </w:r>
            <w:r>
              <w:rPr>
                <w:rFonts w:hint="eastAsia"/>
                <w:color w:val="auto"/>
                <w:szCs w:val="21"/>
                <w:highlight w:val="none"/>
                <w:lang w:val="en-US" w:eastAsia="zh-CN"/>
              </w:rPr>
              <w:t>183103</w:t>
            </w:r>
            <w:r>
              <w:rPr>
                <w:color w:val="auto"/>
                <w:szCs w:val="21"/>
                <w:highlight w:val="none"/>
              </w:rPr>
              <w:t>，</w:t>
            </w:r>
          </w:p>
          <w:p w14:paraId="6D2FA5D2">
            <w:pPr>
              <w:keepNext w:val="0"/>
              <w:keepLines w:val="0"/>
              <w:pageBreakBefore w:val="0"/>
              <w:widowControl w:val="0"/>
              <w:kinsoku/>
              <w:wordWrap/>
              <w:overflowPunct/>
              <w:topLinePunct w:val="0"/>
              <w:bidi w:val="0"/>
              <w:adjustRightInd/>
              <w:snapToGrid w:val="0"/>
              <w:spacing w:line="360" w:lineRule="exact"/>
              <w:rPr>
                <w:color w:val="auto"/>
                <w:szCs w:val="21"/>
                <w:highlight w:val="none"/>
              </w:rPr>
            </w:pPr>
            <w:r>
              <w:rPr>
                <w:color w:val="auto"/>
                <w:szCs w:val="21"/>
                <w:highlight w:val="none"/>
              </w:rPr>
              <w:t>通讯地址：</w:t>
            </w:r>
            <w:r>
              <w:rPr>
                <w:rFonts w:hint="eastAsia"/>
                <w:color w:val="auto"/>
                <w:szCs w:val="21"/>
                <w:highlight w:val="none"/>
                <w:lang w:eastAsia="zh-CN"/>
              </w:rPr>
              <w:t>蒙山县东江路东18号二楼</w:t>
            </w:r>
            <w:r>
              <w:rPr>
                <w:rFonts w:ascii="Times New Roman" w:hAnsi="Times New Roman" w:eastAsia="宋体" w:cs="Times New Roman"/>
                <w:color w:val="auto"/>
                <w:szCs w:val="21"/>
                <w:highlight w:val="none"/>
              </w:rPr>
              <w:t>。</w:t>
            </w:r>
          </w:p>
          <w:p w14:paraId="1915832B">
            <w:pPr>
              <w:keepNext w:val="0"/>
              <w:keepLines w:val="0"/>
              <w:pageBreakBefore w:val="0"/>
              <w:widowControl w:val="0"/>
              <w:kinsoku/>
              <w:wordWrap/>
              <w:overflowPunct/>
              <w:topLinePunct w:val="0"/>
              <w:bidi w:val="0"/>
              <w:adjustRightInd/>
              <w:snapToGrid w:val="0"/>
              <w:spacing w:line="360" w:lineRule="exact"/>
              <w:rPr>
                <w:color w:val="auto"/>
                <w:szCs w:val="21"/>
                <w:highlight w:val="none"/>
              </w:rPr>
            </w:pPr>
            <w:r>
              <w:rPr>
                <w:color w:val="auto"/>
                <w:szCs w:val="21"/>
                <w:highlight w:val="none"/>
              </w:rPr>
              <w:t>现场提交质疑办理业务时间：每天8时00分到12时00分，15时00分到18时 00分，业务时间以外、双休日和法定节假日不办理业务。</w:t>
            </w:r>
          </w:p>
        </w:tc>
      </w:tr>
      <w:tr w14:paraId="183CC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992" w:type="dxa"/>
            <w:vAlign w:val="center"/>
          </w:tcPr>
          <w:p w14:paraId="6BFF98F7">
            <w:pPr>
              <w:keepNext w:val="0"/>
              <w:keepLines w:val="0"/>
              <w:pageBreakBefore w:val="0"/>
              <w:widowControl w:val="0"/>
              <w:kinsoku/>
              <w:wordWrap/>
              <w:overflowPunct/>
              <w:topLinePunct w:val="0"/>
              <w:bidi w:val="0"/>
              <w:adjustRightInd/>
              <w:spacing w:line="360" w:lineRule="exact"/>
              <w:jc w:val="center"/>
              <w:rPr>
                <w:color w:val="auto"/>
                <w:szCs w:val="21"/>
                <w:highlight w:val="none"/>
              </w:rPr>
            </w:pPr>
            <w:r>
              <w:rPr>
                <w:color w:val="auto"/>
                <w:szCs w:val="21"/>
                <w:highlight w:val="none"/>
              </w:rPr>
              <w:t>3</w:t>
            </w:r>
            <w:r>
              <w:rPr>
                <w:rFonts w:hint="eastAsia"/>
                <w:color w:val="auto"/>
                <w:szCs w:val="21"/>
                <w:highlight w:val="none"/>
                <w:lang w:val="en-US" w:eastAsia="zh-CN"/>
              </w:rPr>
              <w:t>9</w:t>
            </w:r>
            <w:r>
              <w:rPr>
                <w:color w:val="auto"/>
                <w:szCs w:val="21"/>
                <w:highlight w:val="none"/>
              </w:rPr>
              <w:t>.1</w:t>
            </w:r>
          </w:p>
        </w:tc>
        <w:tc>
          <w:tcPr>
            <w:tcW w:w="8701" w:type="dxa"/>
            <w:vAlign w:val="center"/>
          </w:tcPr>
          <w:p w14:paraId="25AA6EB4">
            <w:pPr>
              <w:pStyle w:val="17"/>
              <w:snapToGrid w:val="0"/>
              <w:spacing w:line="340" w:lineRule="exact"/>
              <w:rPr>
                <w:rFonts w:ascii="Times New Roman" w:hAnsi="Times New Roman"/>
                <w:color w:val="auto"/>
                <w:sz w:val="21"/>
                <w:highlight w:val="none"/>
              </w:rPr>
            </w:pPr>
            <w:r>
              <w:rPr>
                <w:rFonts w:ascii="Times New Roman" w:hAnsi="Times New Roman"/>
                <w:color w:val="auto"/>
                <w:sz w:val="21"/>
                <w:highlight w:val="none"/>
              </w:rPr>
              <w:t>1．采购代理费支付方式：</w:t>
            </w:r>
          </w:p>
          <w:p w14:paraId="1B891117">
            <w:pPr>
              <w:pStyle w:val="17"/>
              <w:snapToGrid w:val="0"/>
              <w:spacing w:line="340" w:lineRule="exact"/>
              <w:rPr>
                <w:rFonts w:ascii="Times New Roman" w:hAnsi="Times New Roman"/>
                <w:color w:val="auto"/>
                <w:sz w:val="21"/>
                <w:highlight w:val="none"/>
              </w:rPr>
            </w:pPr>
            <w:r>
              <w:rPr>
                <w:rFonts w:hint="eastAsia" w:ascii="Times New Roman" w:hAnsi="Times New Roman"/>
                <w:color w:val="auto"/>
                <w:sz w:val="21"/>
                <w:highlight w:val="none"/>
              </w:rPr>
              <w:sym w:font="Wingdings 2" w:char="0052"/>
            </w:r>
            <w:r>
              <w:rPr>
                <w:rFonts w:ascii="Times New Roman" w:hAnsi="Times New Roman"/>
                <w:color w:val="auto"/>
                <w:sz w:val="21"/>
                <w:highlight w:val="none"/>
              </w:rPr>
              <w:t>本项目代理服务费由</w:t>
            </w:r>
            <w:r>
              <w:rPr>
                <w:rFonts w:ascii="Times New Roman" w:hAnsi="Times New Roman"/>
                <w:i/>
                <w:iCs/>
                <w:color w:val="auto"/>
                <w:sz w:val="21"/>
                <w:highlight w:val="none"/>
                <w:u w:val="single"/>
              </w:rPr>
              <w:t xml:space="preserve"> </w:t>
            </w:r>
            <w:r>
              <w:rPr>
                <w:rFonts w:ascii="Times New Roman" w:hAnsi="Times New Roman"/>
                <w:color w:val="auto"/>
                <w:sz w:val="21"/>
                <w:highlight w:val="none"/>
                <w:u w:val="single"/>
              </w:rPr>
              <w:t xml:space="preserve">成交供应商 </w:t>
            </w:r>
            <w:r>
              <w:rPr>
                <w:rFonts w:ascii="Times New Roman" w:hAnsi="Times New Roman"/>
                <w:color w:val="auto"/>
                <w:sz w:val="21"/>
                <w:highlight w:val="none"/>
              </w:rPr>
              <w:t>领取成交通知书前，一次性向采购代理机构支付。</w:t>
            </w:r>
          </w:p>
          <w:p w14:paraId="0439CFED">
            <w:pPr>
              <w:pStyle w:val="17"/>
              <w:snapToGrid w:val="0"/>
              <w:spacing w:line="340" w:lineRule="exact"/>
              <w:rPr>
                <w:rFonts w:ascii="Times New Roman" w:hAnsi="Times New Roman"/>
                <w:color w:val="auto"/>
                <w:sz w:val="21"/>
                <w:highlight w:val="none"/>
              </w:rPr>
            </w:pPr>
            <w:r>
              <w:rPr>
                <w:rFonts w:ascii="Times New Roman" w:hAnsi="Times New Roman"/>
                <w:color w:val="auto"/>
                <w:sz w:val="21"/>
                <w:highlight w:val="none"/>
              </w:rPr>
              <w:t>2．采购代理费收取标准：</w:t>
            </w:r>
          </w:p>
          <w:p w14:paraId="74D30B66">
            <w:pPr>
              <w:pStyle w:val="17"/>
              <w:snapToGrid w:val="0"/>
              <w:spacing w:line="340" w:lineRule="exact"/>
              <w:rPr>
                <w:rFonts w:ascii="Times New Roman" w:hAnsi="Times New Roman"/>
                <w:color w:val="auto"/>
                <w:sz w:val="21"/>
                <w:highlight w:val="none"/>
              </w:rPr>
            </w:pPr>
            <w:r>
              <w:rPr>
                <w:rFonts w:ascii="Times New Roman" w:hAnsi="Times New Roman"/>
                <w:color w:val="auto"/>
                <w:sz w:val="21"/>
                <w:highlight w:val="none"/>
              </w:rPr>
              <w:t>以</w:t>
            </w:r>
            <w:r>
              <w:rPr>
                <w:rFonts w:hint="eastAsia" w:ascii="Times New Roman" w:hAnsi="Times New Roman"/>
                <w:color w:val="auto"/>
                <w:sz w:val="21"/>
                <w:highlight w:val="none"/>
              </w:rPr>
              <w:t>成交</w:t>
            </w:r>
            <w:r>
              <w:rPr>
                <w:rFonts w:ascii="Times New Roman" w:hAnsi="Times New Roman"/>
                <w:color w:val="auto"/>
                <w:sz w:val="21"/>
                <w:highlight w:val="none"/>
              </w:rPr>
              <w:t>金额计算业务酬金，按桂价费〔2011〕55号规定按差额定率累进法计取，由成交供应商向采购代理机构支付。成交供应商在领取成交通知书前，一次性向采购代理机构付清全部代理服务费。</w:t>
            </w:r>
          </w:p>
          <w:p w14:paraId="571D6964">
            <w:pPr>
              <w:pStyle w:val="17"/>
              <w:snapToGrid w:val="0"/>
              <w:spacing w:line="340" w:lineRule="exact"/>
              <w:rPr>
                <w:rFonts w:ascii="Times New Roman" w:hAnsi="Times New Roman"/>
                <w:color w:val="auto"/>
                <w:sz w:val="21"/>
                <w:highlight w:val="none"/>
              </w:rPr>
            </w:pPr>
            <w:r>
              <w:rPr>
                <w:rFonts w:ascii="Times New Roman" w:hAnsi="Times New Roman"/>
                <w:color w:val="auto"/>
                <w:sz w:val="21"/>
                <w:highlight w:val="none"/>
              </w:rPr>
              <w:t>3．采购代理费收取银行账户：</w:t>
            </w:r>
          </w:p>
          <w:p w14:paraId="03D5A085">
            <w:pPr>
              <w:snapToGrid w:val="0"/>
              <w:spacing w:line="340" w:lineRule="exact"/>
              <w:ind w:firstLine="210" w:firstLineChars="100"/>
              <w:rPr>
                <w:color w:val="auto"/>
                <w:highlight w:val="none"/>
              </w:rPr>
            </w:pPr>
            <w:r>
              <w:rPr>
                <w:color w:val="auto"/>
                <w:highlight w:val="none"/>
              </w:rPr>
              <w:t>开户名称：</w:t>
            </w:r>
            <w:r>
              <w:rPr>
                <w:rFonts w:hint="eastAsia"/>
                <w:color w:val="auto"/>
                <w:highlight w:val="none"/>
                <w:lang w:eastAsia="zh-CN"/>
              </w:rPr>
              <w:t>广西林光工程咨询有限公司</w:t>
            </w:r>
            <w:r>
              <w:rPr>
                <w:color w:val="auto"/>
                <w:highlight w:val="none"/>
              </w:rPr>
              <w:t xml:space="preserve">蒙山分公司 </w:t>
            </w:r>
          </w:p>
          <w:p w14:paraId="3B41DC23">
            <w:pPr>
              <w:snapToGrid w:val="0"/>
              <w:spacing w:line="340" w:lineRule="exact"/>
              <w:ind w:firstLine="210" w:firstLineChars="100"/>
              <w:rPr>
                <w:rFonts w:hint="default" w:ascii="Times New Roman" w:hAnsi="Times New Roman" w:eastAsia="宋体" w:cs="Times New Roman"/>
                <w:color w:val="auto"/>
                <w:highlight w:val="none"/>
                <w:lang w:eastAsia="zh-CN"/>
              </w:rPr>
            </w:pPr>
            <w:r>
              <w:rPr>
                <w:color w:val="auto"/>
                <w:highlight w:val="none"/>
              </w:rPr>
              <w:t>开户银行：</w:t>
            </w:r>
            <w:r>
              <w:rPr>
                <w:rFonts w:hint="default" w:ascii="Times New Roman" w:hAnsi="Times New Roman" w:cs="Times New Roman"/>
                <w:color w:val="auto"/>
                <w:highlight w:val="none"/>
                <w:lang w:eastAsia="zh-CN"/>
              </w:rPr>
              <w:t>广西蒙山农村商业银行股份有限公司营业部</w:t>
            </w:r>
          </w:p>
          <w:p w14:paraId="0FFEABA0">
            <w:pPr>
              <w:keepNext w:val="0"/>
              <w:keepLines w:val="0"/>
              <w:pageBreakBefore w:val="0"/>
              <w:widowControl w:val="0"/>
              <w:kinsoku/>
              <w:wordWrap/>
              <w:overflowPunct/>
              <w:topLinePunct w:val="0"/>
              <w:bidi w:val="0"/>
              <w:adjustRightInd/>
              <w:snapToGrid w:val="0"/>
              <w:spacing w:line="360" w:lineRule="exact"/>
              <w:ind w:firstLine="210" w:firstLineChars="100"/>
              <w:rPr>
                <w:rFonts w:ascii="Times New Roman" w:hAnsi="Times New Roman"/>
                <w:color w:val="auto"/>
                <w:sz w:val="21"/>
                <w:highlight w:val="none"/>
              </w:rPr>
            </w:pPr>
            <w:r>
              <w:rPr>
                <w:rFonts w:hint="default" w:ascii="Times New Roman" w:hAnsi="Times New Roman" w:cs="Times New Roman"/>
                <w:color w:val="auto"/>
                <w:highlight w:val="none"/>
              </w:rPr>
              <w:t>银行账号：</w:t>
            </w:r>
            <w:r>
              <w:rPr>
                <w:rFonts w:hint="default" w:ascii="Times New Roman" w:hAnsi="Times New Roman" w:cs="Times New Roman"/>
                <w:color w:val="auto"/>
                <w:highlight w:val="none"/>
                <w:lang w:val="en-US" w:eastAsia="zh-CN"/>
              </w:rPr>
              <w:t>423612010153776450</w:t>
            </w:r>
          </w:p>
        </w:tc>
      </w:tr>
      <w:tr w14:paraId="707CA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65" w:hRule="atLeast"/>
          <w:jc w:val="center"/>
        </w:trPr>
        <w:tc>
          <w:tcPr>
            <w:tcW w:w="992" w:type="dxa"/>
            <w:vAlign w:val="center"/>
          </w:tcPr>
          <w:p w14:paraId="2A477CFF">
            <w:pPr>
              <w:keepNext w:val="0"/>
              <w:keepLines w:val="0"/>
              <w:pageBreakBefore w:val="0"/>
              <w:widowControl w:val="0"/>
              <w:kinsoku/>
              <w:wordWrap/>
              <w:overflowPunct/>
              <w:topLinePunct w:val="0"/>
              <w:bidi w:val="0"/>
              <w:adjustRightInd/>
              <w:spacing w:line="360" w:lineRule="exact"/>
              <w:jc w:val="center"/>
              <w:rPr>
                <w:color w:val="auto"/>
                <w:szCs w:val="21"/>
                <w:highlight w:val="none"/>
              </w:rPr>
            </w:pPr>
            <w:r>
              <w:rPr>
                <w:rFonts w:hint="eastAsia"/>
                <w:color w:val="auto"/>
                <w:szCs w:val="21"/>
                <w:highlight w:val="none"/>
                <w:lang w:val="en-US" w:eastAsia="zh-CN"/>
              </w:rPr>
              <w:t>40</w:t>
            </w:r>
            <w:r>
              <w:rPr>
                <w:color w:val="auto"/>
                <w:szCs w:val="21"/>
                <w:highlight w:val="none"/>
              </w:rPr>
              <w:t>.1</w:t>
            </w:r>
          </w:p>
        </w:tc>
        <w:tc>
          <w:tcPr>
            <w:tcW w:w="8701" w:type="dxa"/>
            <w:vAlign w:val="center"/>
          </w:tcPr>
          <w:p w14:paraId="4C6B5C4D">
            <w:pPr>
              <w:pStyle w:val="17"/>
              <w:keepNext w:val="0"/>
              <w:keepLines w:val="0"/>
              <w:pageBreakBefore w:val="0"/>
              <w:widowControl w:val="0"/>
              <w:kinsoku/>
              <w:wordWrap/>
              <w:overflowPunct/>
              <w:topLinePunct w:val="0"/>
              <w:bidi w:val="0"/>
              <w:adjustRightInd/>
              <w:snapToGrid w:val="0"/>
              <w:spacing w:line="360" w:lineRule="exact"/>
              <w:rPr>
                <w:rFonts w:ascii="Times New Roman" w:hAnsi="Times New Roman"/>
                <w:color w:val="auto"/>
                <w:kern w:val="2"/>
                <w:sz w:val="21"/>
                <w:highlight w:val="none"/>
              </w:rPr>
            </w:pPr>
            <w:r>
              <w:rPr>
                <w:rFonts w:hint="eastAsia" w:ascii="Times New Roman" w:hAnsi="Times New Roman"/>
                <w:color w:val="auto"/>
                <w:sz w:val="21"/>
                <w:highlight w:val="none"/>
              </w:rPr>
              <w:t>解释：</w:t>
            </w:r>
            <w:r>
              <w:rPr>
                <w:rFonts w:ascii="Times New Roman" w:hAnsi="Times New Roman"/>
                <w:color w:val="auto"/>
                <w:sz w:val="21"/>
                <w:highlight w:val="none"/>
              </w:rPr>
              <w:t>构成本招标文件的各个组成文件应互为解释，互为说明；除招标文件中有特别规定外，仅适用于招标投标阶段的规定，按</w:t>
            </w:r>
            <w:r>
              <w:rPr>
                <w:rFonts w:hint="eastAsia" w:ascii="Times New Roman" w:hAnsi="Times New Roman"/>
                <w:color w:val="auto"/>
                <w:sz w:val="21"/>
                <w:highlight w:val="none"/>
              </w:rPr>
              <w:t>更正公告（澄清公告）</w:t>
            </w:r>
            <w:r>
              <w:rPr>
                <w:rFonts w:ascii="Times New Roman" w:hAnsi="Times New Roman"/>
                <w:color w:val="auto"/>
                <w:sz w:val="21"/>
                <w:highlight w:val="none"/>
              </w:rPr>
              <w:t>、招标公告、</w:t>
            </w:r>
            <w:r>
              <w:rPr>
                <w:rFonts w:hint="eastAsia" w:ascii="Times New Roman" w:hAnsi="Times New Roman"/>
                <w:color w:val="auto"/>
                <w:sz w:val="21"/>
                <w:highlight w:val="none"/>
              </w:rPr>
              <w:t>采购需求、</w:t>
            </w:r>
            <w:r>
              <w:rPr>
                <w:rFonts w:ascii="Times New Roman" w:hAnsi="Times New Roman"/>
                <w:color w:val="auto"/>
                <w:sz w:val="21"/>
                <w:highlight w:val="none"/>
              </w:rPr>
              <w:t>投标人须知、</w:t>
            </w:r>
            <w:r>
              <w:rPr>
                <w:rFonts w:hint="eastAsia" w:ascii="Times New Roman" w:hAnsi="Times New Roman"/>
                <w:color w:val="auto"/>
                <w:sz w:val="21"/>
                <w:highlight w:val="none"/>
              </w:rPr>
              <w:t>评标方法及评标标准</w:t>
            </w:r>
            <w:r>
              <w:rPr>
                <w:rFonts w:ascii="Times New Roman" w:hAnsi="Times New Roman"/>
                <w:color w:val="auto"/>
                <w:sz w:val="21"/>
                <w:highlight w:val="none"/>
              </w:rPr>
              <w:t>、</w:t>
            </w:r>
            <w:r>
              <w:rPr>
                <w:rFonts w:hint="eastAsia" w:ascii="Times New Roman" w:hAnsi="Times New Roman"/>
                <w:color w:val="auto"/>
                <w:sz w:val="21"/>
                <w:highlight w:val="none"/>
              </w:rPr>
              <w:t>拟签订的合同文本、</w:t>
            </w:r>
            <w:r>
              <w:rPr>
                <w:rFonts w:ascii="Times New Roman" w:hAnsi="Times New Roman"/>
                <w:color w:val="auto"/>
                <w:sz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Times New Roman" w:hAnsi="Times New Roman"/>
                <w:color w:val="auto"/>
                <w:sz w:val="21"/>
                <w:highlight w:val="none"/>
              </w:rPr>
              <w:t>更正公告（澄清公告）</w:t>
            </w:r>
            <w:r>
              <w:rPr>
                <w:rFonts w:ascii="Times New Roman" w:hAnsi="Times New Roman"/>
                <w:color w:val="auto"/>
                <w:sz w:val="21"/>
                <w:highlight w:val="none"/>
              </w:rPr>
              <w:t>与同步更新的招标文件不一致时以</w:t>
            </w:r>
            <w:r>
              <w:rPr>
                <w:rFonts w:hint="eastAsia" w:ascii="Times New Roman" w:hAnsi="Times New Roman"/>
                <w:color w:val="auto"/>
                <w:sz w:val="21"/>
                <w:highlight w:val="none"/>
              </w:rPr>
              <w:t>更正公告（澄清公告）</w:t>
            </w:r>
            <w:r>
              <w:rPr>
                <w:rFonts w:ascii="Times New Roman" w:hAnsi="Times New Roman"/>
                <w:color w:val="auto"/>
                <w:sz w:val="21"/>
                <w:highlight w:val="none"/>
              </w:rPr>
              <w:t>为准。按本款前述规定仍不能形成结论的，由</w:t>
            </w:r>
            <w:r>
              <w:rPr>
                <w:rFonts w:hint="eastAsia" w:ascii="Times New Roman" w:hAnsi="Times New Roman"/>
                <w:color w:val="auto"/>
                <w:sz w:val="21"/>
                <w:highlight w:val="none"/>
              </w:rPr>
              <w:t>采购</w:t>
            </w:r>
            <w:r>
              <w:rPr>
                <w:rFonts w:ascii="Times New Roman" w:hAnsi="Times New Roman"/>
                <w:color w:val="auto"/>
                <w:sz w:val="21"/>
                <w:highlight w:val="none"/>
              </w:rPr>
              <w:t>人</w:t>
            </w:r>
            <w:r>
              <w:rPr>
                <w:rFonts w:hint="eastAsia" w:ascii="Times New Roman" w:hAnsi="Times New Roman"/>
                <w:color w:val="auto"/>
                <w:sz w:val="21"/>
                <w:highlight w:val="none"/>
              </w:rPr>
              <w:t>或者采购代理机构</w:t>
            </w:r>
            <w:r>
              <w:rPr>
                <w:rFonts w:ascii="Times New Roman" w:hAnsi="Times New Roman"/>
                <w:color w:val="auto"/>
                <w:sz w:val="21"/>
                <w:highlight w:val="none"/>
              </w:rPr>
              <w:t>负责解释。</w:t>
            </w:r>
          </w:p>
        </w:tc>
      </w:tr>
      <w:tr w14:paraId="56DDE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5" w:hRule="atLeast"/>
          <w:jc w:val="center"/>
        </w:trPr>
        <w:tc>
          <w:tcPr>
            <w:tcW w:w="992" w:type="dxa"/>
            <w:vAlign w:val="center"/>
          </w:tcPr>
          <w:p w14:paraId="6D7257C2">
            <w:pPr>
              <w:keepNext w:val="0"/>
              <w:keepLines w:val="0"/>
              <w:pageBreakBefore w:val="0"/>
              <w:widowControl w:val="0"/>
              <w:kinsoku/>
              <w:wordWrap/>
              <w:overflowPunct/>
              <w:topLinePunct w:val="0"/>
              <w:bidi w:val="0"/>
              <w:adjustRightInd/>
              <w:spacing w:line="360" w:lineRule="exact"/>
              <w:jc w:val="center"/>
              <w:rPr>
                <w:color w:val="auto"/>
                <w:szCs w:val="21"/>
                <w:highlight w:val="none"/>
              </w:rPr>
            </w:pPr>
            <w:r>
              <w:rPr>
                <w:rFonts w:hint="eastAsia"/>
                <w:color w:val="auto"/>
                <w:szCs w:val="21"/>
                <w:highlight w:val="none"/>
                <w:lang w:val="en-US" w:eastAsia="zh-CN"/>
              </w:rPr>
              <w:t>40</w:t>
            </w:r>
            <w:r>
              <w:rPr>
                <w:color w:val="auto"/>
                <w:szCs w:val="21"/>
                <w:highlight w:val="none"/>
              </w:rPr>
              <w:t>.2</w:t>
            </w:r>
          </w:p>
        </w:tc>
        <w:tc>
          <w:tcPr>
            <w:tcW w:w="8701" w:type="dxa"/>
            <w:vAlign w:val="center"/>
          </w:tcPr>
          <w:p w14:paraId="335F6654">
            <w:pPr>
              <w:pStyle w:val="17"/>
              <w:keepNext w:val="0"/>
              <w:keepLines w:val="0"/>
              <w:pageBreakBefore w:val="0"/>
              <w:widowControl w:val="0"/>
              <w:kinsoku/>
              <w:wordWrap/>
              <w:overflowPunct/>
              <w:topLinePunct w:val="0"/>
              <w:bidi w:val="0"/>
              <w:adjustRightInd/>
              <w:snapToGrid w:val="0"/>
              <w:spacing w:line="360" w:lineRule="exact"/>
              <w:rPr>
                <w:rFonts w:hint="eastAsia" w:ascii="Times New Roman" w:hAnsi="Times New Roman"/>
                <w:color w:val="auto"/>
                <w:sz w:val="21"/>
                <w:highlight w:val="none"/>
              </w:rPr>
            </w:pPr>
            <w:r>
              <w:rPr>
                <w:rFonts w:hint="eastAsia" w:ascii="Times New Roman" w:hAnsi="Times New Roman"/>
                <w:color w:val="auto"/>
                <w:sz w:val="21"/>
                <w:highlight w:val="none"/>
              </w:rPr>
              <w:t>1</w:t>
            </w:r>
            <w:r>
              <w:rPr>
                <w:color w:val="auto"/>
                <w:szCs w:val="21"/>
                <w:highlight w:val="none"/>
              </w:rPr>
              <w:t>．</w:t>
            </w:r>
            <w:r>
              <w:rPr>
                <w:rFonts w:hint="eastAsia" w:ascii="Times New Roman" w:hAnsi="Times New Roman"/>
                <w:color w:val="auto"/>
                <w:sz w:val="21"/>
                <w:highlight w:val="none"/>
              </w:rPr>
              <w:t>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48C50FB9">
            <w:pPr>
              <w:pStyle w:val="17"/>
              <w:keepNext w:val="0"/>
              <w:keepLines w:val="0"/>
              <w:pageBreakBefore w:val="0"/>
              <w:widowControl w:val="0"/>
              <w:kinsoku/>
              <w:wordWrap/>
              <w:overflowPunct/>
              <w:topLinePunct w:val="0"/>
              <w:bidi w:val="0"/>
              <w:adjustRightInd/>
              <w:snapToGrid w:val="0"/>
              <w:spacing w:line="360" w:lineRule="exact"/>
              <w:rPr>
                <w:rFonts w:hint="eastAsia" w:ascii="Times New Roman" w:hAnsi="Times New Roman"/>
                <w:color w:val="auto"/>
                <w:sz w:val="21"/>
                <w:highlight w:val="none"/>
              </w:rPr>
            </w:pPr>
            <w:r>
              <w:rPr>
                <w:rFonts w:hint="eastAsia" w:ascii="Times New Roman" w:hAnsi="Times New Roman"/>
                <w:color w:val="auto"/>
                <w:sz w:val="21"/>
                <w:highlight w:val="none"/>
              </w:rPr>
              <w:t>2</w:t>
            </w:r>
            <w:r>
              <w:rPr>
                <w:color w:val="auto"/>
                <w:szCs w:val="21"/>
                <w:highlight w:val="none"/>
              </w:rPr>
              <w:t>．</w:t>
            </w:r>
            <w:r>
              <w:rPr>
                <w:rFonts w:hint="eastAsia" w:ascii="Times New Roman" w:hAnsi="Times New Roman"/>
                <w:color w:val="auto"/>
                <w:sz w:val="21"/>
                <w:highlight w:val="none"/>
              </w:rPr>
              <w:t>本招标文件所称的“电子签章”、“电子签名”，是指经广西政府采购云平台认可的CA认证的电子签名数据为表现形式的印章，可用于签署电子投标文件，电子印章与实物印章具有同等法律效力，不因其采用电子化表现形式而否定其法律效力。</w:t>
            </w:r>
          </w:p>
          <w:p w14:paraId="3DE674F4">
            <w:pPr>
              <w:pStyle w:val="17"/>
              <w:keepNext w:val="0"/>
              <w:keepLines w:val="0"/>
              <w:pageBreakBefore w:val="0"/>
              <w:widowControl w:val="0"/>
              <w:kinsoku/>
              <w:wordWrap/>
              <w:overflowPunct/>
              <w:topLinePunct w:val="0"/>
              <w:bidi w:val="0"/>
              <w:adjustRightInd/>
              <w:snapToGrid w:val="0"/>
              <w:spacing w:line="360" w:lineRule="exact"/>
              <w:rPr>
                <w:rFonts w:hint="eastAsia" w:ascii="Times New Roman" w:hAnsi="Times New Roman"/>
                <w:color w:val="auto"/>
                <w:sz w:val="21"/>
                <w:highlight w:val="none"/>
              </w:rPr>
            </w:pPr>
            <w:r>
              <w:rPr>
                <w:rFonts w:hint="eastAsia" w:ascii="Times New Roman" w:hAnsi="Times New Roman"/>
                <w:color w:val="auto"/>
                <w:sz w:val="21"/>
                <w:highlight w:val="none"/>
              </w:rPr>
              <w:t>3</w:t>
            </w:r>
            <w:r>
              <w:rPr>
                <w:color w:val="auto"/>
                <w:szCs w:val="21"/>
                <w:highlight w:val="none"/>
              </w:rPr>
              <w:t>．</w:t>
            </w:r>
            <w:r>
              <w:rPr>
                <w:rFonts w:hint="eastAsia" w:ascii="Times New Roman" w:hAnsi="Times New Roman"/>
                <w:color w:val="auto"/>
                <w:sz w:val="21"/>
                <w:highlight w:val="none"/>
              </w:rPr>
              <w:t>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w:t>
            </w:r>
            <w:r>
              <w:rPr>
                <w:rFonts w:hint="eastAsia" w:ascii="Times New Roman" w:hAnsi="Times New Roman"/>
                <w:color w:val="auto"/>
                <w:sz w:val="21"/>
                <w:highlight w:val="none"/>
                <w:lang w:eastAsia="zh-CN"/>
              </w:rPr>
              <w:t>（</w:t>
            </w:r>
            <w:r>
              <w:rPr>
                <w:rFonts w:hint="eastAsia" w:ascii="Times New Roman" w:hAnsi="Times New Roman"/>
                <w:color w:val="auto"/>
                <w:sz w:val="21"/>
                <w:highlight w:val="none"/>
              </w:rPr>
              <w:t>16周岁以上的未成年人，以自己的劳动收入为主要生活来源的，视为完全民事行为能力人</w:t>
            </w:r>
            <w:r>
              <w:rPr>
                <w:rFonts w:hint="eastAsia" w:ascii="Times New Roman" w:hAnsi="Times New Roman"/>
                <w:color w:val="auto"/>
                <w:sz w:val="21"/>
                <w:highlight w:val="none"/>
                <w:lang w:eastAsia="zh-CN"/>
              </w:rPr>
              <w:t>）</w:t>
            </w:r>
            <w:r>
              <w:rPr>
                <w:rFonts w:hint="eastAsia" w:ascii="Times New Roman" w:hAnsi="Times New Roman"/>
                <w:color w:val="auto"/>
                <w:sz w:val="21"/>
                <w:highlight w:val="none"/>
              </w:rPr>
              <w:t>。</w:t>
            </w:r>
          </w:p>
          <w:p w14:paraId="1017DA86">
            <w:pPr>
              <w:pStyle w:val="17"/>
              <w:keepNext w:val="0"/>
              <w:keepLines w:val="0"/>
              <w:pageBreakBefore w:val="0"/>
              <w:widowControl w:val="0"/>
              <w:kinsoku/>
              <w:wordWrap/>
              <w:overflowPunct/>
              <w:topLinePunct w:val="0"/>
              <w:bidi w:val="0"/>
              <w:adjustRightInd/>
              <w:snapToGrid w:val="0"/>
              <w:spacing w:line="360" w:lineRule="exact"/>
              <w:rPr>
                <w:rFonts w:hint="eastAsia" w:ascii="Times New Roman" w:hAnsi="Times New Roman"/>
                <w:color w:val="auto"/>
                <w:sz w:val="21"/>
                <w:highlight w:val="none"/>
              </w:rPr>
            </w:pPr>
            <w:r>
              <w:rPr>
                <w:rFonts w:hint="eastAsia" w:ascii="Times New Roman" w:hAnsi="Times New Roman"/>
                <w:color w:val="auto"/>
                <w:sz w:val="21"/>
                <w:highlight w:val="none"/>
              </w:rPr>
              <w:t>4</w:t>
            </w:r>
            <w:r>
              <w:rPr>
                <w:color w:val="auto"/>
                <w:szCs w:val="21"/>
                <w:highlight w:val="none"/>
              </w:rPr>
              <w:t>．</w:t>
            </w:r>
            <w:r>
              <w:rPr>
                <w:rFonts w:hint="eastAsia" w:ascii="Times New Roman" w:hAnsi="Times New Roman"/>
                <w:color w:val="auto"/>
                <w:sz w:val="21"/>
                <w:highlight w:val="none"/>
              </w:rPr>
              <w:t>本招标文件中描述投标人的“签字”是指投标人的法定代表人或者委托代理人亲自在文件规定签字处亲笔写上个人的名字的行为，私章、签字章、印鉴、影印等其他形式均不能代替亲笔签字。</w:t>
            </w:r>
          </w:p>
          <w:p w14:paraId="6CC464BA">
            <w:pPr>
              <w:pStyle w:val="17"/>
              <w:keepNext w:val="0"/>
              <w:keepLines w:val="0"/>
              <w:pageBreakBefore w:val="0"/>
              <w:widowControl w:val="0"/>
              <w:kinsoku/>
              <w:wordWrap/>
              <w:overflowPunct/>
              <w:topLinePunct w:val="0"/>
              <w:bidi w:val="0"/>
              <w:adjustRightInd/>
              <w:snapToGrid w:val="0"/>
              <w:spacing w:line="360" w:lineRule="exact"/>
              <w:rPr>
                <w:rFonts w:ascii="Times New Roman" w:hAnsi="Times New Roman"/>
                <w:color w:val="auto"/>
                <w:sz w:val="21"/>
                <w:highlight w:val="none"/>
              </w:rPr>
            </w:pPr>
            <w:r>
              <w:rPr>
                <w:rFonts w:hint="eastAsia" w:ascii="Times New Roman" w:hAnsi="Times New Roman"/>
                <w:color w:val="auto"/>
                <w:sz w:val="21"/>
                <w:highlight w:val="none"/>
              </w:rPr>
              <w:t>5</w:t>
            </w:r>
            <w:r>
              <w:rPr>
                <w:color w:val="auto"/>
                <w:szCs w:val="21"/>
                <w:highlight w:val="none"/>
              </w:rPr>
              <w:t>．</w:t>
            </w:r>
            <w:r>
              <w:rPr>
                <w:rFonts w:hint="eastAsia" w:ascii="Times New Roman" w:hAnsi="Times New Roman"/>
                <w:color w:val="auto"/>
                <w:sz w:val="21"/>
                <w:highlight w:val="none"/>
              </w:rPr>
              <w:t>本招标文件所称的“以上”“以下”“以内”“届满”，包括本数；所称的“不满”“超过”“以外”，不包括本数。</w:t>
            </w:r>
          </w:p>
        </w:tc>
      </w:tr>
    </w:tbl>
    <w:p w14:paraId="30F8DD13">
      <w:pPr>
        <w:spacing w:before="240" w:after="240" w:line="400" w:lineRule="exact"/>
        <w:jc w:val="center"/>
        <w:outlineLvl w:val="1"/>
        <w:rPr>
          <w:b/>
          <w:color w:val="auto"/>
          <w:sz w:val="28"/>
          <w:szCs w:val="28"/>
          <w:highlight w:val="none"/>
        </w:rPr>
      </w:pPr>
      <w:r>
        <w:rPr>
          <w:rFonts w:ascii="宋体" w:hAnsi="宋体"/>
          <w:b/>
          <w:color w:val="auto"/>
          <w:sz w:val="32"/>
          <w:szCs w:val="32"/>
          <w:highlight w:val="none"/>
        </w:rPr>
        <w:br w:type="page"/>
      </w:r>
      <w:r>
        <w:rPr>
          <w:b/>
          <w:color w:val="auto"/>
          <w:sz w:val="28"/>
          <w:szCs w:val="28"/>
          <w:highlight w:val="none"/>
        </w:rPr>
        <w:t>供应商须知正文</w:t>
      </w:r>
    </w:p>
    <w:p w14:paraId="301BA245">
      <w:pPr>
        <w:spacing w:before="240" w:line="400" w:lineRule="exact"/>
        <w:jc w:val="center"/>
        <w:outlineLvl w:val="2"/>
        <w:rPr>
          <w:b/>
          <w:color w:val="auto"/>
          <w:sz w:val="24"/>
          <w:highlight w:val="none"/>
        </w:rPr>
      </w:pPr>
      <w:r>
        <w:rPr>
          <w:b/>
          <w:color w:val="auto"/>
          <w:sz w:val="24"/>
          <w:highlight w:val="none"/>
        </w:rPr>
        <w:t>一、总则</w:t>
      </w:r>
    </w:p>
    <w:p w14:paraId="7EE4E363">
      <w:pPr>
        <w:spacing w:line="400" w:lineRule="exact"/>
        <w:rPr>
          <w:color w:val="auto"/>
          <w:szCs w:val="21"/>
          <w:highlight w:val="none"/>
        </w:rPr>
      </w:pPr>
    </w:p>
    <w:p w14:paraId="0D1BE60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color w:val="auto"/>
          <w:szCs w:val="21"/>
          <w:highlight w:val="none"/>
        </w:rPr>
      </w:pPr>
      <w:r>
        <w:rPr>
          <w:rFonts w:hint="eastAsia"/>
          <w:color w:val="auto"/>
          <w:szCs w:val="21"/>
          <w:highlight w:val="none"/>
        </w:rPr>
        <w:t>1．适用范围</w:t>
      </w:r>
    </w:p>
    <w:p w14:paraId="7D05CD6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color w:val="auto"/>
          <w:szCs w:val="21"/>
          <w:highlight w:val="none"/>
        </w:rPr>
      </w:pPr>
      <w:r>
        <w:rPr>
          <w:rFonts w:hint="eastAsia"/>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0F4F537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color w:val="auto"/>
          <w:szCs w:val="21"/>
          <w:highlight w:val="none"/>
        </w:rPr>
      </w:pPr>
      <w:r>
        <w:rPr>
          <w:rFonts w:hint="eastAsia"/>
          <w:color w:val="auto"/>
          <w:szCs w:val="21"/>
          <w:highlight w:val="none"/>
        </w:rPr>
        <w:t>1.2本招标文件适用于本项目的所有采购程序和环节（法律、法规另有规定的，从其规定）。</w:t>
      </w:r>
    </w:p>
    <w:p w14:paraId="4C11239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color w:val="auto"/>
          <w:szCs w:val="21"/>
          <w:highlight w:val="none"/>
        </w:rPr>
      </w:pPr>
      <w:r>
        <w:rPr>
          <w:rFonts w:hint="eastAsia"/>
          <w:color w:val="auto"/>
          <w:szCs w:val="21"/>
          <w:highlight w:val="none"/>
        </w:rPr>
        <w:t>2．定义</w:t>
      </w:r>
    </w:p>
    <w:p w14:paraId="6D0635D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color w:val="auto"/>
          <w:szCs w:val="21"/>
          <w:highlight w:val="none"/>
        </w:rPr>
      </w:pPr>
      <w:r>
        <w:rPr>
          <w:rFonts w:hint="eastAsia"/>
          <w:color w:val="auto"/>
          <w:szCs w:val="21"/>
          <w:highlight w:val="none"/>
        </w:rPr>
        <w:t>2.1“采购人”是指依法进行政府采购的国家机关、事业单位、团体组织。</w:t>
      </w:r>
    </w:p>
    <w:p w14:paraId="44BC906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color w:val="auto"/>
          <w:szCs w:val="21"/>
          <w:highlight w:val="none"/>
        </w:rPr>
      </w:pPr>
      <w:r>
        <w:rPr>
          <w:rFonts w:hint="eastAsia"/>
          <w:color w:val="auto"/>
          <w:szCs w:val="21"/>
          <w:highlight w:val="none"/>
        </w:rPr>
        <w:t>2.2“采购代理机构”是指政府采购集中采购机构和集中采购机构以外的采购代理机构。</w:t>
      </w:r>
    </w:p>
    <w:p w14:paraId="2CD5F25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color w:val="auto"/>
          <w:szCs w:val="21"/>
          <w:highlight w:val="none"/>
        </w:rPr>
      </w:pPr>
      <w:r>
        <w:rPr>
          <w:rFonts w:hint="eastAsia"/>
          <w:color w:val="auto"/>
          <w:szCs w:val="21"/>
          <w:highlight w:val="none"/>
        </w:rPr>
        <w:t>2.3“供应商”是指向采购人提供货物、工程或者服务的法人、其他组织或者自然人。</w:t>
      </w:r>
    </w:p>
    <w:p w14:paraId="4D9E27B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color w:val="auto"/>
          <w:szCs w:val="21"/>
          <w:highlight w:val="none"/>
        </w:rPr>
      </w:pPr>
      <w:r>
        <w:rPr>
          <w:rFonts w:hint="eastAsia"/>
          <w:color w:val="auto"/>
          <w:szCs w:val="21"/>
          <w:highlight w:val="none"/>
        </w:rPr>
        <w:t>2.4“投标人”是指响应招标、参加投标竞争的法人、其他组织或者自然人。</w:t>
      </w:r>
    </w:p>
    <w:p w14:paraId="61DA473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color w:val="auto"/>
          <w:szCs w:val="21"/>
          <w:highlight w:val="none"/>
        </w:rPr>
      </w:pPr>
      <w:r>
        <w:rPr>
          <w:rFonts w:hint="eastAsia"/>
          <w:color w:val="auto"/>
          <w:szCs w:val="21"/>
          <w:highlight w:val="none"/>
        </w:rPr>
        <w:t>2.5“服务”是指除货物和工程以外的其他政府采购对象。</w:t>
      </w:r>
    </w:p>
    <w:p w14:paraId="2510C16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color w:val="auto"/>
          <w:szCs w:val="21"/>
          <w:highlight w:val="none"/>
        </w:rPr>
      </w:pPr>
      <w:r>
        <w:rPr>
          <w:rFonts w:hint="eastAsia"/>
          <w:color w:val="auto"/>
          <w:szCs w:val="21"/>
          <w:highlight w:val="none"/>
        </w:rPr>
        <w:t>2.6“书面形式”是指合同书、信件和数据电文（包括电报、电传、传真、电子数据交换和电子邮件)等可以有形地表现所载内容的形式。</w:t>
      </w:r>
    </w:p>
    <w:p w14:paraId="2155537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color w:val="auto"/>
          <w:szCs w:val="21"/>
          <w:highlight w:val="none"/>
        </w:rPr>
      </w:pPr>
      <w:r>
        <w:rPr>
          <w:rFonts w:hint="eastAsia"/>
          <w:color w:val="auto"/>
          <w:szCs w:val="21"/>
          <w:highlight w:val="none"/>
        </w:rPr>
        <w:t>2.7“实质性要求”是指招标文件中已经指明不满足则投标无效的条款，或者不能负偏离的条款，或者采购需求中带“▲”的条款。</w:t>
      </w:r>
    </w:p>
    <w:p w14:paraId="0E9757C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color w:val="auto"/>
          <w:szCs w:val="21"/>
          <w:highlight w:val="none"/>
        </w:rPr>
      </w:pPr>
      <w:r>
        <w:rPr>
          <w:rFonts w:hint="eastAsia"/>
          <w:color w:val="auto"/>
          <w:szCs w:val="21"/>
          <w:highlight w:val="none"/>
        </w:rPr>
        <w:t>2.8“正偏离”，是指投标文件对招标文件“采购需求”中有关条款作出的响应优于条款要求并有利于采购人的情形。</w:t>
      </w:r>
    </w:p>
    <w:p w14:paraId="4DBF16E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color w:val="auto"/>
          <w:szCs w:val="21"/>
          <w:highlight w:val="none"/>
        </w:rPr>
      </w:pPr>
      <w:r>
        <w:rPr>
          <w:rFonts w:hint="eastAsia"/>
          <w:color w:val="auto"/>
          <w:szCs w:val="21"/>
          <w:highlight w:val="none"/>
        </w:rPr>
        <w:t>2.9“负偏离”，是指投标文件对招标文件“采购需求”中有关条款作出的响应不满足条款要求，导致采购人要求不能得到满足的情形。</w:t>
      </w:r>
    </w:p>
    <w:p w14:paraId="2A87CD5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color w:val="auto"/>
          <w:szCs w:val="21"/>
          <w:highlight w:val="none"/>
        </w:rPr>
      </w:pPr>
      <w:r>
        <w:rPr>
          <w:rFonts w:hint="eastAsia"/>
          <w:color w:val="auto"/>
          <w:szCs w:val="21"/>
          <w:highlight w:val="none"/>
        </w:rPr>
        <w:t>2.10“允许负偏离的条款”是指采购需求中的不属于“实质性要求”的条款。</w:t>
      </w:r>
    </w:p>
    <w:p w14:paraId="31746AB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color w:val="auto"/>
          <w:szCs w:val="21"/>
          <w:highlight w:val="none"/>
        </w:rPr>
      </w:pPr>
      <w:r>
        <w:rPr>
          <w:rFonts w:hint="eastAsia"/>
          <w:color w:val="auto"/>
          <w:szCs w:val="21"/>
          <w:highlight w:val="none"/>
        </w:rPr>
        <w:t>3．投标人的资格要求</w:t>
      </w:r>
    </w:p>
    <w:p w14:paraId="49A944D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color w:val="auto"/>
          <w:szCs w:val="21"/>
          <w:highlight w:val="none"/>
        </w:rPr>
      </w:pPr>
      <w:r>
        <w:rPr>
          <w:rFonts w:hint="eastAsia"/>
          <w:color w:val="auto"/>
          <w:szCs w:val="21"/>
          <w:highlight w:val="none"/>
        </w:rPr>
        <w:t>投标人的资格要求详见“投标人须知前附表”。</w:t>
      </w:r>
    </w:p>
    <w:p w14:paraId="4AD6E1F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color w:val="auto"/>
          <w:szCs w:val="21"/>
          <w:highlight w:val="none"/>
        </w:rPr>
      </w:pPr>
      <w:r>
        <w:rPr>
          <w:rFonts w:hint="eastAsia"/>
          <w:color w:val="auto"/>
          <w:szCs w:val="21"/>
          <w:highlight w:val="none"/>
        </w:rPr>
        <w:t>4．投标委托</w:t>
      </w:r>
    </w:p>
    <w:p w14:paraId="35A9DA5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color w:val="auto"/>
          <w:szCs w:val="21"/>
          <w:highlight w:val="none"/>
        </w:rPr>
      </w:pPr>
      <w:r>
        <w:rPr>
          <w:rFonts w:hint="eastAsia"/>
          <w:color w:val="auto"/>
          <w:szCs w:val="21"/>
          <w:highlight w:val="none"/>
        </w:rPr>
        <w:t>投标人代表参加投标活动过程中必须携带个人有效身份证件。如投标人代表不是法定代表人，须持有授权委托书。</w:t>
      </w:r>
    </w:p>
    <w:p w14:paraId="306A4F2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color w:val="auto"/>
          <w:szCs w:val="21"/>
          <w:highlight w:val="none"/>
        </w:rPr>
      </w:pPr>
      <w:r>
        <w:rPr>
          <w:rFonts w:hint="eastAsia"/>
          <w:color w:val="auto"/>
          <w:szCs w:val="21"/>
          <w:highlight w:val="none"/>
        </w:rPr>
        <w:t>5．投标费用</w:t>
      </w:r>
    </w:p>
    <w:p w14:paraId="1F759FE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color w:val="auto"/>
          <w:szCs w:val="21"/>
          <w:highlight w:val="none"/>
        </w:rPr>
      </w:pPr>
      <w:r>
        <w:rPr>
          <w:rFonts w:hint="eastAsia"/>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419F615B">
      <w:pPr>
        <w:pStyle w:val="28"/>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color w:val="auto"/>
          <w:kern w:val="2"/>
          <w:sz w:val="21"/>
          <w:szCs w:val="21"/>
          <w:highlight w:val="none"/>
          <w:lang w:val="en-US" w:eastAsia="zh-CN" w:bidi="ar-SA"/>
        </w:rPr>
      </w:pPr>
      <w:r>
        <w:rPr>
          <w:rFonts w:hint="eastAsia" w:ascii="Times New Roman" w:hAnsi="Times New Roman" w:eastAsia="宋体" w:cs="Times New Roman"/>
          <w:b w:val="0"/>
          <w:color w:val="auto"/>
          <w:kern w:val="2"/>
          <w:sz w:val="21"/>
          <w:szCs w:val="21"/>
          <w:highlight w:val="none"/>
          <w:lang w:val="en-US" w:eastAsia="zh-CN" w:bidi="ar-SA"/>
        </w:rPr>
        <w:t>6．联合体投标</w:t>
      </w:r>
    </w:p>
    <w:p w14:paraId="466AD5D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6.1本项目是否接受联合体投标，详见“投标人须知前附表”。</w:t>
      </w:r>
    </w:p>
    <w:p w14:paraId="2644C88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6.2如接受联合体投标，联合体投标要求详见“投标人须知前附表”。</w:t>
      </w:r>
    </w:p>
    <w:p w14:paraId="246D939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6.3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0503D5F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7</w:t>
      </w:r>
      <w:r>
        <w:rPr>
          <w:rFonts w:hint="eastAsia" w:ascii="Times New Roman" w:hAnsi="Times New Roman" w:eastAsia="宋体" w:cs="Times New Roman"/>
          <w:b w:val="0"/>
          <w:color w:val="auto"/>
          <w:kern w:val="2"/>
          <w:sz w:val="21"/>
          <w:szCs w:val="21"/>
          <w:highlight w:val="none"/>
          <w:lang w:val="en-US" w:eastAsia="zh-CN" w:bidi="ar-SA"/>
        </w:rPr>
        <w:t>．</w:t>
      </w:r>
      <w:r>
        <w:rPr>
          <w:rFonts w:hint="default" w:ascii="Times New Roman" w:hAnsi="Times New Roman" w:eastAsia="宋体" w:cs="Times New Roman"/>
          <w:b w:val="0"/>
          <w:color w:val="auto"/>
          <w:kern w:val="2"/>
          <w:sz w:val="21"/>
          <w:szCs w:val="21"/>
          <w:highlight w:val="none"/>
          <w:lang w:val="en-US" w:eastAsia="zh-CN" w:bidi="ar-SA"/>
        </w:rPr>
        <w:t>转包与分包</w:t>
      </w:r>
    </w:p>
    <w:p w14:paraId="5C338B0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7.1本项目不允许转包。</w:t>
      </w:r>
    </w:p>
    <w:p w14:paraId="47533CC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0E712BF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12E469E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8</w:t>
      </w:r>
      <w:r>
        <w:rPr>
          <w:rFonts w:hint="eastAsia" w:ascii="Times New Roman" w:hAnsi="Times New Roman" w:eastAsia="宋体" w:cs="Times New Roman"/>
          <w:b w:val="0"/>
          <w:color w:val="auto"/>
          <w:kern w:val="2"/>
          <w:sz w:val="21"/>
          <w:szCs w:val="21"/>
          <w:highlight w:val="none"/>
          <w:lang w:val="en-US" w:eastAsia="zh-CN" w:bidi="ar-SA"/>
        </w:rPr>
        <w:t>．</w:t>
      </w:r>
      <w:r>
        <w:rPr>
          <w:rFonts w:hint="default" w:ascii="Times New Roman" w:hAnsi="Times New Roman" w:eastAsia="宋体" w:cs="Times New Roman"/>
          <w:b w:val="0"/>
          <w:color w:val="auto"/>
          <w:kern w:val="2"/>
          <w:sz w:val="21"/>
          <w:szCs w:val="21"/>
          <w:highlight w:val="none"/>
          <w:lang w:val="en-US" w:eastAsia="zh-CN" w:bidi="ar-SA"/>
        </w:rPr>
        <w:t>特别说明</w:t>
      </w:r>
    </w:p>
    <w:p w14:paraId="1869B75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8.1如果本招标文件要求提供投标人或制造商的资格、信誉、荣誉、业绩与企业认证等材料的，资格、信誉、荣誉、业绩与企业认证等必须为投标人或者制造商所拥有或自身获得。</w:t>
      </w:r>
    </w:p>
    <w:p w14:paraId="620EB6D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8.2投标人应仔细阅读招标文件的所有内容，按照招标文件的要求提交投标文件，并对所提供的全部资料的真实性承担法律责任。</w:t>
      </w:r>
    </w:p>
    <w:p w14:paraId="016E302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8.3投标人在投标活动中提供任何虚假材料，将报监管部门查处；中标后发现的，中标人须依照《中华人民共和国消费者权益保护法》规定赔偿采购人，且民事赔偿并不免除违法投标人的行政与刑事责任。</w:t>
      </w:r>
    </w:p>
    <w:p w14:paraId="77D1C9E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9</w:t>
      </w:r>
      <w:r>
        <w:rPr>
          <w:rFonts w:hint="eastAsia" w:ascii="Times New Roman" w:hAnsi="Times New Roman" w:eastAsia="宋体" w:cs="Times New Roman"/>
          <w:b w:val="0"/>
          <w:color w:val="auto"/>
          <w:kern w:val="2"/>
          <w:sz w:val="21"/>
          <w:szCs w:val="21"/>
          <w:highlight w:val="none"/>
          <w:lang w:val="en-US" w:eastAsia="zh-CN" w:bidi="ar-SA"/>
        </w:rPr>
        <w:t>．</w:t>
      </w:r>
      <w:r>
        <w:rPr>
          <w:rFonts w:hint="default" w:ascii="Times New Roman" w:hAnsi="Times New Roman" w:eastAsia="宋体" w:cs="Times New Roman"/>
          <w:b w:val="0"/>
          <w:color w:val="auto"/>
          <w:kern w:val="2"/>
          <w:sz w:val="21"/>
          <w:szCs w:val="21"/>
          <w:highlight w:val="none"/>
          <w:lang w:val="en-US" w:eastAsia="zh-CN" w:bidi="ar-SA"/>
        </w:rPr>
        <w:t>回避与串通投标</w:t>
      </w:r>
    </w:p>
    <w:p w14:paraId="4DCD02B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9.1在政府采购活动中，采购人员及相关人员与供应商有下列利害关系之一的，应当回避：</w:t>
      </w:r>
    </w:p>
    <w:p w14:paraId="01A2989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（1）</w:t>
      </w:r>
      <w:r>
        <w:rPr>
          <w:rFonts w:hint="default" w:ascii="Times New Roman" w:hAnsi="Times New Roman" w:eastAsia="宋体" w:cs="Times New Roman"/>
          <w:b w:val="0"/>
          <w:color w:val="auto"/>
          <w:kern w:val="2"/>
          <w:sz w:val="21"/>
          <w:szCs w:val="21"/>
          <w:highlight w:val="none"/>
          <w:lang w:val="en-US" w:eastAsia="zh-CN" w:bidi="ar-SA"/>
        </w:rPr>
        <w:t>参加采购活动前3年内与供应商存在劳动关系；</w:t>
      </w:r>
    </w:p>
    <w:p w14:paraId="2BC276A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（2）</w:t>
      </w:r>
      <w:r>
        <w:rPr>
          <w:rFonts w:hint="default" w:ascii="Times New Roman" w:hAnsi="Times New Roman" w:eastAsia="宋体" w:cs="Times New Roman"/>
          <w:b w:val="0"/>
          <w:color w:val="auto"/>
          <w:kern w:val="2"/>
          <w:sz w:val="21"/>
          <w:szCs w:val="21"/>
          <w:highlight w:val="none"/>
          <w:lang w:val="en-US" w:eastAsia="zh-CN" w:bidi="ar-SA"/>
        </w:rPr>
        <w:t>参加采购活动前3年内担任供应商的董事、监事；</w:t>
      </w:r>
    </w:p>
    <w:p w14:paraId="178DEA2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（3）</w:t>
      </w:r>
      <w:r>
        <w:rPr>
          <w:rFonts w:hint="default" w:ascii="Times New Roman" w:hAnsi="Times New Roman" w:eastAsia="宋体" w:cs="Times New Roman"/>
          <w:b w:val="0"/>
          <w:color w:val="auto"/>
          <w:kern w:val="2"/>
          <w:sz w:val="21"/>
          <w:szCs w:val="21"/>
          <w:highlight w:val="none"/>
          <w:lang w:val="en-US" w:eastAsia="zh-CN" w:bidi="ar-SA"/>
        </w:rPr>
        <w:t>参加采购活动前3年内是供应商的控股股东或者实际控制人：</w:t>
      </w:r>
    </w:p>
    <w:p w14:paraId="462A2B0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（4）</w:t>
      </w:r>
      <w:r>
        <w:rPr>
          <w:rFonts w:hint="default" w:ascii="Times New Roman" w:hAnsi="Times New Roman" w:eastAsia="宋体" w:cs="Times New Roman"/>
          <w:b w:val="0"/>
          <w:color w:val="auto"/>
          <w:kern w:val="2"/>
          <w:sz w:val="21"/>
          <w:szCs w:val="21"/>
          <w:highlight w:val="none"/>
          <w:lang w:val="en-US" w:eastAsia="zh-CN" w:bidi="ar-SA"/>
        </w:rPr>
        <w:t>与供应商的法定代表人或者负责人有夫妻、直系血亲、三代以内旁系血亲或者近姻亲关系：</w:t>
      </w:r>
    </w:p>
    <w:p w14:paraId="2F89D5E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（5）</w:t>
      </w:r>
      <w:r>
        <w:rPr>
          <w:rFonts w:hint="default" w:ascii="Times New Roman" w:hAnsi="Times New Roman" w:eastAsia="宋体" w:cs="Times New Roman"/>
          <w:b w:val="0"/>
          <w:color w:val="auto"/>
          <w:kern w:val="2"/>
          <w:sz w:val="21"/>
          <w:szCs w:val="21"/>
          <w:highlight w:val="none"/>
          <w:lang w:val="en-US" w:eastAsia="zh-CN" w:bidi="ar-SA"/>
        </w:rPr>
        <w:t>与供应商有其他可能影响政府采购活动公平、公正进行的关系。</w:t>
      </w:r>
    </w:p>
    <w:p w14:paraId="6EE780E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供应商认为采购人员及相关人员与其他供应商有利害关系的，可以向采购人或者采购代理机构书面提出回避申请，并说明理由。采购人或者采购代理机构应当及时询问被申请回避</w:t>
      </w:r>
      <w:r>
        <w:rPr>
          <w:rFonts w:hint="default" w:ascii="Times New Roman" w:hAnsi="Times New Roman" w:eastAsia="宋体" w:cs="Times New Roman"/>
          <w:b w:val="0"/>
          <w:kern w:val="2"/>
          <w:sz w:val="21"/>
          <w:szCs w:val="21"/>
          <w:highlight w:val="none"/>
          <w:lang w:val="en-US" w:eastAsia="zh-CN" w:bidi="ar-SA"/>
        </w:rPr>
        <w:t>人员，有利害关系的被申请回避人员应当回避。</w:t>
      </w:r>
    </w:p>
    <w:p w14:paraId="5C40A70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eastAsia="宋体" w:cs="Times New Roman"/>
          <w:b w:val="0"/>
          <w:kern w:val="2"/>
          <w:sz w:val="21"/>
          <w:szCs w:val="21"/>
          <w:highlight w:val="none"/>
          <w:lang w:val="en-US" w:eastAsia="zh-CN" w:bidi="ar-SA"/>
        </w:rPr>
        <w:t>9.2有下列情形之一的视为投标人相互串通投标，投标文件将被视为无效：</w:t>
      </w:r>
    </w:p>
    <w:p w14:paraId="6F12B0A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（1）</w:t>
      </w:r>
      <w:r>
        <w:rPr>
          <w:rFonts w:hint="default" w:ascii="Times New Roman" w:hAnsi="Times New Roman" w:eastAsia="宋体" w:cs="Times New Roman"/>
          <w:b w:val="0"/>
          <w:kern w:val="2"/>
          <w:sz w:val="21"/>
          <w:szCs w:val="21"/>
          <w:highlight w:val="none"/>
          <w:lang w:val="en-US" w:eastAsia="zh-CN" w:bidi="ar-SA"/>
        </w:rPr>
        <w:t>不同投标人的投标文件由同一单位或者个人编制；</w:t>
      </w:r>
    </w:p>
    <w:p w14:paraId="3EF76C9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（2）</w:t>
      </w:r>
      <w:r>
        <w:rPr>
          <w:rFonts w:hint="default" w:ascii="Times New Roman" w:hAnsi="Times New Roman" w:eastAsia="宋体" w:cs="Times New Roman"/>
          <w:b w:val="0"/>
          <w:kern w:val="2"/>
          <w:sz w:val="21"/>
          <w:szCs w:val="21"/>
          <w:highlight w:val="none"/>
          <w:lang w:val="en-US" w:eastAsia="zh-CN" w:bidi="ar-SA"/>
        </w:rPr>
        <w:t>不同投标人委托同一单位或者个人办理投标事宜；</w:t>
      </w:r>
    </w:p>
    <w:p w14:paraId="2D8AEC3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（3）</w:t>
      </w:r>
      <w:r>
        <w:rPr>
          <w:rFonts w:hint="default" w:ascii="Times New Roman" w:hAnsi="Times New Roman" w:eastAsia="宋体" w:cs="Times New Roman"/>
          <w:b w:val="0"/>
          <w:kern w:val="2"/>
          <w:sz w:val="21"/>
          <w:szCs w:val="21"/>
          <w:highlight w:val="none"/>
          <w:lang w:val="en-US" w:eastAsia="zh-CN" w:bidi="ar-SA"/>
        </w:rPr>
        <w:t>不同的投标人的投标文件载明的项目管理员为同一个人；</w:t>
      </w:r>
    </w:p>
    <w:p w14:paraId="6E8C440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（4）</w:t>
      </w:r>
      <w:r>
        <w:rPr>
          <w:rFonts w:hint="default" w:ascii="Times New Roman" w:hAnsi="Times New Roman" w:eastAsia="宋体" w:cs="Times New Roman"/>
          <w:b w:val="0"/>
          <w:kern w:val="2"/>
          <w:sz w:val="21"/>
          <w:szCs w:val="21"/>
          <w:highlight w:val="none"/>
          <w:lang w:val="en-US" w:eastAsia="zh-CN" w:bidi="ar-SA"/>
        </w:rPr>
        <w:t>不同投标人的投标文件异常一致或者投标报价呈规律性差异；</w:t>
      </w:r>
    </w:p>
    <w:p w14:paraId="7C01AA7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（5）</w:t>
      </w:r>
      <w:r>
        <w:rPr>
          <w:rFonts w:hint="default" w:ascii="Times New Roman" w:hAnsi="Times New Roman" w:eastAsia="宋体" w:cs="Times New Roman"/>
          <w:b w:val="0"/>
          <w:kern w:val="2"/>
          <w:sz w:val="21"/>
          <w:szCs w:val="21"/>
          <w:highlight w:val="none"/>
          <w:lang w:val="en-US" w:eastAsia="zh-CN" w:bidi="ar-SA"/>
        </w:rPr>
        <w:t>不同投标人的投标文件相互混装；</w:t>
      </w:r>
    </w:p>
    <w:p w14:paraId="0F78A50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（6）</w:t>
      </w:r>
      <w:r>
        <w:rPr>
          <w:rFonts w:hint="default" w:ascii="Times New Roman" w:hAnsi="Times New Roman" w:eastAsia="宋体" w:cs="Times New Roman"/>
          <w:b w:val="0"/>
          <w:kern w:val="2"/>
          <w:sz w:val="21"/>
          <w:szCs w:val="21"/>
          <w:highlight w:val="none"/>
          <w:lang w:val="en-US" w:eastAsia="zh-CN" w:bidi="ar-SA"/>
        </w:rPr>
        <w:t>不同投标人的投标保证金从同一单位或者个人账户转出。</w:t>
      </w:r>
    </w:p>
    <w:p w14:paraId="47FCF34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eastAsia="宋体" w:cs="Times New Roman"/>
          <w:b w:val="0"/>
          <w:kern w:val="2"/>
          <w:sz w:val="21"/>
          <w:szCs w:val="21"/>
          <w:highlight w:val="none"/>
          <w:lang w:val="en-US" w:eastAsia="zh-CN" w:bidi="ar-SA"/>
        </w:rPr>
        <w:t>9.3供应商有下列情形之一的，属于恶意串通行为，将报同级监督管理部门：</w:t>
      </w:r>
    </w:p>
    <w:p w14:paraId="245B6E4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（1）</w:t>
      </w:r>
      <w:r>
        <w:rPr>
          <w:rFonts w:hint="default" w:ascii="Times New Roman" w:hAnsi="Times New Roman" w:eastAsia="宋体" w:cs="Times New Roman"/>
          <w:b w:val="0"/>
          <w:kern w:val="2"/>
          <w:sz w:val="21"/>
          <w:szCs w:val="21"/>
          <w:highlight w:val="none"/>
          <w:lang w:val="en-US" w:eastAsia="zh-CN" w:bidi="ar-SA"/>
        </w:rPr>
        <w:t>供应商直接或者间接从采购人或者采购代理机构处获得其他供应商的相关信息并修改其投标文件或者响应文件：</w:t>
      </w:r>
    </w:p>
    <w:p w14:paraId="60A3770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（2）</w:t>
      </w:r>
      <w:r>
        <w:rPr>
          <w:rFonts w:hint="default" w:ascii="Times New Roman" w:hAnsi="Times New Roman" w:eastAsia="宋体" w:cs="Times New Roman"/>
          <w:b w:val="0"/>
          <w:kern w:val="2"/>
          <w:sz w:val="21"/>
          <w:szCs w:val="21"/>
          <w:highlight w:val="none"/>
          <w:lang w:val="en-US" w:eastAsia="zh-CN" w:bidi="ar-SA"/>
        </w:rPr>
        <w:t>供应商按照采购人或者采购代理机构的授意撤换、修改投标文件或者响应文件；</w:t>
      </w:r>
    </w:p>
    <w:p w14:paraId="14C7017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（3）</w:t>
      </w:r>
      <w:r>
        <w:rPr>
          <w:rFonts w:hint="default" w:ascii="Times New Roman" w:hAnsi="Times New Roman" w:eastAsia="宋体" w:cs="Times New Roman"/>
          <w:b w:val="0"/>
          <w:kern w:val="2"/>
          <w:sz w:val="21"/>
          <w:szCs w:val="21"/>
          <w:highlight w:val="none"/>
          <w:lang w:val="en-US" w:eastAsia="zh-CN" w:bidi="ar-SA"/>
        </w:rPr>
        <w:t>供应商之间协商报价、技术方案等投标文件或者响应文件的实质性内容：</w:t>
      </w:r>
    </w:p>
    <w:p w14:paraId="1E3144A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（4）</w:t>
      </w:r>
      <w:r>
        <w:rPr>
          <w:rFonts w:hint="default" w:ascii="Times New Roman" w:hAnsi="Times New Roman" w:eastAsia="宋体" w:cs="Times New Roman"/>
          <w:b w:val="0"/>
          <w:kern w:val="2"/>
          <w:sz w:val="21"/>
          <w:szCs w:val="21"/>
          <w:highlight w:val="none"/>
          <w:lang w:val="en-US" w:eastAsia="zh-CN" w:bidi="ar-SA"/>
        </w:rPr>
        <w:t>属于同一集团、协会、商会等组织成员的供应商按照该组织要求协同参加政府采购活动；</w:t>
      </w:r>
    </w:p>
    <w:p w14:paraId="10AA71B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（5）</w:t>
      </w:r>
      <w:r>
        <w:rPr>
          <w:rFonts w:hint="default" w:ascii="Times New Roman" w:hAnsi="Times New Roman" w:eastAsia="宋体" w:cs="Times New Roman"/>
          <w:b w:val="0"/>
          <w:kern w:val="2"/>
          <w:sz w:val="21"/>
          <w:szCs w:val="21"/>
          <w:highlight w:val="none"/>
          <w:lang w:val="en-US" w:eastAsia="zh-CN" w:bidi="ar-SA"/>
        </w:rPr>
        <w:t>供应商之间事先约定一致抬高或者压低投标报价，或者在招标项目中事先约定轮流以高价位或者低价位中标，或者事先约定由某一特定供应商中标，然后再参加投标：</w:t>
      </w:r>
    </w:p>
    <w:p w14:paraId="1AB81D9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（6）</w:t>
      </w:r>
      <w:r>
        <w:rPr>
          <w:rFonts w:hint="default" w:ascii="Times New Roman" w:hAnsi="Times New Roman" w:eastAsia="宋体" w:cs="Times New Roman"/>
          <w:b w:val="0"/>
          <w:kern w:val="2"/>
          <w:sz w:val="21"/>
          <w:szCs w:val="21"/>
          <w:highlight w:val="none"/>
          <w:lang w:val="en-US" w:eastAsia="zh-CN" w:bidi="ar-SA"/>
        </w:rPr>
        <w:t>供应商之间商定部分供应商放弃参加政府采购活动或者放弃中标：</w:t>
      </w:r>
    </w:p>
    <w:p w14:paraId="47FCE4E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（7）</w:t>
      </w:r>
      <w:r>
        <w:rPr>
          <w:rFonts w:hint="default" w:ascii="Times New Roman" w:hAnsi="Times New Roman" w:eastAsia="宋体" w:cs="Times New Roman"/>
          <w:b w:val="0"/>
          <w:kern w:val="2"/>
          <w:sz w:val="21"/>
          <w:szCs w:val="21"/>
          <w:highlight w:val="none"/>
          <w:lang w:val="en-US" w:eastAsia="zh-CN" w:bidi="ar-SA"/>
        </w:rPr>
        <w:t>供应商与采购人或者采购代理机构之间、供应商相互之间，为谋求特定供应商中标或者排斥其他供应商的其他串通行为。</w:t>
      </w:r>
    </w:p>
    <w:p w14:paraId="1649DA1B">
      <w:pPr>
        <w:rPr>
          <w:b/>
          <w:bCs/>
          <w:sz w:val="24"/>
          <w:highlight w:val="none"/>
        </w:rPr>
      </w:pPr>
      <w:bookmarkStart w:id="47" w:name="_Toc254970675"/>
      <w:bookmarkStart w:id="48" w:name="_Toc254970534"/>
    </w:p>
    <w:p w14:paraId="6F8A7E7A">
      <w:pPr>
        <w:spacing w:before="156" w:beforeLines="50" w:after="156" w:afterLines="50" w:line="360" w:lineRule="auto"/>
        <w:jc w:val="center"/>
        <w:outlineLvl w:val="2"/>
        <w:rPr>
          <w:b/>
          <w:bCs/>
          <w:sz w:val="24"/>
          <w:highlight w:val="none"/>
        </w:rPr>
      </w:pPr>
      <w:r>
        <w:rPr>
          <w:b/>
          <w:bCs/>
          <w:sz w:val="24"/>
          <w:highlight w:val="none"/>
        </w:rPr>
        <w:t>二、</w:t>
      </w:r>
      <w:r>
        <w:rPr>
          <w:rFonts w:hint="eastAsia"/>
          <w:b/>
          <w:bCs/>
          <w:sz w:val="24"/>
          <w:highlight w:val="none"/>
          <w:lang w:eastAsia="zh-CN"/>
        </w:rPr>
        <w:t>招标</w:t>
      </w:r>
      <w:r>
        <w:rPr>
          <w:b/>
          <w:bCs/>
          <w:sz w:val="24"/>
          <w:highlight w:val="none"/>
        </w:rPr>
        <w:t>文件</w:t>
      </w:r>
      <w:bookmarkEnd w:id="47"/>
      <w:bookmarkEnd w:id="48"/>
    </w:p>
    <w:p w14:paraId="3677D3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10．招标文件的组成</w:t>
      </w:r>
    </w:p>
    <w:p w14:paraId="6320DA7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（1）</w:t>
      </w:r>
      <w:r>
        <w:rPr>
          <w:rFonts w:hint="eastAsia" w:ascii="Times New Roman" w:hAnsi="Times New Roman" w:eastAsia="宋体" w:cs="Times New Roman"/>
          <w:b w:val="0"/>
          <w:kern w:val="2"/>
          <w:sz w:val="21"/>
          <w:szCs w:val="21"/>
          <w:highlight w:val="none"/>
          <w:lang w:val="en-US" w:eastAsia="zh-CN" w:bidi="ar-SA"/>
        </w:rPr>
        <w:t>招标公告：</w:t>
      </w:r>
    </w:p>
    <w:p w14:paraId="316CBD4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（2）</w:t>
      </w:r>
      <w:r>
        <w:rPr>
          <w:rFonts w:hint="eastAsia" w:ascii="Times New Roman" w:hAnsi="Times New Roman" w:eastAsia="宋体" w:cs="Times New Roman"/>
          <w:b w:val="0"/>
          <w:kern w:val="2"/>
          <w:sz w:val="21"/>
          <w:szCs w:val="21"/>
          <w:highlight w:val="none"/>
          <w:lang w:val="en-US" w:eastAsia="zh-CN" w:bidi="ar-SA"/>
        </w:rPr>
        <w:t>采购需求：</w:t>
      </w:r>
    </w:p>
    <w:p w14:paraId="465C99F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（3）</w:t>
      </w:r>
      <w:r>
        <w:rPr>
          <w:rFonts w:hint="eastAsia" w:ascii="Times New Roman" w:hAnsi="Times New Roman" w:eastAsia="宋体" w:cs="Times New Roman"/>
          <w:b w:val="0"/>
          <w:kern w:val="2"/>
          <w:sz w:val="21"/>
          <w:szCs w:val="21"/>
          <w:highlight w:val="none"/>
          <w:lang w:val="en-US" w:eastAsia="zh-CN" w:bidi="ar-SA"/>
        </w:rPr>
        <w:t>投标人须知：</w:t>
      </w:r>
    </w:p>
    <w:p w14:paraId="4343DE3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（4）</w:t>
      </w:r>
      <w:r>
        <w:rPr>
          <w:rFonts w:hint="eastAsia" w:ascii="Times New Roman" w:hAnsi="Times New Roman" w:eastAsia="宋体" w:cs="Times New Roman"/>
          <w:b w:val="0"/>
          <w:kern w:val="2"/>
          <w:sz w:val="21"/>
          <w:szCs w:val="21"/>
          <w:highlight w:val="none"/>
          <w:lang w:val="en-US" w:eastAsia="zh-CN" w:bidi="ar-SA"/>
        </w:rPr>
        <w:t>评标方法及评标标准：</w:t>
      </w:r>
    </w:p>
    <w:p w14:paraId="59EDAB4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（5）</w:t>
      </w:r>
      <w:r>
        <w:rPr>
          <w:rFonts w:hint="eastAsia" w:ascii="Times New Roman" w:hAnsi="Times New Roman" w:eastAsia="宋体" w:cs="Times New Roman"/>
          <w:b w:val="0"/>
          <w:kern w:val="2"/>
          <w:sz w:val="21"/>
          <w:szCs w:val="21"/>
          <w:highlight w:val="none"/>
          <w:lang w:val="en-US" w:eastAsia="zh-CN" w:bidi="ar-SA"/>
        </w:rPr>
        <w:t>拟签订的合同文本：</w:t>
      </w:r>
    </w:p>
    <w:p w14:paraId="2C0796D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（6）</w:t>
      </w:r>
      <w:r>
        <w:rPr>
          <w:rFonts w:hint="eastAsia" w:ascii="Times New Roman" w:hAnsi="Times New Roman" w:eastAsia="宋体" w:cs="Times New Roman"/>
          <w:b w:val="0"/>
          <w:kern w:val="2"/>
          <w:sz w:val="21"/>
          <w:szCs w:val="21"/>
          <w:highlight w:val="none"/>
          <w:lang w:val="en-US" w:eastAsia="zh-CN" w:bidi="ar-SA"/>
        </w:rPr>
        <w:t>投标文件格式。</w:t>
      </w:r>
    </w:p>
    <w:p w14:paraId="24DBD5E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11．招标文件的澄清、修改、现场考察和答疑会</w:t>
      </w:r>
    </w:p>
    <w:p w14:paraId="46223E2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3714313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A29AFD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11.2采购人或者采购代理机构可以在招标文件提供期限截止后，组织已获取招标文件的潜在投标人现场考察或者召开开标前答疑会，具体详见</w:t>
      </w:r>
      <w:r>
        <w:rPr>
          <w:rFonts w:hint="default" w:ascii="Times New Roman" w:hAnsi="Times New Roman" w:eastAsia="宋体"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投标人须知前附表</w:t>
      </w:r>
      <w:r>
        <w:rPr>
          <w:rFonts w:hint="default" w:ascii="Times New Roman" w:hAnsi="Times New Roman" w:eastAsia="宋体"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w:t>
      </w:r>
    </w:p>
    <w:p w14:paraId="14EC4F49">
      <w:pPr>
        <w:spacing w:line="360" w:lineRule="auto"/>
        <w:ind w:firstLine="420" w:firstLineChars="200"/>
        <w:rPr>
          <w:szCs w:val="21"/>
          <w:highlight w:val="none"/>
        </w:rPr>
      </w:pPr>
    </w:p>
    <w:p w14:paraId="76ED0E6E">
      <w:pPr>
        <w:spacing w:before="156" w:beforeLines="50" w:after="156" w:afterLines="50" w:line="360" w:lineRule="auto"/>
        <w:jc w:val="center"/>
        <w:outlineLvl w:val="2"/>
        <w:rPr>
          <w:b/>
          <w:bCs/>
          <w:sz w:val="24"/>
          <w:highlight w:val="none"/>
        </w:rPr>
      </w:pPr>
      <w:r>
        <w:rPr>
          <w:b/>
          <w:bCs/>
          <w:sz w:val="24"/>
          <w:highlight w:val="none"/>
        </w:rPr>
        <w:t>三、</w:t>
      </w:r>
      <w:r>
        <w:rPr>
          <w:rFonts w:hint="eastAsia"/>
          <w:b/>
          <w:bCs/>
          <w:sz w:val="24"/>
          <w:highlight w:val="none"/>
          <w:lang w:eastAsia="zh-CN"/>
        </w:rPr>
        <w:t>投标</w:t>
      </w:r>
      <w:r>
        <w:rPr>
          <w:b/>
          <w:bCs/>
          <w:sz w:val="24"/>
          <w:highlight w:val="none"/>
        </w:rPr>
        <w:t>文件的编制</w:t>
      </w:r>
    </w:p>
    <w:p w14:paraId="355F31E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12．投标文件的编制原则</w:t>
      </w:r>
    </w:p>
    <w:p w14:paraId="32C3061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投标人必须按照招标文件的要求编制投标文件。投标文件必须对招标文件提出的要求和条件作出明确响应。</w:t>
      </w:r>
    </w:p>
    <w:p w14:paraId="631A757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13．投标文件的组成</w:t>
      </w:r>
    </w:p>
    <w:p w14:paraId="3E7C2A1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投标文件由资格证明文件、报价文件、商务及技术文件三部分组成。</w:t>
      </w:r>
    </w:p>
    <w:p w14:paraId="4FD282D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13.1</w:t>
      </w:r>
      <w:r>
        <w:rPr>
          <w:rFonts w:hint="eastAsia" w:ascii="Times New Roman" w:hAnsi="Times New Roman" w:eastAsia="宋体" w:cs="Times New Roman"/>
          <w:b w:val="0"/>
          <w:kern w:val="2"/>
          <w:sz w:val="21"/>
          <w:szCs w:val="21"/>
          <w:highlight w:val="none"/>
          <w:lang w:val="en-US" w:eastAsia="zh-CN" w:bidi="ar-SA"/>
        </w:rPr>
        <w:t>资格证明文件：具体材料见</w:t>
      </w:r>
      <w:r>
        <w:rPr>
          <w:rFonts w:hint="default" w:ascii="Times New Roman" w:hAnsi="Times New Roman" w:eastAsia="宋体"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投标人须知前附表</w:t>
      </w:r>
      <w:r>
        <w:rPr>
          <w:rFonts w:hint="default" w:ascii="Times New Roman" w:hAnsi="Times New Roman" w:eastAsia="宋体"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w:t>
      </w:r>
    </w:p>
    <w:p w14:paraId="5C95F4B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13.2</w:t>
      </w:r>
      <w:r>
        <w:rPr>
          <w:rFonts w:hint="eastAsia" w:ascii="Times New Roman" w:hAnsi="Times New Roman" w:eastAsia="宋体" w:cs="Times New Roman"/>
          <w:b w:val="0"/>
          <w:kern w:val="2"/>
          <w:sz w:val="21"/>
          <w:szCs w:val="21"/>
          <w:highlight w:val="none"/>
          <w:lang w:val="en-US" w:eastAsia="zh-CN" w:bidi="ar-SA"/>
        </w:rPr>
        <w:t>报价文件：具体材料见</w:t>
      </w:r>
      <w:r>
        <w:rPr>
          <w:rFonts w:hint="default" w:ascii="Times New Roman" w:hAnsi="Times New Roman" w:eastAsia="宋体"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投标人须知前附表</w:t>
      </w:r>
      <w:r>
        <w:rPr>
          <w:rFonts w:hint="default" w:ascii="Times New Roman" w:hAnsi="Times New Roman" w:eastAsia="宋体"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w:t>
      </w:r>
    </w:p>
    <w:p w14:paraId="39544CC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13.3</w:t>
      </w:r>
      <w:r>
        <w:rPr>
          <w:rFonts w:hint="eastAsia" w:ascii="Times New Roman" w:hAnsi="Times New Roman" w:eastAsia="宋体" w:cs="Times New Roman"/>
          <w:b w:val="0"/>
          <w:kern w:val="2"/>
          <w:sz w:val="21"/>
          <w:szCs w:val="21"/>
          <w:highlight w:val="none"/>
          <w:lang w:val="en-US" w:eastAsia="zh-CN" w:bidi="ar-SA"/>
        </w:rPr>
        <w:t>商务及技术文件：具体材料见</w:t>
      </w:r>
      <w:r>
        <w:rPr>
          <w:rFonts w:hint="default" w:ascii="Times New Roman" w:hAnsi="Times New Roman" w:eastAsia="宋体"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投标人须知前附表</w:t>
      </w:r>
      <w:r>
        <w:rPr>
          <w:rFonts w:hint="default" w:ascii="Times New Roman" w:hAnsi="Times New Roman" w:eastAsia="宋体"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w:t>
      </w:r>
    </w:p>
    <w:p w14:paraId="0864C73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14．投标文件的语言及计量</w:t>
      </w:r>
    </w:p>
    <w:p w14:paraId="312FBED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14.1语言文字</w:t>
      </w:r>
    </w:p>
    <w:p w14:paraId="26CD329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投标文件以及投标人与采购人就有关投标事宜的所有来往函电，均应以中文书写（除专用术语外，与招标投标有关的语言均使用中文。必要时专用术语应附有中文注释</w:t>
      </w:r>
      <w:r>
        <w:rPr>
          <w:rFonts w:hint="eastAsia"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。投标人提交的支持文件和印刷的文献可以使用别的语言，但其相应内容应同时附中文翻译文本，在解释投标文件时以中文翻译文本为主。对不同文字文本投标文件的解释发生异议的，以中文文本为准。</w:t>
      </w:r>
    </w:p>
    <w:p w14:paraId="2332768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14.2投标计量单位</w:t>
      </w:r>
    </w:p>
    <w:p w14:paraId="3906D23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招标文件已有明确规定的，使用招标文件规定的计量单位；招标文件没有规定的，应采用中华人民共和国法定计量单位，货币种类为人民币，否则视同未响应。</w:t>
      </w:r>
    </w:p>
    <w:p w14:paraId="4BC1EA3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15．投标的风险</w:t>
      </w:r>
    </w:p>
    <w:p w14:paraId="6C05A55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投标人没有按照招标文件要求提供全部资料，或者投标人没有对招标文件作出实质性响应是投标人的风险，并可能导致其投标被拒绝。</w:t>
      </w:r>
    </w:p>
    <w:p w14:paraId="1DB8D30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16．投标报价</w:t>
      </w:r>
    </w:p>
    <w:p w14:paraId="6E834DA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16.1投标报价应按</w:t>
      </w:r>
      <w:r>
        <w:rPr>
          <w:rFonts w:hint="default" w:ascii="Times New Roman" w:hAnsi="Times New Roman" w:eastAsia="宋体"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第六章投标文件格式</w:t>
      </w:r>
      <w:r>
        <w:rPr>
          <w:rFonts w:hint="default" w:ascii="Times New Roman" w:hAnsi="Times New Roman" w:eastAsia="宋体"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中</w:t>
      </w:r>
      <w:r>
        <w:rPr>
          <w:rFonts w:hint="default" w:ascii="Times New Roman" w:hAnsi="Times New Roman" w:eastAsia="宋体"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开标一览表</w:t>
      </w:r>
      <w:r>
        <w:rPr>
          <w:rFonts w:hint="default" w:ascii="Times New Roman" w:hAnsi="Times New Roman" w:eastAsia="宋体"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格式填写。</w:t>
      </w:r>
    </w:p>
    <w:p w14:paraId="356F25C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16.2投标报价具体包括内容详见</w:t>
      </w:r>
      <w:r>
        <w:rPr>
          <w:rFonts w:hint="default" w:ascii="Times New Roman" w:hAnsi="Times New Roman" w:eastAsia="宋体"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投标人须知前附表</w:t>
      </w:r>
      <w:r>
        <w:rPr>
          <w:rFonts w:hint="default" w:ascii="Times New Roman" w:hAnsi="Times New Roman" w:eastAsia="宋体"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w:t>
      </w:r>
    </w:p>
    <w:p w14:paraId="4DC3194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16.3投标人必须就所投每个分标的全部内容分别作完整唯一总价报价，不得存在漏项报价：投标人必须就所投分标的单项内容作唯一报价。</w:t>
      </w:r>
    </w:p>
    <w:p w14:paraId="557867F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17．投标有效期</w:t>
      </w:r>
    </w:p>
    <w:p w14:paraId="7011F49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17.1投标有效期是指为保证采购人有足够的时间在开标后完成评标、定标、合同签订等工作而要求投标人提交的投标文件在一定时间内保持有效的期限。</w:t>
      </w:r>
    </w:p>
    <w:p w14:paraId="3B21592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17.2投标有效期应按招标文件规定的期限作出承诺，具体详见</w:t>
      </w:r>
      <w:r>
        <w:rPr>
          <w:rFonts w:hint="default" w:ascii="Times New Roman" w:hAnsi="Times New Roman" w:eastAsia="宋体"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投标人须知前附表</w:t>
      </w:r>
      <w:r>
        <w:rPr>
          <w:rFonts w:hint="default" w:ascii="Times New Roman" w:hAnsi="Times New Roman" w:eastAsia="宋体"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。承诺的投标有效期低于招标文件规定期限的，按无效投标处理。</w:t>
      </w:r>
    </w:p>
    <w:p w14:paraId="6D67381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17.3投标人的投标文件在投标有效期内均保持有效。</w:t>
      </w:r>
    </w:p>
    <w:p w14:paraId="1D59A81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18．投标保证金</w:t>
      </w:r>
    </w:p>
    <w:p w14:paraId="44D1A1D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18.1投标人须按</w:t>
      </w:r>
      <w:r>
        <w:rPr>
          <w:rFonts w:hint="default" w:ascii="Times New Roman" w:hAnsi="Times New Roman" w:eastAsia="宋体"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投标人须知前附表</w:t>
      </w:r>
      <w:r>
        <w:rPr>
          <w:rFonts w:hint="default" w:ascii="Times New Roman" w:hAnsi="Times New Roman" w:eastAsia="宋体"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的规定提交投标保证金。</w:t>
      </w:r>
    </w:p>
    <w:p w14:paraId="7F37394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18.2投标保证金的退还</w:t>
      </w:r>
    </w:p>
    <w:p w14:paraId="664169E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未中标人的投标保证金自中标通知书发出之日起5个工作日内退还：中标人的投标保证金自政府采购合同签订之日起5个工作日内退还。</w:t>
      </w:r>
    </w:p>
    <w:p w14:paraId="6E1FA97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18.3除逾期退还投标保证金和终止招标的情形以外，投标保证金不计息。</w:t>
      </w:r>
    </w:p>
    <w:p w14:paraId="0CD6274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18.4投标人有下列情形之一的，投标保证金将不予退还：</w:t>
      </w:r>
    </w:p>
    <w:p w14:paraId="531A36A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（1）</w:t>
      </w:r>
      <w:r>
        <w:rPr>
          <w:rFonts w:hint="eastAsia" w:ascii="Times New Roman" w:hAnsi="Times New Roman" w:eastAsia="宋体" w:cs="Times New Roman"/>
          <w:b w:val="0"/>
          <w:kern w:val="2"/>
          <w:sz w:val="21"/>
          <w:szCs w:val="21"/>
          <w:highlight w:val="none"/>
          <w:lang w:val="en-US" w:eastAsia="zh-CN" w:bidi="ar-SA"/>
        </w:rPr>
        <w:t>投标人在投标有效期内撤销投标文件的</w:t>
      </w:r>
      <w:r>
        <w:rPr>
          <w:rFonts w:hint="eastAsia" w:cs="Times New Roman"/>
          <w:b w:val="0"/>
          <w:kern w:val="2"/>
          <w:sz w:val="21"/>
          <w:szCs w:val="21"/>
          <w:highlight w:val="none"/>
          <w:lang w:val="en-US" w:eastAsia="zh-CN" w:bidi="ar-SA"/>
        </w:rPr>
        <w:t>；</w:t>
      </w:r>
    </w:p>
    <w:p w14:paraId="54B8189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（2）</w:t>
      </w:r>
      <w:r>
        <w:rPr>
          <w:rFonts w:hint="eastAsia" w:ascii="Times New Roman" w:hAnsi="Times New Roman" w:eastAsia="宋体" w:cs="Times New Roman"/>
          <w:b w:val="0"/>
          <w:kern w:val="2"/>
          <w:sz w:val="21"/>
          <w:szCs w:val="21"/>
          <w:highlight w:val="none"/>
          <w:lang w:val="en-US" w:eastAsia="zh-CN" w:bidi="ar-SA"/>
        </w:rPr>
        <w:t>未按规定提交履约保证金的</w:t>
      </w:r>
      <w:r>
        <w:rPr>
          <w:rFonts w:hint="eastAsia" w:cs="Times New Roman"/>
          <w:b w:val="0"/>
          <w:kern w:val="2"/>
          <w:sz w:val="21"/>
          <w:szCs w:val="21"/>
          <w:highlight w:val="none"/>
          <w:lang w:val="en-US" w:eastAsia="zh-CN" w:bidi="ar-SA"/>
        </w:rPr>
        <w:t>；</w:t>
      </w:r>
    </w:p>
    <w:p w14:paraId="137BB0D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（3）</w:t>
      </w:r>
      <w:r>
        <w:rPr>
          <w:rFonts w:hint="eastAsia" w:ascii="Times New Roman" w:hAnsi="Times New Roman" w:eastAsia="宋体" w:cs="Times New Roman"/>
          <w:b w:val="0"/>
          <w:kern w:val="2"/>
          <w:sz w:val="21"/>
          <w:szCs w:val="21"/>
          <w:highlight w:val="none"/>
          <w:lang w:val="en-US" w:eastAsia="zh-CN" w:bidi="ar-SA"/>
        </w:rPr>
        <w:t>投标人在投标过程中弄虚作假，提供虚假材料的</w:t>
      </w:r>
      <w:r>
        <w:rPr>
          <w:rFonts w:hint="eastAsia" w:cs="Times New Roman"/>
          <w:b w:val="0"/>
          <w:kern w:val="2"/>
          <w:sz w:val="21"/>
          <w:szCs w:val="21"/>
          <w:highlight w:val="none"/>
          <w:lang w:val="en-US" w:eastAsia="zh-CN" w:bidi="ar-SA"/>
        </w:rPr>
        <w:t>；</w:t>
      </w:r>
    </w:p>
    <w:p w14:paraId="7F0AA69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（4）</w:t>
      </w:r>
      <w:r>
        <w:rPr>
          <w:rFonts w:hint="eastAsia" w:ascii="Times New Roman" w:hAnsi="Times New Roman" w:eastAsia="宋体" w:cs="Times New Roman"/>
          <w:b w:val="0"/>
          <w:kern w:val="2"/>
          <w:sz w:val="21"/>
          <w:szCs w:val="21"/>
          <w:highlight w:val="none"/>
          <w:lang w:val="en-US" w:eastAsia="zh-CN" w:bidi="ar-SA"/>
        </w:rPr>
        <w:t>中标人无正当理由不与采购人签订合同的</w:t>
      </w:r>
      <w:r>
        <w:rPr>
          <w:rFonts w:hint="eastAsia" w:cs="Times New Roman"/>
          <w:b w:val="0"/>
          <w:kern w:val="2"/>
          <w:sz w:val="21"/>
          <w:szCs w:val="21"/>
          <w:highlight w:val="none"/>
          <w:lang w:val="en-US" w:eastAsia="zh-CN" w:bidi="ar-SA"/>
        </w:rPr>
        <w:t>；</w:t>
      </w:r>
    </w:p>
    <w:p w14:paraId="755CEE7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（5）</w:t>
      </w:r>
      <w:r>
        <w:rPr>
          <w:rFonts w:hint="eastAsia" w:ascii="Times New Roman" w:hAnsi="Times New Roman" w:eastAsia="宋体" w:cs="Times New Roman"/>
          <w:b w:val="0"/>
          <w:kern w:val="2"/>
          <w:sz w:val="21"/>
          <w:szCs w:val="21"/>
          <w:highlight w:val="none"/>
          <w:lang w:val="en-US" w:eastAsia="zh-CN" w:bidi="ar-SA"/>
        </w:rPr>
        <w:t>投标人出现本章第9.2、9.3情形的</w:t>
      </w:r>
      <w:r>
        <w:rPr>
          <w:rFonts w:hint="eastAsia" w:cs="Times New Roman"/>
          <w:b w:val="0"/>
          <w:kern w:val="2"/>
          <w:sz w:val="21"/>
          <w:szCs w:val="21"/>
          <w:highlight w:val="none"/>
          <w:lang w:val="en-US" w:eastAsia="zh-CN" w:bidi="ar-SA"/>
        </w:rPr>
        <w:t>；</w:t>
      </w:r>
    </w:p>
    <w:p w14:paraId="5150249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（6）</w:t>
      </w:r>
      <w:r>
        <w:rPr>
          <w:rFonts w:hint="eastAsia" w:ascii="Times New Roman" w:hAnsi="Times New Roman" w:eastAsia="宋体" w:cs="Times New Roman"/>
          <w:b w:val="0"/>
          <w:kern w:val="2"/>
          <w:sz w:val="21"/>
          <w:szCs w:val="21"/>
          <w:highlight w:val="none"/>
          <w:lang w:val="en-US" w:eastAsia="zh-CN" w:bidi="ar-SA"/>
        </w:rPr>
        <w:t>法律法规规定的其他情形。</w:t>
      </w:r>
    </w:p>
    <w:p w14:paraId="0E8CA5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19．投标文件的编制</w:t>
      </w:r>
    </w:p>
    <w:p w14:paraId="640C7A0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19.1投标人应按照本项目招标文件规定的格式和顺序和广西政府采购云平台的要求编制并加密。投标文件内容不完整、编排混乱导致投标文件被误读、漏读或者查找不到相关内容的，由此引发的后果由投标人承担。</w:t>
      </w:r>
    </w:p>
    <w:p w14:paraId="630F6CD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19.2为确保网上操作合法、有效和安全，投标人应当在投标截止时间前完成在广西政府采购云平台的身份认证，确保在电子投标过程中能够对相关数据电文进行加密和使用电子签章。</w:t>
      </w:r>
    </w:p>
    <w:p w14:paraId="309F0C3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19.3投标文件须由投标人在规定位置签字（或者电子签名）、盖章（具体以投标人须知前附表或投标文件格式规定为准)，否则按无效投标处理。</w:t>
      </w:r>
    </w:p>
    <w:p w14:paraId="5A03A4F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否则按无效投标处理。</w:t>
      </w:r>
    </w:p>
    <w:p w14:paraId="630647D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0AEE410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20．电子备份投标文件</w:t>
      </w:r>
    </w:p>
    <w:p w14:paraId="53856B4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电子备份投标文件是指通过在线编制生成且后缀名为“bfbs”的文件，是否接受电子备份投标文件详见在</w:t>
      </w:r>
      <w:r>
        <w:rPr>
          <w:rFonts w:hint="default" w:ascii="Times New Roman" w:hAnsi="Times New Roman" w:eastAsia="宋体"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投标人须知前附表</w:t>
      </w:r>
      <w:r>
        <w:rPr>
          <w:rFonts w:hint="default" w:ascii="Times New Roman" w:hAnsi="Times New Roman" w:eastAsia="宋体"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w:t>
      </w:r>
    </w:p>
    <w:p w14:paraId="43A94A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21．投标文件的提交</w:t>
      </w:r>
    </w:p>
    <w:p w14:paraId="63A85B0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21.1投标人必须在</w:t>
      </w:r>
      <w:r>
        <w:rPr>
          <w:rFonts w:hint="default" w:ascii="Times New Roman" w:hAnsi="Times New Roman" w:eastAsia="宋体"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投标人须知前附表</w:t>
      </w:r>
      <w:r>
        <w:rPr>
          <w:rFonts w:hint="default" w:ascii="Times New Roman" w:hAnsi="Times New Roman" w:eastAsia="宋体"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规定的提交投标文件截止时间前将电子投标文件提交至投标地点。电子投标文件应在制作完成后，在投标截止时间前通过有效数字证书(CA认证锁)进行电子签章、加密，然后通过网络将加密的电子投标文件递交至广西政府采购云平台。</w:t>
      </w:r>
    </w:p>
    <w:p w14:paraId="01F12E5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21.2未在规定时间内提交或者未按照招标文件要求加密的电子投标文件，广西政府采购云平台将拒收。</w:t>
      </w:r>
    </w:p>
    <w:p w14:paraId="4A962E7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22．投标文件的补充、修改、撤回与退回</w:t>
      </w:r>
    </w:p>
    <w:p w14:paraId="2FC946C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22.1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补充、修改或者撤回方式可登录广西政府采购云平台，依次进入“服务中心”中查看“电子投标文件制作与投送教程”)</w:t>
      </w:r>
    </w:p>
    <w:p w14:paraId="4C1CA04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22.2广西政府采购云平台收到投标文件后向供应商发出确认回执通知。在投标截止时间前，除供应商补充、修改或者撤回投标文件外，任何单位和个人不得解密或提取投标文件。</w:t>
      </w:r>
    </w:p>
    <w:p w14:paraId="6FA50BD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22.3在投标截止时间后，采购人和采购代理机构对已提交的投标文件概不退回。</w:t>
      </w:r>
    </w:p>
    <w:p w14:paraId="684D0E8A">
      <w:pPr>
        <w:spacing w:line="360" w:lineRule="auto"/>
        <w:ind w:firstLine="420" w:firstLineChars="200"/>
        <w:rPr>
          <w:szCs w:val="21"/>
          <w:highlight w:val="none"/>
        </w:rPr>
      </w:pPr>
    </w:p>
    <w:p w14:paraId="0D14D420">
      <w:pPr>
        <w:spacing w:before="156" w:beforeLines="50" w:after="156" w:afterLines="50" w:line="360" w:lineRule="auto"/>
        <w:jc w:val="center"/>
        <w:outlineLvl w:val="2"/>
        <w:rPr>
          <w:rFonts w:hint="eastAsia" w:eastAsia="宋体"/>
          <w:b/>
          <w:bCs/>
          <w:sz w:val="24"/>
          <w:highlight w:val="none"/>
          <w:lang w:eastAsia="zh-CN"/>
        </w:rPr>
      </w:pPr>
      <w:r>
        <w:rPr>
          <w:b/>
          <w:bCs/>
          <w:sz w:val="24"/>
          <w:highlight w:val="none"/>
        </w:rPr>
        <w:t>四、</w:t>
      </w:r>
      <w:r>
        <w:rPr>
          <w:rFonts w:hint="eastAsia"/>
          <w:b/>
          <w:bCs/>
          <w:sz w:val="24"/>
          <w:highlight w:val="none"/>
          <w:lang w:eastAsia="zh-CN"/>
        </w:rPr>
        <w:t>开</w:t>
      </w:r>
      <w:r>
        <w:rPr>
          <w:rFonts w:hint="eastAsia"/>
          <w:b/>
          <w:bCs/>
          <w:sz w:val="24"/>
          <w:highlight w:val="none"/>
          <w:lang w:val="en-US" w:eastAsia="zh-CN"/>
        </w:rPr>
        <w:t xml:space="preserve">  </w:t>
      </w:r>
      <w:r>
        <w:rPr>
          <w:rFonts w:hint="eastAsia"/>
          <w:b/>
          <w:bCs/>
          <w:sz w:val="24"/>
          <w:highlight w:val="none"/>
          <w:lang w:eastAsia="zh-CN"/>
        </w:rPr>
        <w:t>标</w:t>
      </w:r>
    </w:p>
    <w:p w14:paraId="0A709BC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23．开标时间和地点</w:t>
      </w:r>
    </w:p>
    <w:p w14:paraId="4414003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开标时间及地点详见</w:t>
      </w:r>
      <w:r>
        <w:rPr>
          <w:rFonts w:hint="default" w:ascii="Times New Roman" w:hAnsi="Times New Roman" w:eastAsia="宋体"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投标人须知前附表</w:t>
      </w:r>
      <w:r>
        <w:rPr>
          <w:rFonts w:hint="default" w:ascii="Times New Roman" w:hAnsi="Times New Roman" w:eastAsia="宋体"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w:t>
      </w:r>
    </w:p>
    <w:p w14:paraId="3FF5C58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24．开标程序</w:t>
      </w:r>
    </w:p>
    <w:p w14:paraId="16C63F2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24.1提交投标文件截止时间止，投标人不足3家的，不得开标。</w:t>
      </w:r>
    </w:p>
    <w:p w14:paraId="491D733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24.2采购代理机构将按照招标文件规定的时间通过广西政府采购云平台组织线上开标活动，所有供应商均应当准时在线参加，投标人因未在线参加开标而导致投标文件无法按时解密等一切后果由投标人自己承担。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05A63A8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24.3开标程序</w:t>
      </w:r>
    </w:p>
    <w:p w14:paraId="540D95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（1）</w:t>
      </w:r>
      <w:r>
        <w:rPr>
          <w:rFonts w:hint="eastAsia" w:ascii="Times New Roman" w:hAnsi="Times New Roman" w:eastAsia="宋体" w:cs="Times New Roman"/>
          <w:b w:val="0"/>
          <w:kern w:val="2"/>
          <w:sz w:val="21"/>
          <w:szCs w:val="21"/>
          <w:highlight w:val="none"/>
          <w:lang w:val="en-US" w:eastAsia="zh-CN" w:bidi="ar-SA"/>
        </w:rPr>
        <w:t>解密电子投标文件。广西政府采购云平台按开标时间自动提取所有投标文件。采购代理机构依托广西政府采购云平台向各投标人发出电子加密投标文件【开始解密】通知，由投标人按</w:t>
      </w:r>
      <w:r>
        <w:rPr>
          <w:rFonts w:hint="default" w:ascii="Times New Roman" w:hAnsi="Times New Roman" w:eastAsia="宋体"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投标人须知前附表</w:t>
      </w:r>
      <w:r>
        <w:rPr>
          <w:rFonts w:hint="default" w:ascii="Times New Roman" w:hAnsi="Times New Roman" w:eastAsia="宋体"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规定的时间内自行进行投标文件解密。投标人的法定代表人或其委托代理人须凭加密时所用的CA锁准时登录到广西政府采购云平台电子开标大厅签到并对电子投标文件解密。投标人未在规定的时间内解密投标文件或者解密失败的，投标人的投标文件作无效处理。</w:t>
      </w:r>
    </w:p>
    <w:p w14:paraId="143C31D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（1）</w:t>
      </w:r>
      <w:r>
        <w:rPr>
          <w:rFonts w:hint="eastAsia" w:ascii="Times New Roman" w:hAnsi="Times New Roman" w:eastAsia="宋体" w:cs="Times New Roman"/>
          <w:b w:val="0"/>
          <w:kern w:val="2"/>
          <w:sz w:val="21"/>
          <w:szCs w:val="21"/>
          <w:highlight w:val="none"/>
          <w:lang w:val="en-US" w:eastAsia="zh-CN" w:bidi="ar-SA"/>
        </w:rPr>
        <w:t>电子唱标。投标文件解密结束，宣布的内容均在广西政府采购云平台远程开标大厅展示，具体详见</w:t>
      </w:r>
      <w:r>
        <w:rPr>
          <w:rFonts w:hint="default" w:ascii="Times New Roman" w:hAnsi="Times New Roman" w:eastAsia="宋体"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投标人须知前附表</w:t>
      </w:r>
      <w:r>
        <w:rPr>
          <w:rFonts w:hint="default" w:ascii="Times New Roman" w:hAnsi="Times New Roman" w:eastAsia="宋体" w:cs="Times New Roman"/>
          <w:b w:val="0"/>
          <w:kern w:val="2"/>
          <w:sz w:val="21"/>
          <w:szCs w:val="21"/>
          <w:highlight w:val="none"/>
          <w:lang w:val="en-US" w:eastAsia="zh-CN" w:bidi="ar-SA"/>
        </w:rPr>
        <w:t>”</w:t>
      </w:r>
      <w:r>
        <w:rPr>
          <w:rFonts w:hint="eastAsia" w:cs="Times New Roman"/>
          <w:b w:val="0"/>
          <w:kern w:val="2"/>
          <w:sz w:val="21"/>
          <w:szCs w:val="21"/>
          <w:highlight w:val="none"/>
          <w:lang w:val="en-US" w:eastAsia="zh-CN" w:bidi="ar-SA"/>
        </w:rPr>
        <w:t>；</w:t>
      </w:r>
    </w:p>
    <w:p w14:paraId="0D7378E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（2）</w:t>
      </w:r>
      <w:r>
        <w:rPr>
          <w:rFonts w:hint="eastAsia" w:ascii="Times New Roman" w:hAnsi="Times New Roman" w:eastAsia="宋体" w:cs="Times New Roman"/>
          <w:b w:val="0"/>
          <w:kern w:val="2"/>
          <w:sz w:val="21"/>
          <w:szCs w:val="21"/>
          <w:highlight w:val="none"/>
          <w:lang w:val="en-US" w:eastAsia="zh-CN" w:bidi="ar-SA"/>
        </w:rPr>
        <w:t>开标过程由采购代理机构如实记录，并电子留痕，由参加电子开标的各投标人代表对电子开标记录在开标记录公布后15分钟内进行当场校核及勘误，并线上确认是否有异议，未确认的视同认可开标结果</w:t>
      </w:r>
      <w:r>
        <w:rPr>
          <w:rFonts w:hint="eastAsia" w:cs="Times New Roman"/>
          <w:b w:val="0"/>
          <w:kern w:val="2"/>
          <w:sz w:val="21"/>
          <w:szCs w:val="21"/>
          <w:highlight w:val="none"/>
          <w:lang w:val="en-US" w:eastAsia="zh-CN" w:bidi="ar-SA"/>
        </w:rPr>
        <w:t>；</w:t>
      </w:r>
    </w:p>
    <w:p w14:paraId="71A37E1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（3）</w:t>
      </w:r>
      <w:r>
        <w:rPr>
          <w:rFonts w:hint="eastAsia" w:ascii="Times New Roman" w:hAnsi="Times New Roman" w:eastAsia="宋体" w:cs="Times New Roman"/>
          <w:b w:val="0"/>
          <w:kern w:val="2"/>
          <w:sz w:val="21"/>
          <w:szCs w:val="21"/>
          <w:highlight w:val="none"/>
          <w:lang w:val="en-US" w:eastAsia="zh-CN" w:bidi="ar-SA"/>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r>
        <w:rPr>
          <w:rFonts w:hint="eastAsia" w:cs="Times New Roman"/>
          <w:b w:val="0"/>
          <w:kern w:val="2"/>
          <w:sz w:val="21"/>
          <w:szCs w:val="21"/>
          <w:highlight w:val="none"/>
          <w:lang w:val="en-US" w:eastAsia="zh-CN" w:bidi="ar-SA"/>
        </w:rPr>
        <w:t>；</w:t>
      </w:r>
    </w:p>
    <w:p w14:paraId="5ED1EAA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（4）</w:t>
      </w:r>
      <w:r>
        <w:rPr>
          <w:rFonts w:hint="eastAsia" w:ascii="Times New Roman" w:hAnsi="Times New Roman" w:eastAsia="宋体" w:cs="Times New Roman"/>
          <w:b w:val="0"/>
          <w:kern w:val="2"/>
          <w:sz w:val="21"/>
          <w:szCs w:val="21"/>
          <w:highlight w:val="none"/>
          <w:lang w:val="en-US" w:eastAsia="zh-CN" w:bidi="ar-SA"/>
        </w:rPr>
        <w:t>开标结束。</w:t>
      </w:r>
    </w:p>
    <w:p w14:paraId="439BE23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特别说明：如遇广西政府采购云平台电子化开标或评审程序调整的，按调整后执行。</w:t>
      </w:r>
    </w:p>
    <w:p w14:paraId="02EC68F8">
      <w:pPr>
        <w:pStyle w:val="28"/>
        <w:rPr>
          <w:rFonts w:hint="eastAsia"/>
        </w:rPr>
      </w:pPr>
    </w:p>
    <w:p w14:paraId="02C977E2">
      <w:pPr>
        <w:spacing w:before="156" w:beforeLines="50" w:after="156" w:afterLines="50" w:line="360" w:lineRule="auto"/>
        <w:jc w:val="center"/>
        <w:outlineLvl w:val="2"/>
        <w:rPr>
          <w:rFonts w:hint="eastAsia"/>
          <w:b/>
          <w:bCs/>
          <w:sz w:val="24"/>
          <w:highlight w:val="none"/>
        </w:rPr>
      </w:pPr>
      <w:r>
        <w:rPr>
          <w:rFonts w:hint="eastAsia"/>
          <w:b/>
          <w:bCs/>
          <w:sz w:val="24"/>
          <w:highlight w:val="none"/>
        </w:rPr>
        <w:t>五、资格审查</w:t>
      </w:r>
    </w:p>
    <w:p w14:paraId="25C36D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25．资格审查</w:t>
      </w:r>
    </w:p>
    <w:p w14:paraId="2EEFCAD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25.1开标结束后，采购人或者采购代理机构通过电子开评标系统依据招标文件对电子投标文件进行线上资格审查。</w:t>
      </w:r>
    </w:p>
    <w:p w14:paraId="5E8931E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25.2资格审查标准为本招标文件中载明对投标人资格要求的条件。本项目资格审查采用合格制，凡符合招标文件规定的投标人资格要求的投标人均通过资格审查。</w:t>
      </w:r>
    </w:p>
    <w:p w14:paraId="5A49D27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25.3投标人有下列情形之一的，资格审查不通过，作无效投标处理：</w:t>
      </w:r>
    </w:p>
    <w:p w14:paraId="6BE7BF2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（1）</w:t>
      </w:r>
      <w:r>
        <w:rPr>
          <w:rFonts w:hint="eastAsia" w:ascii="Times New Roman" w:hAnsi="Times New Roman" w:eastAsia="宋体" w:cs="Times New Roman"/>
          <w:b w:val="0"/>
          <w:kern w:val="2"/>
          <w:sz w:val="21"/>
          <w:szCs w:val="21"/>
          <w:highlight w:val="none"/>
          <w:lang w:val="en-US" w:eastAsia="zh-CN" w:bidi="ar-SA"/>
        </w:rPr>
        <w:t>不具备招标文件中规定的资格要求的；</w:t>
      </w:r>
    </w:p>
    <w:p w14:paraId="7B6117B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（2）</w:t>
      </w:r>
      <w:r>
        <w:rPr>
          <w:rFonts w:hint="eastAsia" w:ascii="Times New Roman" w:hAnsi="Times New Roman" w:eastAsia="宋体" w:cs="Times New Roman"/>
          <w:b w:val="0"/>
          <w:kern w:val="2"/>
          <w:sz w:val="21"/>
          <w:szCs w:val="21"/>
          <w:highlight w:val="none"/>
          <w:lang w:val="en-US" w:eastAsia="zh-CN" w:bidi="ar-SA"/>
        </w:rPr>
        <w:t>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w:t>
      </w:r>
      <w:r>
        <w:rPr>
          <w:rFonts w:hint="default" w:ascii="Times New Roman" w:hAnsi="Times New Roman" w:eastAsia="宋体"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投标人须知前附表</w:t>
      </w:r>
      <w:r>
        <w:rPr>
          <w:rFonts w:hint="default" w:ascii="Times New Roman" w:hAnsi="Times New Roman" w:eastAsia="宋体" w:cs="Times New Roman"/>
          <w:b w:val="0"/>
          <w:kern w:val="2"/>
          <w:sz w:val="21"/>
          <w:szCs w:val="21"/>
          <w:highlight w:val="none"/>
          <w:lang w:val="en-US" w:eastAsia="zh-CN" w:bidi="ar-SA"/>
        </w:rPr>
        <w:t>”</w:t>
      </w:r>
      <w:r>
        <w:rPr>
          <w:rFonts w:hint="eastAsia" w:cs="Times New Roman"/>
          <w:b w:val="0"/>
          <w:kern w:val="2"/>
          <w:sz w:val="21"/>
          <w:szCs w:val="21"/>
          <w:highlight w:val="none"/>
          <w:lang w:val="en-US" w:eastAsia="zh-CN" w:bidi="ar-SA"/>
        </w:rPr>
        <w:t>）</w:t>
      </w:r>
    </w:p>
    <w:p w14:paraId="4C4D4AF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（3）</w:t>
      </w:r>
      <w:r>
        <w:rPr>
          <w:rFonts w:hint="eastAsia" w:ascii="Times New Roman" w:hAnsi="Times New Roman" w:eastAsia="宋体" w:cs="Times New Roman"/>
          <w:b w:val="0"/>
          <w:kern w:val="2"/>
          <w:sz w:val="21"/>
          <w:szCs w:val="21"/>
          <w:highlight w:val="none"/>
          <w:lang w:val="en-US" w:eastAsia="zh-CN" w:bidi="ar-SA"/>
        </w:rPr>
        <w:t>同一合同项下的不同投标人，单位负责人为同一人或者存在直接控股、管理关系的；为本项目提供过整体设计、规范编制或者项目管理、监理、检测等服务的供应商，再参加该采购项目的其他采购活动的；</w:t>
      </w:r>
    </w:p>
    <w:p w14:paraId="5A118DE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（4）</w:t>
      </w:r>
      <w:r>
        <w:rPr>
          <w:rFonts w:hint="eastAsia" w:ascii="Times New Roman" w:hAnsi="Times New Roman" w:eastAsia="宋体" w:cs="Times New Roman"/>
          <w:b w:val="0"/>
          <w:kern w:val="2"/>
          <w:sz w:val="21"/>
          <w:szCs w:val="21"/>
          <w:highlight w:val="none"/>
          <w:lang w:val="en-US" w:eastAsia="zh-CN" w:bidi="ar-SA"/>
        </w:rPr>
        <w:t>投标文件中的资格证明文件缺少任一项</w:t>
      </w:r>
      <w:r>
        <w:rPr>
          <w:rFonts w:hint="default" w:ascii="Times New Roman" w:hAnsi="Times New Roman" w:eastAsia="宋体"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投标人须知前附表</w:t>
      </w:r>
      <w:r>
        <w:rPr>
          <w:rFonts w:hint="default" w:ascii="Times New Roman" w:hAnsi="Times New Roman" w:eastAsia="宋体"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资格证明文件规定</w:t>
      </w:r>
      <w:r>
        <w:rPr>
          <w:rFonts w:hint="default" w:ascii="Times New Roman" w:hAnsi="Times New Roman" w:eastAsia="宋体"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必须提供</w:t>
      </w:r>
      <w:r>
        <w:rPr>
          <w:rFonts w:hint="default" w:ascii="Times New Roman" w:hAnsi="Times New Roman" w:eastAsia="宋体"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的文件资料的；</w:t>
      </w:r>
    </w:p>
    <w:p w14:paraId="524E64A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（5）</w:t>
      </w:r>
      <w:r>
        <w:rPr>
          <w:rFonts w:hint="eastAsia" w:ascii="Times New Roman" w:hAnsi="Times New Roman" w:eastAsia="宋体" w:cs="Times New Roman"/>
          <w:b w:val="0"/>
          <w:kern w:val="2"/>
          <w:sz w:val="21"/>
          <w:szCs w:val="21"/>
          <w:highlight w:val="none"/>
          <w:lang w:val="en-US" w:eastAsia="zh-CN" w:bidi="ar-SA"/>
        </w:rPr>
        <w:t>投标文件中的资格证明文件出现任一项不符合</w:t>
      </w:r>
      <w:r>
        <w:rPr>
          <w:rFonts w:hint="default" w:ascii="Times New Roman" w:hAnsi="Times New Roman" w:eastAsia="宋体"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投标人须知前附表</w:t>
      </w:r>
      <w:r>
        <w:rPr>
          <w:rFonts w:hint="default" w:ascii="Times New Roman" w:hAnsi="Times New Roman" w:eastAsia="宋体"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资格证明文件规定</w:t>
      </w:r>
      <w:r>
        <w:rPr>
          <w:rFonts w:hint="default" w:ascii="Times New Roman" w:hAnsi="Times New Roman" w:eastAsia="宋体"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必须提供</w:t>
      </w:r>
      <w:r>
        <w:rPr>
          <w:rFonts w:hint="default" w:ascii="Times New Roman" w:hAnsi="Times New Roman" w:eastAsia="宋体"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的文件资料要求或者无效的。</w:t>
      </w:r>
    </w:p>
    <w:p w14:paraId="49BA469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25.4合格投标人不足3家的，不得评标。</w:t>
      </w:r>
    </w:p>
    <w:p w14:paraId="4110AD7A">
      <w:pPr>
        <w:pStyle w:val="28"/>
        <w:rPr>
          <w:rFonts w:hint="eastAsia"/>
          <w:lang w:val="en-US" w:eastAsia="zh-CN"/>
        </w:rPr>
      </w:pPr>
    </w:p>
    <w:p w14:paraId="1600FCC1">
      <w:pPr>
        <w:spacing w:before="156" w:beforeLines="50" w:after="156" w:afterLines="50" w:line="360" w:lineRule="auto"/>
        <w:jc w:val="center"/>
        <w:outlineLvl w:val="2"/>
        <w:rPr>
          <w:rFonts w:hint="eastAsia"/>
          <w:b/>
          <w:bCs/>
          <w:sz w:val="24"/>
          <w:highlight w:val="none"/>
          <w:lang w:val="en-US" w:eastAsia="zh-CN"/>
        </w:rPr>
      </w:pPr>
      <w:r>
        <w:rPr>
          <w:rFonts w:hint="eastAsia"/>
          <w:b/>
          <w:bCs/>
          <w:sz w:val="24"/>
          <w:highlight w:val="none"/>
          <w:lang w:val="en-US" w:eastAsia="zh-CN"/>
        </w:rPr>
        <w:t>六、评  标</w:t>
      </w:r>
    </w:p>
    <w:p w14:paraId="7FBFC90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26．组建评标委员会</w:t>
      </w:r>
    </w:p>
    <w:p w14:paraId="20779EC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26.1评标委员会由采购人代表和评审专家组成，具体人数详见</w:t>
      </w:r>
      <w:r>
        <w:rPr>
          <w:rFonts w:hint="default" w:ascii="Times New Roman" w:hAnsi="Times New Roman" w:eastAsia="宋体"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投标人须知前附表</w:t>
      </w:r>
      <w:r>
        <w:rPr>
          <w:rFonts w:hint="default" w:ascii="Times New Roman" w:hAnsi="Times New Roman" w:eastAsia="宋体"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，其中评审专家不得少于成员总数的三分之二。</w:t>
      </w:r>
    </w:p>
    <w:p w14:paraId="2E944A7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26.2参加过采购项目前期咨询论证的专家，不得参加该采购项目的评审活动。</w:t>
      </w:r>
    </w:p>
    <w:p w14:paraId="7177934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26.3采购代理机构应当基于广西政府采购云平台抽（选）取评审专家。</w:t>
      </w:r>
    </w:p>
    <w:p w14:paraId="2A7FBD5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27．评标的依据</w:t>
      </w:r>
    </w:p>
    <w:p w14:paraId="02217EC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评标委员会以“第四章</w:t>
      </w:r>
      <w:r>
        <w:rPr>
          <w:rFonts w:hint="eastAsia" w:cs="Times New Roman"/>
          <w:b w:val="0"/>
          <w:kern w:val="2"/>
          <w:sz w:val="21"/>
          <w:szCs w:val="21"/>
          <w:highlight w:val="none"/>
          <w:lang w:val="en-US" w:eastAsia="zh-CN" w:bidi="ar-SA"/>
        </w:rPr>
        <w:t xml:space="preserve"> </w:t>
      </w:r>
      <w:r>
        <w:rPr>
          <w:rFonts w:hint="eastAsia" w:ascii="Times New Roman" w:hAnsi="Times New Roman" w:eastAsia="宋体" w:cs="Times New Roman"/>
          <w:b w:val="0"/>
          <w:kern w:val="2"/>
          <w:sz w:val="21"/>
          <w:szCs w:val="21"/>
          <w:highlight w:val="none"/>
          <w:lang w:val="en-US" w:eastAsia="zh-CN" w:bidi="ar-SA"/>
        </w:rPr>
        <w:t>评标方法和评标标准”为依据对投标文件进行评审，没有规定的方法、评审因素和标准，不作为评标依据。</w:t>
      </w:r>
    </w:p>
    <w:p w14:paraId="6CC7D4B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28．评标原则</w:t>
      </w:r>
    </w:p>
    <w:p w14:paraId="2BB32B6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28.1评标原则。评标委员会评标时必须公平、公正、客观，不带任何倾向性和启发性；不得向外界透露任何与评标有关的内容：任何单位和个人不得干扰、影响评标的正常进行</w:t>
      </w:r>
      <w:r>
        <w:rPr>
          <w:rFonts w:hint="eastAsia"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评标委员会及有关工作人员不得私下与投标人接触，不得收受利害关系人的财物或者其他好处。</w:t>
      </w:r>
    </w:p>
    <w:p w14:paraId="3CAA79D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28.2评委表决。评标委员会成员对需要共同认定的事项存在争议的，应当按照少数服从多数的原则作出结论。</w:t>
      </w:r>
    </w:p>
    <w:p w14:paraId="15229F3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28.3评标的保密。采购人、采购代理机构应当采取必要措施，保证评标在严格保密（封闭式评标</w:t>
      </w:r>
      <w:r>
        <w:rPr>
          <w:rFonts w:hint="eastAsia"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的情况下进行。除采购人代表、评标现场组织人员外，采购人的其他工作人员以及与评标工作无关的人员不得进入评标现场。有关人员对评标情况以及在评标过程中获悉的国家秘密、商业秘密负有保密责任。</w:t>
      </w:r>
    </w:p>
    <w:p w14:paraId="5FDFF2F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28.4评标过程的监控。本项目电子评标过程实行网上留痕、全程录音、录像监控，投标人在评标过程中所进行的试图影响评标结果的不公正活动，可能导致其投标按无效处理。</w:t>
      </w:r>
    </w:p>
    <w:p w14:paraId="52E1948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29．评标方法及中标候选人推荐</w:t>
      </w:r>
    </w:p>
    <w:p w14:paraId="20C893B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29.1本项目的评标方法详见</w:t>
      </w:r>
      <w:r>
        <w:rPr>
          <w:rFonts w:hint="default" w:ascii="Times New Roman" w:hAnsi="Times New Roman" w:eastAsia="宋体"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投标人须知前附表</w:t>
      </w:r>
      <w:r>
        <w:rPr>
          <w:rFonts w:hint="default" w:ascii="Times New Roman" w:hAnsi="Times New Roman" w:eastAsia="宋体"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w:t>
      </w:r>
    </w:p>
    <w:p w14:paraId="6046C30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29.2商务/技术要求允许负偏离的条款数详见</w:t>
      </w:r>
      <w:r>
        <w:rPr>
          <w:rFonts w:hint="default" w:ascii="Times New Roman" w:hAnsi="Times New Roman" w:eastAsia="宋体"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投标人须知前附表</w:t>
      </w:r>
      <w:r>
        <w:rPr>
          <w:rFonts w:hint="default" w:ascii="Times New Roman" w:hAnsi="Times New Roman" w:eastAsia="宋体"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w:t>
      </w:r>
    </w:p>
    <w:p w14:paraId="41DC198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29.3中标候选人推荐数量详见</w:t>
      </w:r>
      <w:r>
        <w:rPr>
          <w:rFonts w:hint="default" w:ascii="Times New Roman" w:hAnsi="Times New Roman" w:eastAsia="宋体"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投标人须知前附表</w:t>
      </w:r>
      <w:r>
        <w:rPr>
          <w:rFonts w:hint="default" w:ascii="Times New Roman" w:hAnsi="Times New Roman" w:eastAsia="宋体"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w:t>
      </w:r>
    </w:p>
    <w:p w14:paraId="54E27DA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29.4电子交易活动的中止。采购过程中出现以下情形，导致电子交易平台无法正常运行，或者无法保证电子交易的公平、公正和安全时，采购代理机构可以中止电子交易活动：</w:t>
      </w:r>
    </w:p>
    <w:p w14:paraId="6DD60B6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（1）</w:t>
      </w:r>
      <w:r>
        <w:rPr>
          <w:rFonts w:hint="eastAsia" w:ascii="Times New Roman" w:hAnsi="Times New Roman" w:eastAsia="宋体" w:cs="Times New Roman"/>
          <w:b w:val="0"/>
          <w:kern w:val="2"/>
          <w:sz w:val="21"/>
          <w:szCs w:val="21"/>
          <w:highlight w:val="none"/>
          <w:lang w:val="en-US" w:eastAsia="zh-CN" w:bidi="ar-SA"/>
        </w:rPr>
        <w:t>电子交易平台发生故障而无法登录访问的</w:t>
      </w:r>
      <w:r>
        <w:rPr>
          <w:rFonts w:hint="eastAsia" w:cs="Times New Roman"/>
          <w:b w:val="0"/>
          <w:kern w:val="2"/>
          <w:sz w:val="21"/>
          <w:szCs w:val="21"/>
          <w:highlight w:val="none"/>
          <w:lang w:val="en-US" w:eastAsia="zh-CN" w:bidi="ar-SA"/>
        </w:rPr>
        <w:t>；</w:t>
      </w:r>
    </w:p>
    <w:p w14:paraId="6CDB916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（2）</w:t>
      </w:r>
      <w:r>
        <w:rPr>
          <w:rFonts w:hint="eastAsia" w:ascii="Times New Roman" w:hAnsi="Times New Roman" w:eastAsia="宋体" w:cs="Times New Roman"/>
          <w:b w:val="0"/>
          <w:kern w:val="2"/>
          <w:sz w:val="21"/>
          <w:szCs w:val="21"/>
          <w:highlight w:val="none"/>
          <w:lang w:val="en-US" w:eastAsia="zh-CN" w:bidi="ar-SA"/>
        </w:rPr>
        <w:t>电子交易平台应用或数据库出现错误，不能进行正常操作的</w:t>
      </w:r>
      <w:r>
        <w:rPr>
          <w:rFonts w:hint="eastAsia" w:cs="Times New Roman"/>
          <w:b w:val="0"/>
          <w:kern w:val="2"/>
          <w:sz w:val="21"/>
          <w:szCs w:val="21"/>
          <w:highlight w:val="none"/>
          <w:lang w:val="en-US" w:eastAsia="zh-CN" w:bidi="ar-SA"/>
        </w:rPr>
        <w:t>；</w:t>
      </w:r>
    </w:p>
    <w:p w14:paraId="1B4D7C4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（3）</w:t>
      </w:r>
      <w:r>
        <w:rPr>
          <w:rFonts w:hint="eastAsia" w:ascii="Times New Roman" w:hAnsi="Times New Roman" w:eastAsia="宋体" w:cs="Times New Roman"/>
          <w:b w:val="0"/>
          <w:kern w:val="2"/>
          <w:sz w:val="21"/>
          <w:szCs w:val="21"/>
          <w:highlight w:val="none"/>
          <w:lang w:val="en-US" w:eastAsia="zh-CN" w:bidi="ar-SA"/>
        </w:rPr>
        <w:t>电子交易平台发现严重安全漏洞，有潜在泄密危险的</w:t>
      </w:r>
      <w:r>
        <w:rPr>
          <w:rFonts w:hint="eastAsia" w:cs="Times New Roman"/>
          <w:b w:val="0"/>
          <w:kern w:val="2"/>
          <w:sz w:val="21"/>
          <w:szCs w:val="21"/>
          <w:highlight w:val="none"/>
          <w:lang w:val="en-US" w:eastAsia="zh-CN" w:bidi="ar-SA"/>
        </w:rPr>
        <w:t>；</w:t>
      </w:r>
    </w:p>
    <w:p w14:paraId="13FF9D9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（4）</w:t>
      </w:r>
      <w:r>
        <w:rPr>
          <w:rFonts w:hint="eastAsia" w:ascii="Times New Roman" w:hAnsi="Times New Roman" w:eastAsia="宋体" w:cs="Times New Roman"/>
          <w:b w:val="0"/>
          <w:kern w:val="2"/>
          <w:sz w:val="21"/>
          <w:szCs w:val="21"/>
          <w:highlight w:val="none"/>
          <w:lang w:val="en-US" w:eastAsia="zh-CN" w:bidi="ar-SA"/>
        </w:rPr>
        <w:t>病毒发作导致不能进行正常操作的</w:t>
      </w:r>
      <w:r>
        <w:rPr>
          <w:rFonts w:hint="eastAsia" w:cs="Times New Roman"/>
          <w:b w:val="0"/>
          <w:kern w:val="2"/>
          <w:sz w:val="21"/>
          <w:szCs w:val="21"/>
          <w:highlight w:val="none"/>
          <w:lang w:val="en-US" w:eastAsia="zh-CN" w:bidi="ar-SA"/>
        </w:rPr>
        <w:t>；</w:t>
      </w:r>
    </w:p>
    <w:p w14:paraId="448824B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（5）</w:t>
      </w:r>
      <w:r>
        <w:rPr>
          <w:rFonts w:hint="eastAsia" w:ascii="Times New Roman" w:hAnsi="Times New Roman" w:eastAsia="宋体" w:cs="Times New Roman"/>
          <w:b w:val="0"/>
          <w:kern w:val="2"/>
          <w:sz w:val="21"/>
          <w:szCs w:val="21"/>
          <w:highlight w:val="none"/>
          <w:lang w:val="en-US" w:eastAsia="zh-CN" w:bidi="ar-SA"/>
        </w:rPr>
        <w:t>其他无法保证电子交易的公平、公正和安全的情况。</w:t>
      </w:r>
    </w:p>
    <w:p w14:paraId="3C7E3D8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出现以上情形，不影响采购公平、公正性的，采购代理机构可以待上述情形消除后继续组织电子交易活动</w:t>
      </w:r>
      <w:r>
        <w:rPr>
          <w:rFonts w:hint="eastAsia"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影响或可能影响采购公平、公正性的，经采购代理机构确认、报采购人同意后，终止电子采购活动，应当重新采购。采购代理机构必须对原有的资料及信息作出妥善保密处理，并报财政部门备案。</w:t>
      </w:r>
    </w:p>
    <w:p w14:paraId="009F2F3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29.5出现下列情形之一的，应予废标：</w:t>
      </w:r>
    </w:p>
    <w:p w14:paraId="41EEC99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（1）</w:t>
      </w:r>
      <w:r>
        <w:rPr>
          <w:rFonts w:hint="eastAsia" w:ascii="Times New Roman" w:hAnsi="Times New Roman" w:eastAsia="宋体" w:cs="Times New Roman"/>
          <w:b w:val="0"/>
          <w:kern w:val="2"/>
          <w:sz w:val="21"/>
          <w:szCs w:val="21"/>
          <w:highlight w:val="none"/>
          <w:lang w:val="en-US" w:eastAsia="zh-CN" w:bidi="ar-SA"/>
        </w:rPr>
        <w:t>符合专业条件的</w:t>
      </w:r>
      <w:r>
        <w:rPr>
          <w:rFonts w:hint="eastAsia" w:cs="Times New Roman"/>
          <w:b w:val="0"/>
          <w:kern w:val="2"/>
          <w:sz w:val="21"/>
          <w:szCs w:val="21"/>
          <w:highlight w:val="none"/>
          <w:lang w:val="en-US" w:eastAsia="zh-CN" w:bidi="ar-SA"/>
        </w:rPr>
        <w:t>投标人</w:t>
      </w:r>
      <w:r>
        <w:rPr>
          <w:rFonts w:hint="eastAsia" w:ascii="Times New Roman" w:hAnsi="Times New Roman" w:eastAsia="宋体" w:cs="Times New Roman"/>
          <w:b w:val="0"/>
          <w:kern w:val="2"/>
          <w:sz w:val="21"/>
          <w:szCs w:val="21"/>
          <w:highlight w:val="none"/>
          <w:lang w:val="en-US" w:eastAsia="zh-CN" w:bidi="ar-SA"/>
        </w:rPr>
        <w:t>或者对招标文件作实质响应的供应商不足三家的</w:t>
      </w:r>
      <w:r>
        <w:rPr>
          <w:rFonts w:hint="eastAsia" w:cs="Times New Roman"/>
          <w:b w:val="0"/>
          <w:kern w:val="2"/>
          <w:sz w:val="21"/>
          <w:szCs w:val="21"/>
          <w:highlight w:val="none"/>
          <w:lang w:val="en-US" w:eastAsia="zh-CN" w:bidi="ar-SA"/>
        </w:rPr>
        <w:t>；</w:t>
      </w:r>
    </w:p>
    <w:p w14:paraId="1D41F15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（2）</w:t>
      </w:r>
      <w:r>
        <w:rPr>
          <w:rFonts w:hint="eastAsia" w:ascii="Times New Roman" w:hAnsi="Times New Roman" w:eastAsia="宋体" w:cs="Times New Roman"/>
          <w:b w:val="0"/>
          <w:kern w:val="2"/>
          <w:sz w:val="21"/>
          <w:szCs w:val="21"/>
          <w:highlight w:val="none"/>
          <w:lang w:val="en-US" w:eastAsia="zh-CN" w:bidi="ar-SA"/>
        </w:rPr>
        <w:t>出现影响采购公正的违法、违规行为的</w:t>
      </w:r>
      <w:r>
        <w:rPr>
          <w:rFonts w:hint="eastAsia" w:cs="Times New Roman"/>
          <w:b w:val="0"/>
          <w:kern w:val="2"/>
          <w:sz w:val="21"/>
          <w:szCs w:val="21"/>
          <w:highlight w:val="none"/>
          <w:lang w:val="en-US" w:eastAsia="zh-CN" w:bidi="ar-SA"/>
        </w:rPr>
        <w:t>；</w:t>
      </w:r>
    </w:p>
    <w:p w14:paraId="3838CE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（3）</w:t>
      </w:r>
      <w:r>
        <w:rPr>
          <w:rFonts w:hint="eastAsia" w:ascii="Times New Roman" w:hAnsi="Times New Roman" w:eastAsia="宋体" w:cs="Times New Roman"/>
          <w:b w:val="0"/>
          <w:kern w:val="2"/>
          <w:sz w:val="21"/>
          <w:szCs w:val="21"/>
          <w:highlight w:val="none"/>
          <w:lang w:val="en-US" w:eastAsia="zh-CN" w:bidi="ar-SA"/>
        </w:rPr>
        <w:t>投标人的报价均超过了采购预算，采购人不能支付的</w:t>
      </w:r>
      <w:r>
        <w:rPr>
          <w:rFonts w:hint="eastAsia" w:cs="Times New Roman"/>
          <w:b w:val="0"/>
          <w:kern w:val="2"/>
          <w:sz w:val="21"/>
          <w:szCs w:val="21"/>
          <w:highlight w:val="none"/>
          <w:lang w:val="en-US" w:eastAsia="zh-CN" w:bidi="ar-SA"/>
        </w:rPr>
        <w:t>；</w:t>
      </w:r>
    </w:p>
    <w:p w14:paraId="59C45BA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（4）</w:t>
      </w:r>
      <w:r>
        <w:rPr>
          <w:rFonts w:hint="eastAsia" w:ascii="Times New Roman" w:hAnsi="Times New Roman" w:eastAsia="宋体" w:cs="Times New Roman"/>
          <w:b w:val="0"/>
          <w:kern w:val="2"/>
          <w:sz w:val="21"/>
          <w:szCs w:val="21"/>
          <w:highlight w:val="none"/>
          <w:lang w:val="en-US" w:eastAsia="zh-CN" w:bidi="ar-SA"/>
        </w:rPr>
        <w:t>因重大变故，采购任务取消的。</w:t>
      </w:r>
    </w:p>
    <w:p w14:paraId="4EB76EB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废标后，采购人应当将废标理由通知所有投标人。</w:t>
      </w:r>
    </w:p>
    <w:p w14:paraId="66603749">
      <w:pPr>
        <w:pStyle w:val="28"/>
        <w:rPr>
          <w:rFonts w:hint="eastAsia"/>
          <w:lang w:val="en-US" w:eastAsia="zh-CN"/>
        </w:rPr>
      </w:pPr>
    </w:p>
    <w:p w14:paraId="3554D6D7">
      <w:pPr>
        <w:spacing w:before="156" w:beforeLines="50" w:after="156" w:afterLines="50" w:line="360" w:lineRule="auto"/>
        <w:jc w:val="center"/>
        <w:outlineLvl w:val="2"/>
        <w:rPr>
          <w:rFonts w:hint="eastAsia"/>
          <w:b/>
          <w:bCs/>
          <w:sz w:val="24"/>
          <w:highlight w:val="none"/>
          <w:lang w:val="en-US" w:eastAsia="zh-CN"/>
        </w:rPr>
      </w:pPr>
      <w:r>
        <w:rPr>
          <w:rFonts w:hint="eastAsia"/>
          <w:b/>
          <w:bCs/>
          <w:sz w:val="24"/>
          <w:highlight w:val="none"/>
          <w:lang w:val="en-US" w:eastAsia="zh-CN"/>
        </w:rPr>
        <w:t>七、中标和合同</w:t>
      </w:r>
    </w:p>
    <w:p w14:paraId="0850443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30．确定中标人</w:t>
      </w:r>
    </w:p>
    <w:p w14:paraId="58189F3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30.1采购代理机构在评标结束之日起2个工作日内将评标报告送采购人，采购人在收到评标报告之日起5个工作日内，在评标报告确定的中标候选人名单中按顺序确定中标人。中标候选人并列的，按照</w:t>
      </w:r>
      <w:r>
        <w:rPr>
          <w:rFonts w:hint="default" w:ascii="Times New Roman" w:hAnsi="Times New Roman" w:eastAsia="宋体"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投标人须知前附表</w:t>
      </w:r>
      <w:r>
        <w:rPr>
          <w:rFonts w:hint="default" w:ascii="Times New Roman" w:hAnsi="Times New Roman" w:eastAsia="宋体"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规定的方式确定中标人。采购人也可以事先授权评标委员会直接确定中标人。</w:t>
      </w:r>
    </w:p>
    <w:p w14:paraId="02252CC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30.2采购人在收到评标报告5个工作日内未按评标报告推荐的中标候选人顺序确定中标人，又不能说明合法理由的，视同按评标报告推荐的顺序确定排名第一的中标候选人为中标人。</w:t>
      </w:r>
    </w:p>
    <w:p w14:paraId="5DD2667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31．结果公告</w:t>
      </w:r>
    </w:p>
    <w:p w14:paraId="71A60BD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2643B07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以上信息查询记录及相关证据与招标文件一并保存。</w:t>
      </w:r>
    </w:p>
    <w:p w14:paraId="30A70FD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31.2中标供应商享受《政府采购促进中小企业发展管理办法》（财库(2020）46号</w:t>
      </w:r>
      <w:r>
        <w:rPr>
          <w:rFonts w:hint="eastAsia"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规定的中小企业扶持政策的，采购人、采购代理机构应当随中标结果公开中标供应商的《中小企业声明函》。</w:t>
      </w:r>
    </w:p>
    <w:p w14:paraId="76A43A2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32．发出中标通知书</w:t>
      </w:r>
    </w:p>
    <w:p w14:paraId="3982B4C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在发布中标公告的同时，采购代理机构向中标人通过广西政府采购云平台发出电子中标通知书。对未通过资格审查的投标人，应当告知其未通过的原因</w:t>
      </w:r>
      <w:r>
        <w:rPr>
          <w:rFonts w:hint="eastAsia"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采用综合评分办法评审的，还应当告知未中标人本人的评审得分与排序。</w:t>
      </w:r>
    </w:p>
    <w:p w14:paraId="3ECC873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33．无义务解释未中标原因</w:t>
      </w:r>
    </w:p>
    <w:p w14:paraId="12F389C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采购代理机构无义务向未中标的投标人解释未中标原因。</w:t>
      </w:r>
    </w:p>
    <w:p w14:paraId="65A2AD8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34．合同授予标准</w:t>
      </w:r>
    </w:p>
    <w:p w14:paraId="130BDFB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合同将授予被确定实质上响应招标文件要求，具备履行合同能力的中标人。</w:t>
      </w:r>
    </w:p>
    <w:p w14:paraId="48E2291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35．履约保证金</w:t>
      </w:r>
    </w:p>
    <w:p w14:paraId="082D64E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35.1履约保证金的金额、提交方式、缴纳期限、退付的时间和条件详见</w:t>
      </w:r>
      <w:r>
        <w:rPr>
          <w:rFonts w:hint="default" w:ascii="Times New Roman" w:hAnsi="Times New Roman" w:eastAsia="宋体"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投标人须知前附表</w:t>
      </w:r>
      <w:r>
        <w:rPr>
          <w:rFonts w:hint="default" w:ascii="Times New Roman" w:hAnsi="Times New Roman" w:eastAsia="宋体"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。中标人未按规定提交履约保证金的，视为拒绝与采购人签订合同。</w:t>
      </w:r>
    </w:p>
    <w:p w14:paraId="1BC6067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35.2在履约保证金退还日期前，若中标人的开户名称、开户银行、账号有变动的，请以书面形式通知履约保证金收取单位，否则由此产生的后果由中标人自行承担。</w:t>
      </w:r>
    </w:p>
    <w:p w14:paraId="07EA877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36．签订合同</w:t>
      </w:r>
    </w:p>
    <w:p w14:paraId="337DFD1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36.1签订电子采购合同：中标人领取电子中标通知书后，在规定的日期、时间、地点，由法定代表人或其授权代表与采购人代表签订电子采购合同。如中标人为联合体的，由联合体成员各方法定代表人或其授权代表与采购人代表签订合同。</w:t>
      </w:r>
    </w:p>
    <w:p w14:paraId="2CA004A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线下签订纸质合同：投标人领取中标通知书后，按</w:t>
      </w:r>
      <w:r>
        <w:rPr>
          <w:rFonts w:hint="default" w:ascii="Times New Roman" w:hAnsi="Times New Roman" w:eastAsia="宋体"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投标人须知前附表</w:t>
      </w:r>
      <w:r>
        <w:rPr>
          <w:rFonts w:hint="default" w:ascii="Times New Roman" w:hAnsi="Times New Roman" w:eastAsia="宋体"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规定向采购人出示相关证明材料，经采购人核验合格后方可签订合同。</w:t>
      </w:r>
    </w:p>
    <w:p w14:paraId="0168862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36.2签订合同时间：按中标通知书规定的时间与采购人签订合同。</w:t>
      </w:r>
    </w:p>
    <w:p w14:paraId="142821E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36.3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0E99128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22A7BC8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36.5采购人或中标供应商不得单方面向合同另一方提出任何招标文件没有约定的条件或不合理的要求，作为签订合同的条件；也不得协商另行订立背离招标文件和合同实质性内容的协议。</w:t>
      </w:r>
    </w:p>
    <w:p w14:paraId="40FF311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36.6如签订合同并生效后，供应商无故拒绝或延期，除按照合同条款处理外，将承担相应的法律责任。</w:t>
      </w:r>
    </w:p>
    <w:p w14:paraId="3E5DC16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254D639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37．政府采购合同公告</w:t>
      </w:r>
    </w:p>
    <w:p w14:paraId="7F9DE08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采购人或者受托采购代理机构应当自政府采购合同签订之日起2个工作日内，将政府采购合同在省级以上人民政府财政部门指定的媒体上公告，但政府采购合同中涉及国家秘密、商业秘密的内容除外。</w:t>
      </w:r>
    </w:p>
    <w:p w14:paraId="400AAAA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38．询问、质疑和投诉</w:t>
      </w:r>
    </w:p>
    <w:p w14:paraId="772FA8A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38.1供应商对政府采购活动事项有疑问的，可以向采购人提出询问，采购人或者采购代理机构应当在3个工作日内对供应商依法提出的询问作出答复，但答复的内容不得涉及商业秘密。</w:t>
      </w:r>
    </w:p>
    <w:p w14:paraId="0BC3B14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w:t>
      </w:r>
      <w:r>
        <w:rPr>
          <w:rFonts w:hint="default" w:ascii="Times New Roman" w:hAnsi="Times New Roman" w:eastAsia="宋体"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投标人须知前附表</w:t>
      </w:r>
      <w:r>
        <w:rPr>
          <w:rFonts w:hint="default" w:ascii="Times New Roman" w:hAnsi="Times New Roman" w:eastAsia="宋体"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。具体质疑起算时间如下：</w:t>
      </w:r>
    </w:p>
    <w:p w14:paraId="61090A7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（1）</w:t>
      </w:r>
      <w:r>
        <w:rPr>
          <w:rFonts w:hint="eastAsia" w:ascii="Times New Roman" w:hAnsi="Times New Roman" w:eastAsia="宋体" w:cs="Times New Roman"/>
          <w:b w:val="0"/>
          <w:kern w:val="2"/>
          <w:sz w:val="21"/>
          <w:szCs w:val="21"/>
          <w:highlight w:val="none"/>
          <w:lang w:val="en-US" w:eastAsia="zh-CN" w:bidi="ar-SA"/>
        </w:rPr>
        <w:t>对可以质疑的招标文件提出质疑的，为收到招标文件之日或者招标文件公告期限届满之日</w:t>
      </w:r>
      <w:r>
        <w:rPr>
          <w:rFonts w:hint="eastAsia" w:cs="Times New Roman"/>
          <w:b w:val="0"/>
          <w:kern w:val="2"/>
          <w:sz w:val="21"/>
          <w:szCs w:val="21"/>
          <w:highlight w:val="none"/>
          <w:lang w:val="en-US" w:eastAsia="zh-CN" w:bidi="ar-SA"/>
        </w:rPr>
        <w:t>；</w:t>
      </w:r>
    </w:p>
    <w:p w14:paraId="41050D3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（2）</w:t>
      </w:r>
      <w:r>
        <w:rPr>
          <w:rFonts w:hint="eastAsia" w:ascii="Times New Roman" w:hAnsi="Times New Roman" w:eastAsia="宋体" w:cs="Times New Roman"/>
          <w:b w:val="0"/>
          <w:kern w:val="2"/>
          <w:sz w:val="21"/>
          <w:szCs w:val="21"/>
          <w:highlight w:val="none"/>
          <w:lang w:val="en-US" w:eastAsia="zh-CN" w:bidi="ar-SA"/>
        </w:rPr>
        <w:t>对采购过程提出质疑的，为各采购程序环节结束之日</w:t>
      </w:r>
      <w:r>
        <w:rPr>
          <w:rFonts w:hint="eastAsia" w:cs="Times New Roman"/>
          <w:b w:val="0"/>
          <w:kern w:val="2"/>
          <w:sz w:val="21"/>
          <w:szCs w:val="21"/>
          <w:highlight w:val="none"/>
          <w:lang w:val="en-US" w:eastAsia="zh-CN" w:bidi="ar-SA"/>
        </w:rPr>
        <w:t>；</w:t>
      </w:r>
    </w:p>
    <w:p w14:paraId="51A56CC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（3）</w:t>
      </w:r>
      <w:r>
        <w:rPr>
          <w:rFonts w:hint="eastAsia" w:ascii="Times New Roman" w:hAnsi="Times New Roman" w:eastAsia="宋体" w:cs="Times New Roman"/>
          <w:b w:val="0"/>
          <w:kern w:val="2"/>
          <w:sz w:val="21"/>
          <w:szCs w:val="21"/>
          <w:highlight w:val="none"/>
          <w:lang w:val="en-US" w:eastAsia="zh-CN" w:bidi="ar-SA"/>
        </w:rPr>
        <w:t>对中标结果提出质疑的，为中标结果公告期限届满之日。</w:t>
      </w:r>
    </w:p>
    <w:p w14:paraId="0A1C8D4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38.3供应商提出质疑应当提交质疑函和必要的证明材料，针对同一采购程序环节的质疑必须在法定质疑期内一次性提出。质疑函应当包括下列内容（质疑函格式后附）：</w:t>
      </w:r>
    </w:p>
    <w:p w14:paraId="591E6AD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（1）</w:t>
      </w:r>
      <w:r>
        <w:rPr>
          <w:rFonts w:hint="eastAsia" w:ascii="Times New Roman" w:hAnsi="Times New Roman" w:eastAsia="宋体" w:cs="Times New Roman"/>
          <w:b w:val="0"/>
          <w:kern w:val="2"/>
          <w:sz w:val="21"/>
          <w:szCs w:val="21"/>
          <w:highlight w:val="none"/>
          <w:lang w:val="en-US" w:eastAsia="zh-CN" w:bidi="ar-SA"/>
        </w:rPr>
        <w:t>供应商的姓名或者名称、地址、邮编、联系人及联系电话</w:t>
      </w:r>
      <w:r>
        <w:rPr>
          <w:rFonts w:hint="eastAsia" w:cs="Times New Roman"/>
          <w:b w:val="0"/>
          <w:kern w:val="2"/>
          <w:sz w:val="21"/>
          <w:szCs w:val="21"/>
          <w:highlight w:val="none"/>
          <w:lang w:val="en-US" w:eastAsia="zh-CN" w:bidi="ar-SA"/>
        </w:rPr>
        <w:t>；</w:t>
      </w:r>
    </w:p>
    <w:p w14:paraId="32F3D9D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（2）</w:t>
      </w:r>
      <w:r>
        <w:rPr>
          <w:rFonts w:hint="eastAsia" w:ascii="Times New Roman" w:hAnsi="Times New Roman" w:eastAsia="宋体" w:cs="Times New Roman"/>
          <w:b w:val="0"/>
          <w:kern w:val="2"/>
          <w:sz w:val="21"/>
          <w:szCs w:val="21"/>
          <w:highlight w:val="none"/>
          <w:lang w:val="en-US" w:eastAsia="zh-CN" w:bidi="ar-SA"/>
        </w:rPr>
        <w:t>质疑项目的名称、编号</w:t>
      </w:r>
      <w:r>
        <w:rPr>
          <w:rFonts w:hint="eastAsia" w:cs="Times New Roman"/>
          <w:b w:val="0"/>
          <w:kern w:val="2"/>
          <w:sz w:val="21"/>
          <w:szCs w:val="21"/>
          <w:highlight w:val="none"/>
          <w:lang w:val="en-US" w:eastAsia="zh-CN" w:bidi="ar-SA"/>
        </w:rPr>
        <w:t>；</w:t>
      </w:r>
    </w:p>
    <w:p w14:paraId="6AF36B7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（3）</w:t>
      </w:r>
      <w:r>
        <w:rPr>
          <w:rFonts w:hint="eastAsia" w:ascii="Times New Roman" w:hAnsi="Times New Roman" w:eastAsia="宋体" w:cs="Times New Roman"/>
          <w:b w:val="0"/>
          <w:kern w:val="2"/>
          <w:sz w:val="21"/>
          <w:szCs w:val="21"/>
          <w:highlight w:val="none"/>
          <w:lang w:val="en-US" w:eastAsia="zh-CN" w:bidi="ar-SA"/>
        </w:rPr>
        <w:t>具体、明确的质疑事项和与质疑事项相关的请求</w:t>
      </w:r>
      <w:r>
        <w:rPr>
          <w:rFonts w:hint="eastAsia" w:cs="Times New Roman"/>
          <w:b w:val="0"/>
          <w:kern w:val="2"/>
          <w:sz w:val="21"/>
          <w:szCs w:val="21"/>
          <w:highlight w:val="none"/>
          <w:lang w:val="en-US" w:eastAsia="zh-CN" w:bidi="ar-SA"/>
        </w:rPr>
        <w:t>；</w:t>
      </w:r>
    </w:p>
    <w:p w14:paraId="3655025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（4）</w:t>
      </w:r>
      <w:r>
        <w:rPr>
          <w:rFonts w:hint="eastAsia" w:ascii="Times New Roman" w:hAnsi="Times New Roman" w:eastAsia="宋体" w:cs="Times New Roman"/>
          <w:b w:val="0"/>
          <w:kern w:val="2"/>
          <w:sz w:val="21"/>
          <w:szCs w:val="21"/>
          <w:highlight w:val="none"/>
          <w:lang w:val="en-US" w:eastAsia="zh-CN" w:bidi="ar-SA"/>
        </w:rPr>
        <w:t>事实依据</w:t>
      </w:r>
      <w:r>
        <w:rPr>
          <w:rFonts w:hint="eastAsia" w:cs="Times New Roman"/>
          <w:b w:val="0"/>
          <w:kern w:val="2"/>
          <w:sz w:val="21"/>
          <w:szCs w:val="21"/>
          <w:highlight w:val="none"/>
          <w:lang w:val="en-US" w:eastAsia="zh-CN" w:bidi="ar-SA"/>
        </w:rPr>
        <w:t>；</w:t>
      </w:r>
    </w:p>
    <w:p w14:paraId="0E9A83E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（5）</w:t>
      </w:r>
      <w:r>
        <w:rPr>
          <w:rFonts w:hint="eastAsia" w:ascii="Times New Roman" w:hAnsi="Times New Roman" w:eastAsia="宋体" w:cs="Times New Roman"/>
          <w:b w:val="0"/>
          <w:kern w:val="2"/>
          <w:sz w:val="21"/>
          <w:szCs w:val="21"/>
          <w:highlight w:val="none"/>
          <w:lang w:val="en-US" w:eastAsia="zh-CN" w:bidi="ar-SA"/>
        </w:rPr>
        <w:t>必要的法律依据</w:t>
      </w:r>
      <w:r>
        <w:rPr>
          <w:rFonts w:hint="eastAsia" w:cs="Times New Roman"/>
          <w:b w:val="0"/>
          <w:kern w:val="2"/>
          <w:sz w:val="21"/>
          <w:szCs w:val="21"/>
          <w:highlight w:val="none"/>
          <w:lang w:val="en-US" w:eastAsia="zh-CN" w:bidi="ar-SA"/>
        </w:rPr>
        <w:t>；</w:t>
      </w:r>
    </w:p>
    <w:p w14:paraId="16B2D7B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（6）</w:t>
      </w:r>
      <w:r>
        <w:rPr>
          <w:rFonts w:hint="eastAsia" w:ascii="Times New Roman" w:hAnsi="Times New Roman" w:eastAsia="宋体" w:cs="Times New Roman"/>
          <w:b w:val="0"/>
          <w:kern w:val="2"/>
          <w:sz w:val="21"/>
          <w:szCs w:val="21"/>
          <w:highlight w:val="none"/>
          <w:lang w:val="en-US" w:eastAsia="zh-CN" w:bidi="ar-SA"/>
        </w:rPr>
        <w:t>提出质疑的日期。</w:t>
      </w:r>
    </w:p>
    <w:p w14:paraId="476B780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供应商为自然人的，应当由本人签字；供应商为法人或者其他组织的，应当由法定代表人、主要负责人，或者其委托代理人签字或者盖章，并加盖公章。</w:t>
      </w:r>
    </w:p>
    <w:p w14:paraId="667E473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38.4采购人、采购代理机构认为供应商质疑不成立，或者成立但未对中标结果构成影响的，继续开展采购活动</w:t>
      </w:r>
      <w:r>
        <w:rPr>
          <w:rFonts w:hint="eastAsia"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认为供应商质疑成立且影响或者可能影响中标结果的，按照下列情况处理：</w:t>
      </w:r>
    </w:p>
    <w:p w14:paraId="0FE4A25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一</w:t>
      </w:r>
      <w:r>
        <w:rPr>
          <w:rFonts w:hint="eastAsia"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对招标文件提出的质疑，依法通过澄清或者修改可以继续开展采购活动的，澄清或者修改招标文件后继续开展采购活动</w:t>
      </w:r>
      <w:r>
        <w:rPr>
          <w:rFonts w:hint="eastAsia"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否则应当修改招标文件后重新开展采购活动。</w:t>
      </w:r>
    </w:p>
    <w:p w14:paraId="6A64F9A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二</w:t>
      </w:r>
      <w:r>
        <w:rPr>
          <w:rFonts w:hint="eastAsia"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对采购过程、中标结果提出的质疑，合格供应商符合法定数量时，可以从合格的中标候选人中另行确定中标供应商的，应当依法另行确定中标供应商；否则应当重新开展采购活动。</w:t>
      </w:r>
    </w:p>
    <w:p w14:paraId="7EE754E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质疑答复导致中标结果改变的，采购人或者采购代理机构应当将有关情况书面报告本级财政部门</w:t>
      </w:r>
      <w:r>
        <w:rPr>
          <w:rFonts w:hint="eastAsia" w:cs="Times New Roman"/>
          <w:b w:val="0"/>
          <w:kern w:val="2"/>
          <w:sz w:val="21"/>
          <w:szCs w:val="21"/>
          <w:highlight w:val="none"/>
          <w:lang w:val="en-US" w:eastAsia="zh-CN" w:bidi="ar-SA"/>
        </w:rPr>
        <w:t>。</w:t>
      </w:r>
    </w:p>
    <w:p w14:paraId="6EF3DEE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b w:val="0"/>
          <w:kern w:val="2"/>
          <w:sz w:val="21"/>
          <w:szCs w:val="21"/>
          <w:highlight w:val="none"/>
          <w:lang w:val="en-US" w:eastAsia="zh-CN" w:bidi="ar-SA"/>
        </w:rPr>
      </w:pPr>
      <w:r>
        <w:rPr>
          <w:rFonts w:hint="eastAsia" w:ascii="Times New Roman" w:hAnsi="Times New Roman" w:eastAsia="宋体" w:cs="Times New Roman"/>
          <w:b w:val="0"/>
          <w:kern w:val="2"/>
          <w:sz w:val="21"/>
          <w:szCs w:val="21"/>
          <w:highlight w:val="none"/>
          <w:lang w:val="en-US" w:eastAsia="zh-CN" w:bidi="ar-SA"/>
        </w:rPr>
        <w:t>38.5质疑供应商对采购人、采购代理机构的答复不满意，或者采购人、采购代理机构未在规定时间内作出答复的，可以在答复期满后15个工作日内向《政府采购质疑和投诉办法》（财政部令第94号</w:t>
      </w:r>
      <w:r>
        <w:rPr>
          <w:rFonts w:hint="eastAsia"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第六条规定的财政部门提起投诉（投诉书格式后附）。</w:t>
      </w:r>
    </w:p>
    <w:p w14:paraId="40879BFD">
      <w:pPr>
        <w:pStyle w:val="28"/>
        <w:rPr>
          <w:rFonts w:hint="eastAsia"/>
          <w:lang w:val="en-US" w:eastAsia="zh-CN"/>
        </w:rPr>
      </w:pPr>
    </w:p>
    <w:p w14:paraId="4FDAC0C3">
      <w:pPr>
        <w:spacing w:before="156" w:beforeLines="50" w:after="156" w:afterLines="50" w:line="360" w:lineRule="auto"/>
        <w:jc w:val="center"/>
        <w:outlineLvl w:val="2"/>
        <w:rPr>
          <w:rFonts w:hint="eastAsia"/>
          <w:b/>
          <w:bCs/>
          <w:sz w:val="24"/>
          <w:highlight w:val="none"/>
          <w:lang w:val="en-US" w:eastAsia="zh-CN"/>
        </w:rPr>
      </w:pPr>
      <w:r>
        <w:rPr>
          <w:rFonts w:hint="eastAsia"/>
          <w:b/>
          <w:bCs/>
          <w:sz w:val="24"/>
          <w:highlight w:val="none"/>
          <w:lang w:val="en-US" w:eastAsia="zh-CN"/>
        </w:rPr>
        <w:t>八、其他事项</w:t>
      </w:r>
    </w:p>
    <w:p w14:paraId="46741102">
      <w:pPr>
        <w:spacing w:line="360" w:lineRule="auto"/>
        <w:ind w:firstLine="420" w:firstLineChars="200"/>
        <w:outlineLvl w:val="1"/>
        <w:rPr>
          <w:rFonts w:hint="eastAsia"/>
          <w:szCs w:val="21"/>
          <w:highlight w:val="none"/>
          <w:lang w:val="en-US" w:eastAsia="zh-CN"/>
        </w:rPr>
      </w:pPr>
      <w:r>
        <w:rPr>
          <w:rFonts w:hint="eastAsia"/>
          <w:szCs w:val="21"/>
          <w:highlight w:val="none"/>
          <w:lang w:val="en-US" w:eastAsia="zh-CN"/>
        </w:rPr>
        <w:t>39</w:t>
      </w:r>
      <w:r>
        <w:rPr>
          <w:rFonts w:hint="eastAsia" w:ascii="Times New Roman" w:hAnsi="Times New Roman" w:eastAsia="宋体" w:cs="Times New Roman"/>
          <w:b w:val="0"/>
          <w:kern w:val="2"/>
          <w:sz w:val="21"/>
          <w:szCs w:val="21"/>
          <w:highlight w:val="none"/>
          <w:lang w:val="en-US" w:eastAsia="zh-CN" w:bidi="ar-SA"/>
        </w:rPr>
        <w:t>．</w:t>
      </w:r>
      <w:r>
        <w:rPr>
          <w:rFonts w:hint="eastAsia"/>
          <w:szCs w:val="21"/>
          <w:highlight w:val="none"/>
          <w:lang w:val="en-US" w:eastAsia="zh-CN"/>
        </w:rPr>
        <w:t>采购代理服务费</w:t>
      </w:r>
    </w:p>
    <w:p w14:paraId="6C35943C">
      <w:pPr>
        <w:tabs>
          <w:tab w:val="left" w:pos="2835"/>
        </w:tabs>
        <w:spacing w:line="360" w:lineRule="auto"/>
        <w:ind w:firstLine="420" w:firstLineChars="200"/>
        <w:rPr>
          <w:szCs w:val="21"/>
        </w:rPr>
      </w:pPr>
      <w:r>
        <w:rPr>
          <w:szCs w:val="21"/>
        </w:rPr>
        <w:t>3</w:t>
      </w:r>
      <w:r>
        <w:rPr>
          <w:rFonts w:hint="eastAsia"/>
          <w:szCs w:val="21"/>
          <w:lang w:val="en-US" w:eastAsia="zh-CN"/>
        </w:rPr>
        <w:t>9</w:t>
      </w:r>
      <w:r>
        <w:rPr>
          <w:szCs w:val="21"/>
        </w:rPr>
        <w:t>.1代理服务收费标准及缴费账户详见“供应商须知前附表”，供应商为联合体的，可以由联合体中的一方或者多方共同交纳代理服务费。</w:t>
      </w:r>
    </w:p>
    <w:p w14:paraId="3CBB564E">
      <w:pPr>
        <w:tabs>
          <w:tab w:val="left" w:pos="2835"/>
        </w:tabs>
        <w:spacing w:line="360" w:lineRule="auto"/>
        <w:ind w:firstLine="420" w:firstLineChars="200"/>
        <w:rPr>
          <w:szCs w:val="21"/>
        </w:rPr>
      </w:pPr>
      <w:r>
        <w:rPr>
          <w:szCs w:val="21"/>
        </w:rPr>
        <w:t>3</w:t>
      </w:r>
      <w:r>
        <w:rPr>
          <w:rFonts w:hint="eastAsia"/>
          <w:szCs w:val="21"/>
          <w:lang w:val="en-US" w:eastAsia="zh-CN"/>
        </w:rPr>
        <w:t>9</w:t>
      </w:r>
      <w:r>
        <w:rPr>
          <w:szCs w:val="21"/>
        </w:rPr>
        <w:t>.2代理服务费收费计算标准：</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2061"/>
        <w:gridCol w:w="2100"/>
        <w:gridCol w:w="2085"/>
      </w:tblGrid>
      <w:tr w14:paraId="39451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3472" w:type="dxa"/>
            <w:tcBorders>
              <w:tl2br w:val="single" w:color="auto" w:sz="4" w:space="0"/>
            </w:tcBorders>
            <w:vAlign w:val="center"/>
          </w:tcPr>
          <w:p w14:paraId="29AE0074">
            <w:pPr>
              <w:spacing w:line="320" w:lineRule="exact"/>
              <w:rPr>
                <w:szCs w:val="21"/>
              </w:rPr>
            </w:pPr>
            <w:r>
              <w:rPr>
                <w:szCs w:val="21"/>
              </w:rPr>
              <w:t xml:space="preserve">                          费率</w:t>
            </w:r>
          </w:p>
          <w:p w14:paraId="50C3B808">
            <w:pPr>
              <w:spacing w:line="320" w:lineRule="exact"/>
              <w:rPr>
                <w:szCs w:val="21"/>
              </w:rPr>
            </w:pPr>
            <w:r>
              <w:rPr>
                <w:szCs w:val="21"/>
              </w:rPr>
              <w:t>金额</w:t>
            </w:r>
          </w:p>
        </w:tc>
        <w:tc>
          <w:tcPr>
            <w:tcW w:w="2061" w:type="dxa"/>
            <w:vAlign w:val="center"/>
          </w:tcPr>
          <w:p w14:paraId="3CBDEF69">
            <w:pPr>
              <w:spacing w:line="320" w:lineRule="exact"/>
              <w:ind w:firstLine="105" w:firstLineChars="50"/>
              <w:rPr>
                <w:szCs w:val="21"/>
              </w:rPr>
            </w:pPr>
            <w:r>
              <w:rPr>
                <w:szCs w:val="21"/>
              </w:rPr>
              <w:t>货物类</w:t>
            </w:r>
          </w:p>
        </w:tc>
        <w:tc>
          <w:tcPr>
            <w:tcW w:w="2100" w:type="dxa"/>
            <w:vAlign w:val="center"/>
          </w:tcPr>
          <w:p w14:paraId="2A80ACB1">
            <w:pPr>
              <w:spacing w:line="320" w:lineRule="exact"/>
              <w:rPr>
                <w:szCs w:val="21"/>
              </w:rPr>
            </w:pPr>
            <w:r>
              <w:rPr>
                <w:szCs w:val="21"/>
              </w:rPr>
              <w:t>服务类</w:t>
            </w:r>
          </w:p>
        </w:tc>
        <w:tc>
          <w:tcPr>
            <w:tcW w:w="2085" w:type="dxa"/>
            <w:vAlign w:val="center"/>
          </w:tcPr>
          <w:p w14:paraId="1E2D9312">
            <w:pPr>
              <w:spacing w:line="320" w:lineRule="exact"/>
              <w:rPr>
                <w:szCs w:val="21"/>
              </w:rPr>
            </w:pPr>
            <w:r>
              <w:rPr>
                <w:szCs w:val="21"/>
              </w:rPr>
              <w:t>工程类</w:t>
            </w:r>
          </w:p>
        </w:tc>
      </w:tr>
      <w:tr w14:paraId="25B7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3472" w:type="dxa"/>
            <w:vAlign w:val="center"/>
          </w:tcPr>
          <w:p w14:paraId="4294DC88">
            <w:pPr>
              <w:spacing w:line="320" w:lineRule="exact"/>
              <w:rPr>
                <w:szCs w:val="21"/>
              </w:rPr>
            </w:pPr>
            <w:r>
              <w:rPr>
                <w:szCs w:val="21"/>
              </w:rPr>
              <w:t>100万元以下</w:t>
            </w:r>
          </w:p>
        </w:tc>
        <w:tc>
          <w:tcPr>
            <w:tcW w:w="2061" w:type="dxa"/>
            <w:vAlign w:val="center"/>
          </w:tcPr>
          <w:p w14:paraId="63BB7299">
            <w:pPr>
              <w:spacing w:line="320" w:lineRule="exact"/>
              <w:rPr>
                <w:szCs w:val="21"/>
              </w:rPr>
            </w:pPr>
            <w:r>
              <w:rPr>
                <w:kern w:val="0"/>
                <w:szCs w:val="21"/>
              </w:rPr>
              <w:t xml:space="preserve">  1.5%                </w:t>
            </w:r>
          </w:p>
        </w:tc>
        <w:tc>
          <w:tcPr>
            <w:tcW w:w="2100" w:type="dxa"/>
            <w:vAlign w:val="center"/>
          </w:tcPr>
          <w:p w14:paraId="2CD1D21A">
            <w:pPr>
              <w:spacing w:line="320" w:lineRule="exact"/>
              <w:ind w:firstLine="210" w:firstLineChars="100"/>
              <w:rPr>
                <w:szCs w:val="21"/>
              </w:rPr>
            </w:pPr>
            <w:r>
              <w:rPr>
                <w:kern w:val="0"/>
                <w:szCs w:val="21"/>
              </w:rPr>
              <w:t>1.5%</w:t>
            </w:r>
          </w:p>
        </w:tc>
        <w:tc>
          <w:tcPr>
            <w:tcW w:w="2085" w:type="dxa"/>
            <w:vAlign w:val="center"/>
          </w:tcPr>
          <w:p w14:paraId="7A3B1852">
            <w:pPr>
              <w:spacing w:line="320" w:lineRule="exact"/>
              <w:ind w:firstLine="210" w:firstLineChars="100"/>
              <w:rPr>
                <w:szCs w:val="21"/>
              </w:rPr>
            </w:pPr>
            <w:r>
              <w:rPr>
                <w:kern w:val="0"/>
                <w:szCs w:val="21"/>
              </w:rPr>
              <w:t xml:space="preserve">1.0% </w:t>
            </w:r>
          </w:p>
        </w:tc>
      </w:tr>
      <w:tr w14:paraId="6FA85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3472" w:type="dxa"/>
            <w:vAlign w:val="center"/>
          </w:tcPr>
          <w:p w14:paraId="2634CDE9">
            <w:pPr>
              <w:spacing w:line="320" w:lineRule="exact"/>
              <w:rPr>
                <w:szCs w:val="21"/>
              </w:rPr>
            </w:pPr>
            <w:r>
              <w:rPr>
                <w:szCs w:val="21"/>
              </w:rPr>
              <w:t>100～500万元</w:t>
            </w:r>
          </w:p>
        </w:tc>
        <w:tc>
          <w:tcPr>
            <w:tcW w:w="2061" w:type="dxa"/>
            <w:vAlign w:val="center"/>
          </w:tcPr>
          <w:p w14:paraId="4BFF9F32">
            <w:pPr>
              <w:spacing w:line="320" w:lineRule="exact"/>
              <w:ind w:firstLine="210" w:firstLineChars="100"/>
              <w:rPr>
                <w:szCs w:val="21"/>
              </w:rPr>
            </w:pPr>
            <w:r>
              <w:rPr>
                <w:kern w:val="0"/>
                <w:szCs w:val="21"/>
              </w:rPr>
              <w:t xml:space="preserve">1.1%                 </w:t>
            </w:r>
          </w:p>
        </w:tc>
        <w:tc>
          <w:tcPr>
            <w:tcW w:w="2100" w:type="dxa"/>
            <w:vAlign w:val="center"/>
          </w:tcPr>
          <w:p w14:paraId="037D8F43">
            <w:pPr>
              <w:spacing w:line="320" w:lineRule="exact"/>
              <w:ind w:firstLine="210" w:firstLineChars="100"/>
              <w:rPr>
                <w:szCs w:val="21"/>
              </w:rPr>
            </w:pPr>
            <w:r>
              <w:rPr>
                <w:kern w:val="0"/>
                <w:szCs w:val="21"/>
              </w:rPr>
              <w:t>0.8%</w:t>
            </w:r>
          </w:p>
        </w:tc>
        <w:tc>
          <w:tcPr>
            <w:tcW w:w="2085" w:type="dxa"/>
            <w:vAlign w:val="center"/>
          </w:tcPr>
          <w:p w14:paraId="28752FA7">
            <w:pPr>
              <w:spacing w:line="320" w:lineRule="exact"/>
              <w:ind w:firstLine="210" w:firstLineChars="100"/>
              <w:rPr>
                <w:szCs w:val="21"/>
              </w:rPr>
            </w:pPr>
            <w:r>
              <w:rPr>
                <w:kern w:val="0"/>
                <w:szCs w:val="21"/>
              </w:rPr>
              <w:t xml:space="preserve">0.7% </w:t>
            </w:r>
          </w:p>
        </w:tc>
      </w:tr>
      <w:tr w14:paraId="617BE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3472" w:type="dxa"/>
            <w:vAlign w:val="center"/>
          </w:tcPr>
          <w:p w14:paraId="2CFB100E">
            <w:pPr>
              <w:spacing w:line="320" w:lineRule="exact"/>
              <w:rPr>
                <w:szCs w:val="21"/>
              </w:rPr>
            </w:pPr>
            <w:r>
              <w:rPr>
                <w:szCs w:val="21"/>
              </w:rPr>
              <w:t>500～1000万元</w:t>
            </w:r>
          </w:p>
        </w:tc>
        <w:tc>
          <w:tcPr>
            <w:tcW w:w="2061" w:type="dxa"/>
            <w:vAlign w:val="center"/>
          </w:tcPr>
          <w:p w14:paraId="352580B7">
            <w:pPr>
              <w:spacing w:line="320" w:lineRule="exact"/>
              <w:rPr>
                <w:szCs w:val="21"/>
              </w:rPr>
            </w:pPr>
            <w:r>
              <w:rPr>
                <w:kern w:val="0"/>
                <w:szCs w:val="21"/>
              </w:rPr>
              <w:t xml:space="preserve">  0.8%                </w:t>
            </w:r>
          </w:p>
        </w:tc>
        <w:tc>
          <w:tcPr>
            <w:tcW w:w="2100" w:type="dxa"/>
            <w:vAlign w:val="center"/>
          </w:tcPr>
          <w:p w14:paraId="481C76DE">
            <w:pPr>
              <w:spacing w:line="320" w:lineRule="exact"/>
              <w:ind w:firstLine="210" w:firstLineChars="100"/>
              <w:rPr>
                <w:szCs w:val="21"/>
              </w:rPr>
            </w:pPr>
            <w:r>
              <w:rPr>
                <w:kern w:val="0"/>
                <w:szCs w:val="21"/>
              </w:rPr>
              <w:t>0.45%</w:t>
            </w:r>
          </w:p>
        </w:tc>
        <w:tc>
          <w:tcPr>
            <w:tcW w:w="2085" w:type="dxa"/>
            <w:vAlign w:val="center"/>
          </w:tcPr>
          <w:p w14:paraId="6D7DA569">
            <w:pPr>
              <w:spacing w:line="320" w:lineRule="exact"/>
              <w:ind w:firstLine="210" w:firstLineChars="100"/>
              <w:rPr>
                <w:szCs w:val="21"/>
              </w:rPr>
            </w:pPr>
            <w:r>
              <w:rPr>
                <w:kern w:val="0"/>
                <w:szCs w:val="21"/>
              </w:rPr>
              <w:t>0.55%</w:t>
            </w:r>
          </w:p>
        </w:tc>
      </w:tr>
      <w:tr w14:paraId="13104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3472" w:type="dxa"/>
            <w:vAlign w:val="center"/>
          </w:tcPr>
          <w:p w14:paraId="7F146E08">
            <w:pPr>
              <w:spacing w:line="320" w:lineRule="exact"/>
              <w:rPr>
                <w:szCs w:val="21"/>
              </w:rPr>
            </w:pPr>
            <w:r>
              <w:rPr>
                <w:szCs w:val="21"/>
              </w:rPr>
              <w:t>1000～5000万元</w:t>
            </w:r>
          </w:p>
        </w:tc>
        <w:tc>
          <w:tcPr>
            <w:tcW w:w="2061" w:type="dxa"/>
            <w:vAlign w:val="center"/>
          </w:tcPr>
          <w:p w14:paraId="3EA68319">
            <w:pPr>
              <w:spacing w:line="320" w:lineRule="exact"/>
              <w:ind w:firstLine="210" w:firstLineChars="100"/>
              <w:rPr>
                <w:szCs w:val="21"/>
              </w:rPr>
            </w:pPr>
            <w:r>
              <w:rPr>
                <w:kern w:val="0"/>
                <w:szCs w:val="21"/>
              </w:rPr>
              <w:t xml:space="preserve">0.5%                </w:t>
            </w:r>
          </w:p>
        </w:tc>
        <w:tc>
          <w:tcPr>
            <w:tcW w:w="2100" w:type="dxa"/>
            <w:vAlign w:val="center"/>
          </w:tcPr>
          <w:p w14:paraId="01AB38C4">
            <w:pPr>
              <w:spacing w:line="320" w:lineRule="exact"/>
              <w:ind w:firstLine="210" w:firstLineChars="100"/>
              <w:rPr>
                <w:szCs w:val="21"/>
              </w:rPr>
            </w:pPr>
            <w:r>
              <w:rPr>
                <w:kern w:val="0"/>
                <w:szCs w:val="21"/>
              </w:rPr>
              <w:t>0.25%</w:t>
            </w:r>
          </w:p>
        </w:tc>
        <w:tc>
          <w:tcPr>
            <w:tcW w:w="2085" w:type="dxa"/>
            <w:vAlign w:val="center"/>
          </w:tcPr>
          <w:p w14:paraId="04662F05">
            <w:pPr>
              <w:spacing w:line="320" w:lineRule="exact"/>
              <w:ind w:firstLine="210" w:firstLineChars="100"/>
              <w:rPr>
                <w:szCs w:val="21"/>
              </w:rPr>
            </w:pPr>
            <w:r>
              <w:rPr>
                <w:kern w:val="0"/>
                <w:szCs w:val="21"/>
              </w:rPr>
              <w:t xml:space="preserve">0.35% </w:t>
            </w:r>
          </w:p>
        </w:tc>
      </w:tr>
      <w:tr w14:paraId="0C37A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3472" w:type="dxa"/>
            <w:vAlign w:val="center"/>
          </w:tcPr>
          <w:p w14:paraId="14859C47">
            <w:pPr>
              <w:spacing w:line="320" w:lineRule="exact"/>
              <w:rPr>
                <w:szCs w:val="21"/>
              </w:rPr>
            </w:pPr>
            <w:r>
              <w:rPr>
                <w:szCs w:val="21"/>
              </w:rPr>
              <w:t>5000万元～1亿元</w:t>
            </w:r>
          </w:p>
        </w:tc>
        <w:tc>
          <w:tcPr>
            <w:tcW w:w="2061" w:type="dxa"/>
            <w:vAlign w:val="center"/>
          </w:tcPr>
          <w:p w14:paraId="12BBA1D5">
            <w:pPr>
              <w:spacing w:line="320" w:lineRule="exact"/>
              <w:ind w:firstLine="210" w:firstLineChars="100"/>
              <w:rPr>
                <w:szCs w:val="21"/>
              </w:rPr>
            </w:pPr>
            <w:r>
              <w:rPr>
                <w:kern w:val="0"/>
                <w:szCs w:val="21"/>
              </w:rPr>
              <w:t xml:space="preserve">0.25%                 </w:t>
            </w:r>
          </w:p>
        </w:tc>
        <w:tc>
          <w:tcPr>
            <w:tcW w:w="2100" w:type="dxa"/>
            <w:vAlign w:val="center"/>
          </w:tcPr>
          <w:p w14:paraId="4A5FDE8B">
            <w:pPr>
              <w:spacing w:line="320" w:lineRule="exact"/>
              <w:ind w:firstLine="210" w:firstLineChars="100"/>
              <w:rPr>
                <w:szCs w:val="21"/>
              </w:rPr>
            </w:pPr>
            <w:r>
              <w:rPr>
                <w:kern w:val="0"/>
                <w:szCs w:val="21"/>
              </w:rPr>
              <w:t>0.1%</w:t>
            </w:r>
          </w:p>
        </w:tc>
        <w:tc>
          <w:tcPr>
            <w:tcW w:w="2085" w:type="dxa"/>
            <w:vAlign w:val="center"/>
          </w:tcPr>
          <w:p w14:paraId="0D52F375">
            <w:pPr>
              <w:spacing w:line="320" w:lineRule="exact"/>
              <w:ind w:firstLine="210" w:firstLineChars="100"/>
              <w:rPr>
                <w:szCs w:val="21"/>
              </w:rPr>
            </w:pPr>
            <w:r>
              <w:rPr>
                <w:kern w:val="0"/>
                <w:szCs w:val="21"/>
              </w:rPr>
              <w:t>0.2%</w:t>
            </w:r>
          </w:p>
        </w:tc>
      </w:tr>
      <w:tr w14:paraId="274A6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3472" w:type="dxa"/>
            <w:vAlign w:val="center"/>
          </w:tcPr>
          <w:p w14:paraId="326BE215">
            <w:pPr>
              <w:spacing w:line="320" w:lineRule="exact"/>
              <w:rPr>
                <w:szCs w:val="21"/>
              </w:rPr>
            </w:pPr>
            <w:r>
              <w:rPr>
                <w:szCs w:val="21"/>
              </w:rPr>
              <w:t>1～5亿元</w:t>
            </w:r>
          </w:p>
        </w:tc>
        <w:tc>
          <w:tcPr>
            <w:tcW w:w="2061" w:type="dxa"/>
            <w:vAlign w:val="center"/>
          </w:tcPr>
          <w:p w14:paraId="6F4BBB6A">
            <w:pPr>
              <w:spacing w:line="320" w:lineRule="exact"/>
              <w:ind w:firstLine="210" w:firstLineChars="100"/>
              <w:rPr>
                <w:szCs w:val="21"/>
              </w:rPr>
            </w:pPr>
            <w:r>
              <w:rPr>
                <w:szCs w:val="21"/>
              </w:rPr>
              <w:t>0.05%</w:t>
            </w:r>
          </w:p>
        </w:tc>
        <w:tc>
          <w:tcPr>
            <w:tcW w:w="2100" w:type="dxa"/>
            <w:vAlign w:val="center"/>
          </w:tcPr>
          <w:p w14:paraId="03044002">
            <w:pPr>
              <w:spacing w:line="320" w:lineRule="exact"/>
              <w:rPr>
                <w:szCs w:val="21"/>
              </w:rPr>
            </w:pPr>
            <w:r>
              <w:rPr>
                <w:szCs w:val="21"/>
              </w:rPr>
              <w:t xml:space="preserve">  0.05%</w:t>
            </w:r>
          </w:p>
        </w:tc>
        <w:tc>
          <w:tcPr>
            <w:tcW w:w="2085" w:type="dxa"/>
            <w:vAlign w:val="center"/>
          </w:tcPr>
          <w:p w14:paraId="3B035E49">
            <w:pPr>
              <w:spacing w:line="320" w:lineRule="exact"/>
              <w:rPr>
                <w:szCs w:val="21"/>
              </w:rPr>
            </w:pPr>
            <w:r>
              <w:rPr>
                <w:szCs w:val="21"/>
              </w:rPr>
              <w:t xml:space="preserve">  0.05%</w:t>
            </w:r>
          </w:p>
        </w:tc>
      </w:tr>
      <w:tr w14:paraId="5AAC6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3472" w:type="dxa"/>
            <w:vAlign w:val="center"/>
          </w:tcPr>
          <w:p w14:paraId="50DF1823">
            <w:pPr>
              <w:spacing w:line="320" w:lineRule="exact"/>
              <w:rPr>
                <w:szCs w:val="21"/>
              </w:rPr>
            </w:pPr>
            <w:r>
              <w:rPr>
                <w:szCs w:val="21"/>
              </w:rPr>
              <w:t>5～10亿元</w:t>
            </w:r>
          </w:p>
        </w:tc>
        <w:tc>
          <w:tcPr>
            <w:tcW w:w="2061" w:type="dxa"/>
            <w:vAlign w:val="center"/>
          </w:tcPr>
          <w:p w14:paraId="0B6797B2">
            <w:pPr>
              <w:spacing w:line="320" w:lineRule="exact"/>
              <w:ind w:firstLine="105" w:firstLineChars="50"/>
              <w:rPr>
                <w:szCs w:val="21"/>
              </w:rPr>
            </w:pPr>
            <w:r>
              <w:rPr>
                <w:szCs w:val="21"/>
              </w:rPr>
              <w:t>0.035%</w:t>
            </w:r>
          </w:p>
        </w:tc>
        <w:tc>
          <w:tcPr>
            <w:tcW w:w="2100" w:type="dxa"/>
            <w:vAlign w:val="center"/>
          </w:tcPr>
          <w:p w14:paraId="7F656B9B">
            <w:pPr>
              <w:spacing w:line="320" w:lineRule="exact"/>
              <w:rPr>
                <w:szCs w:val="21"/>
              </w:rPr>
            </w:pPr>
            <w:r>
              <w:rPr>
                <w:szCs w:val="21"/>
              </w:rPr>
              <w:t xml:space="preserve">  0.035%</w:t>
            </w:r>
          </w:p>
        </w:tc>
        <w:tc>
          <w:tcPr>
            <w:tcW w:w="2085" w:type="dxa"/>
            <w:vAlign w:val="center"/>
          </w:tcPr>
          <w:p w14:paraId="56996C61">
            <w:pPr>
              <w:spacing w:line="320" w:lineRule="exact"/>
              <w:ind w:firstLine="105" w:firstLineChars="50"/>
              <w:rPr>
                <w:szCs w:val="21"/>
              </w:rPr>
            </w:pPr>
            <w:r>
              <w:rPr>
                <w:szCs w:val="21"/>
              </w:rPr>
              <w:t>0.035%</w:t>
            </w:r>
          </w:p>
        </w:tc>
      </w:tr>
      <w:tr w14:paraId="40696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3472" w:type="dxa"/>
            <w:vAlign w:val="center"/>
          </w:tcPr>
          <w:p w14:paraId="35593E67">
            <w:pPr>
              <w:spacing w:line="320" w:lineRule="exact"/>
              <w:rPr>
                <w:szCs w:val="21"/>
              </w:rPr>
            </w:pPr>
            <w:r>
              <w:rPr>
                <w:szCs w:val="21"/>
              </w:rPr>
              <w:t>10～50亿元</w:t>
            </w:r>
          </w:p>
        </w:tc>
        <w:tc>
          <w:tcPr>
            <w:tcW w:w="2061" w:type="dxa"/>
            <w:vAlign w:val="center"/>
          </w:tcPr>
          <w:p w14:paraId="13EED2C8">
            <w:pPr>
              <w:spacing w:line="320" w:lineRule="exact"/>
              <w:ind w:firstLine="105" w:firstLineChars="50"/>
              <w:rPr>
                <w:szCs w:val="21"/>
              </w:rPr>
            </w:pPr>
            <w:r>
              <w:rPr>
                <w:szCs w:val="21"/>
              </w:rPr>
              <w:t>0.008%</w:t>
            </w:r>
          </w:p>
        </w:tc>
        <w:tc>
          <w:tcPr>
            <w:tcW w:w="2100" w:type="dxa"/>
            <w:vAlign w:val="center"/>
          </w:tcPr>
          <w:p w14:paraId="5B5A0EDA">
            <w:pPr>
              <w:spacing w:line="320" w:lineRule="exact"/>
              <w:ind w:firstLine="210" w:firstLineChars="100"/>
              <w:rPr>
                <w:szCs w:val="21"/>
              </w:rPr>
            </w:pPr>
            <w:r>
              <w:rPr>
                <w:szCs w:val="21"/>
              </w:rPr>
              <w:t>0.008%</w:t>
            </w:r>
          </w:p>
        </w:tc>
        <w:tc>
          <w:tcPr>
            <w:tcW w:w="2085" w:type="dxa"/>
            <w:vAlign w:val="center"/>
          </w:tcPr>
          <w:p w14:paraId="01405174">
            <w:pPr>
              <w:spacing w:line="320" w:lineRule="exact"/>
              <w:ind w:firstLine="105" w:firstLineChars="50"/>
              <w:rPr>
                <w:szCs w:val="21"/>
              </w:rPr>
            </w:pPr>
            <w:r>
              <w:rPr>
                <w:szCs w:val="21"/>
              </w:rPr>
              <w:t>0.008%</w:t>
            </w:r>
          </w:p>
        </w:tc>
      </w:tr>
      <w:tr w14:paraId="7E1A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3472" w:type="dxa"/>
            <w:vAlign w:val="center"/>
          </w:tcPr>
          <w:p w14:paraId="527D10A7">
            <w:pPr>
              <w:spacing w:line="320" w:lineRule="exact"/>
              <w:rPr>
                <w:szCs w:val="21"/>
              </w:rPr>
            </w:pPr>
            <w:r>
              <w:rPr>
                <w:szCs w:val="21"/>
              </w:rPr>
              <w:t>50～100亿元</w:t>
            </w:r>
          </w:p>
        </w:tc>
        <w:tc>
          <w:tcPr>
            <w:tcW w:w="2061" w:type="dxa"/>
            <w:vAlign w:val="center"/>
          </w:tcPr>
          <w:p w14:paraId="5CB2066A">
            <w:pPr>
              <w:spacing w:line="320" w:lineRule="exact"/>
              <w:rPr>
                <w:szCs w:val="21"/>
              </w:rPr>
            </w:pPr>
            <w:r>
              <w:rPr>
                <w:szCs w:val="21"/>
              </w:rPr>
              <w:t xml:space="preserve"> 0.006%</w:t>
            </w:r>
          </w:p>
        </w:tc>
        <w:tc>
          <w:tcPr>
            <w:tcW w:w="2100" w:type="dxa"/>
            <w:vAlign w:val="center"/>
          </w:tcPr>
          <w:p w14:paraId="140B3DF9">
            <w:pPr>
              <w:spacing w:line="320" w:lineRule="exact"/>
              <w:ind w:firstLine="210" w:firstLineChars="100"/>
              <w:rPr>
                <w:szCs w:val="21"/>
              </w:rPr>
            </w:pPr>
            <w:r>
              <w:rPr>
                <w:szCs w:val="21"/>
              </w:rPr>
              <w:t>0.006%</w:t>
            </w:r>
          </w:p>
        </w:tc>
        <w:tc>
          <w:tcPr>
            <w:tcW w:w="2085" w:type="dxa"/>
            <w:vAlign w:val="center"/>
          </w:tcPr>
          <w:p w14:paraId="60CDFCE9">
            <w:pPr>
              <w:spacing w:line="320" w:lineRule="exact"/>
              <w:ind w:firstLine="105" w:firstLineChars="50"/>
              <w:rPr>
                <w:szCs w:val="21"/>
              </w:rPr>
            </w:pPr>
            <w:r>
              <w:rPr>
                <w:szCs w:val="21"/>
              </w:rPr>
              <w:t>0.006%</w:t>
            </w:r>
          </w:p>
        </w:tc>
      </w:tr>
      <w:tr w14:paraId="13CB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3472" w:type="dxa"/>
            <w:vAlign w:val="center"/>
          </w:tcPr>
          <w:p w14:paraId="4A91AE41">
            <w:pPr>
              <w:spacing w:line="320" w:lineRule="exact"/>
              <w:rPr>
                <w:szCs w:val="21"/>
              </w:rPr>
            </w:pPr>
            <w:r>
              <w:rPr>
                <w:szCs w:val="21"/>
              </w:rPr>
              <w:t>100亿以上</w:t>
            </w:r>
          </w:p>
        </w:tc>
        <w:tc>
          <w:tcPr>
            <w:tcW w:w="2061" w:type="dxa"/>
            <w:vAlign w:val="center"/>
          </w:tcPr>
          <w:p w14:paraId="34521151">
            <w:pPr>
              <w:spacing w:line="320" w:lineRule="exact"/>
              <w:rPr>
                <w:szCs w:val="21"/>
              </w:rPr>
            </w:pPr>
            <w:r>
              <w:rPr>
                <w:szCs w:val="21"/>
              </w:rPr>
              <w:t xml:space="preserve"> 0.004%</w:t>
            </w:r>
          </w:p>
        </w:tc>
        <w:tc>
          <w:tcPr>
            <w:tcW w:w="2100" w:type="dxa"/>
            <w:vAlign w:val="center"/>
          </w:tcPr>
          <w:p w14:paraId="36430114">
            <w:pPr>
              <w:spacing w:line="320" w:lineRule="exact"/>
              <w:ind w:firstLine="210" w:firstLineChars="100"/>
              <w:rPr>
                <w:szCs w:val="21"/>
              </w:rPr>
            </w:pPr>
            <w:r>
              <w:rPr>
                <w:szCs w:val="21"/>
              </w:rPr>
              <w:t>0.004%</w:t>
            </w:r>
          </w:p>
        </w:tc>
        <w:tc>
          <w:tcPr>
            <w:tcW w:w="2085" w:type="dxa"/>
            <w:vAlign w:val="center"/>
          </w:tcPr>
          <w:p w14:paraId="042F1939">
            <w:pPr>
              <w:spacing w:line="320" w:lineRule="exact"/>
              <w:ind w:firstLine="105" w:firstLineChars="50"/>
              <w:rPr>
                <w:szCs w:val="21"/>
              </w:rPr>
            </w:pPr>
            <w:r>
              <w:rPr>
                <w:szCs w:val="21"/>
              </w:rPr>
              <w:t>0.004%</w:t>
            </w:r>
          </w:p>
        </w:tc>
      </w:tr>
    </w:tbl>
    <w:p w14:paraId="7B9BBA38">
      <w:pPr>
        <w:spacing w:before="60" w:line="360" w:lineRule="auto"/>
        <w:ind w:firstLine="420" w:firstLineChars="200"/>
        <w:rPr>
          <w:szCs w:val="21"/>
        </w:rPr>
      </w:pPr>
      <w:r>
        <w:rPr>
          <w:szCs w:val="21"/>
        </w:rPr>
        <w:t>注：</w:t>
      </w:r>
    </w:p>
    <w:p w14:paraId="33E55342">
      <w:pPr>
        <w:spacing w:line="360" w:lineRule="auto"/>
        <w:ind w:firstLine="420" w:firstLineChars="200"/>
        <w:rPr>
          <w:szCs w:val="21"/>
        </w:rPr>
      </w:pPr>
      <w:r>
        <w:rPr>
          <w:szCs w:val="21"/>
        </w:rPr>
        <w:t>（1）按本表费率计算的收费为采购代理的收费基准价格；</w:t>
      </w:r>
    </w:p>
    <w:p w14:paraId="308886C2">
      <w:pPr>
        <w:spacing w:line="360" w:lineRule="auto"/>
        <w:ind w:firstLine="420" w:firstLineChars="200"/>
        <w:rPr>
          <w:szCs w:val="21"/>
        </w:rPr>
      </w:pPr>
      <w:r>
        <w:rPr>
          <w:szCs w:val="21"/>
        </w:rPr>
        <w:t>（2）采购代理收费按差额定率累进法计算。</w:t>
      </w:r>
    </w:p>
    <w:p w14:paraId="1F811013">
      <w:pPr>
        <w:spacing w:line="360" w:lineRule="auto"/>
        <w:ind w:firstLine="420" w:firstLineChars="200"/>
        <w:rPr>
          <w:szCs w:val="21"/>
        </w:rPr>
      </w:pPr>
      <w:r>
        <w:rPr>
          <w:szCs w:val="21"/>
        </w:rPr>
        <w:t>例如：某服务采购代理业务成交金额或者暂定价为150万元，计算采购代理收费额如下：</w:t>
      </w:r>
    </w:p>
    <w:p w14:paraId="0D88F4C4">
      <w:pPr>
        <w:spacing w:line="360" w:lineRule="auto"/>
        <w:ind w:firstLine="420" w:firstLineChars="200"/>
        <w:rPr>
          <w:szCs w:val="21"/>
        </w:rPr>
      </w:pPr>
      <w:r>
        <w:rPr>
          <w:szCs w:val="21"/>
        </w:rPr>
        <w:t>100 万元 ×l.5 %＝ 1.5 万元</w:t>
      </w:r>
    </w:p>
    <w:p w14:paraId="177A3912">
      <w:pPr>
        <w:spacing w:line="360" w:lineRule="auto"/>
        <w:ind w:firstLine="420" w:firstLineChars="200"/>
        <w:rPr>
          <w:szCs w:val="21"/>
        </w:rPr>
      </w:pPr>
      <w:r>
        <w:rPr>
          <w:szCs w:val="21"/>
        </w:rPr>
        <w:t>（ 150 － 100 ）万元 ×0.8%＝ 0.4万元</w:t>
      </w:r>
    </w:p>
    <w:p w14:paraId="7187A163">
      <w:pPr>
        <w:spacing w:line="360" w:lineRule="auto"/>
        <w:ind w:firstLine="420" w:firstLineChars="200"/>
        <w:rPr>
          <w:szCs w:val="21"/>
        </w:rPr>
      </w:pPr>
      <w:r>
        <w:rPr>
          <w:szCs w:val="21"/>
        </w:rPr>
        <w:t>合计收费＝ 1.5 ＋ 0.4＝ 1.9 万元</w:t>
      </w:r>
    </w:p>
    <w:p w14:paraId="7C370797">
      <w:pPr>
        <w:spacing w:line="360" w:lineRule="auto"/>
        <w:ind w:firstLine="420" w:firstLineChars="200"/>
        <w:outlineLvl w:val="1"/>
        <w:rPr>
          <w:rFonts w:hint="eastAsia"/>
          <w:szCs w:val="21"/>
          <w:lang w:val="en-US" w:eastAsia="zh-CN"/>
        </w:rPr>
      </w:pPr>
      <w:r>
        <w:rPr>
          <w:rFonts w:hint="eastAsia"/>
          <w:szCs w:val="21"/>
          <w:lang w:val="en-US" w:eastAsia="zh-CN"/>
        </w:rPr>
        <w:t>40</w:t>
      </w:r>
      <w:r>
        <w:rPr>
          <w:rFonts w:hint="eastAsia" w:ascii="Times New Roman" w:hAnsi="Times New Roman" w:eastAsia="宋体" w:cs="Times New Roman"/>
          <w:b w:val="0"/>
          <w:kern w:val="2"/>
          <w:sz w:val="21"/>
          <w:szCs w:val="21"/>
          <w:highlight w:val="none"/>
          <w:lang w:val="en-US" w:eastAsia="zh-CN" w:bidi="ar-SA"/>
        </w:rPr>
        <w:t>．</w:t>
      </w:r>
      <w:r>
        <w:rPr>
          <w:rFonts w:hint="eastAsia"/>
          <w:szCs w:val="21"/>
          <w:lang w:val="en-US" w:eastAsia="zh-CN"/>
        </w:rPr>
        <w:t>需要补充的其他内容</w:t>
      </w:r>
    </w:p>
    <w:p w14:paraId="6D0AC091">
      <w:pPr>
        <w:spacing w:line="360" w:lineRule="auto"/>
        <w:ind w:firstLine="420" w:firstLineChars="200"/>
        <w:outlineLvl w:val="1"/>
        <w:rPr>
          <w:rFonts w:hint="eastAsia"/>
          <w:szCs w:val="21"/>
          <w:lang w:val="en-US" w:eastAsia="zh-CN"/>
        </w:rPr>
      </w:pPr>
      <w:r>
        <w:rPr>
          <w:rFonts w:hint="eastAsia"/>
          <w:szCs w:val="21"/>
          <w:lang w:val="en-US" w:eastAsia="zh-CN"/>
        </w:rPr>
        <w:t>40.1本招标文件解释规则详见</w:t>
      </w:r>
      <w:r>
        <w:rPr>
          <w:rFonts w:hint="default" w:ascii="Times New Roman" w:hAnsi="Times New Roman" w:eastAsia="宋体"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投标人须知前附表</w:t>
      </w:r>
      <w:r>
        <w:rPr>
          <w:rFonts w:hint="default" w:ascii="Times New Roman" w:hAnsi="Times New Roman" w:eastAsia="宋体" w:cs="Times New Roman"/>
          <w:b w:val="0"/>
          <w:kern w:val="2"/>
          <w:sz w:val="21"/>
          <w:szCs w:val="21"/>
          <w:highlight w:val="none"/>
          <w:lang w:val="en-US" w:eastAsia="zh-CN" w:bidi="ar-SA"/>
        </w:rPr>
        <w:t>”</w:t>
      </w:r>
      <w:r>
        <w:rPr>
          <w:rFonts w:hint="eastAsia"/>
          <w:szCs w:val="21"/>
          <w:lang w:val="en-US" w:eastAsia="zh-CN"/>
        </w:rPr>
        <w:t>。</w:t>
      </w:r>
    </w:p>
    <w:p w14:paraId="342027B8">
      <w:pPr>
        <w:spacing w:line="360" w:lineRule="auto"/>
        <w:ind w:firstLine="420" w:firstLineChars="200"/>
        <w:outlineLvl w:val="1"/>
        <w:rPr>
          <w:rFonts w:hint="eastAsia"/>
          <w:szCs w:val="21"/>
          <w:lang w:val="en-US" w:eastAsia="zh-CN"/>
        </w:rPr>
      </w:pPr>
      <w:r>
        <w:rPr>
          <w:rFonts w:hint="eastAsia"/>
          <w:szCs w:val="21"/>
          <w:lang w:val="en-US" w:eastAsia="zh-CN"/>
        </w:rPr>
        <w:t>40.2其他事项详见</w:t>
      </w:r>
      <w:r>
        <w:rPr>
          <w:rFonts w:hint="default" w:ascii="Times New Roman" w:hAnsi="Times New Roman" w:eastAsia="宋体" w:cs="Times New Roman"/>
          <w:b w:val="0"/>
          <w:kern w:val="2"/>
          <w:sz w:val="21"/>
          <w:szCs w:val="21"/>
          <w:highlight w:val="none"/>
          <w:lang w:val="en-US" w:eastAsia="zh-CN" w:bidi="ar-SA"/>
        </w:rPr>
        <w:t>“</w:t>
      </w:r>
      <w:r>
        <w:rPr>
          <w:rFonts w:hint="eastAsia" w:ascii="Times New Roman" w:hAnsi="Times New Roman" w:eastAsia="宋体" w:cs="Times New Roman"/>
          <w:b w:val="0"/>
          <w:kern w:val="2"/>
          <w:sz w:val="21"/>
          <w:szCs w:val="21"/>
          <w:highlight w:val="none"/>
          <w:lang w:val="en-US" w:eastAsia="zh-CN" w:bidi="ar-SA"/>
        </w:rPr>
        <w:t>投标人须知前附表</w:t>
      </w:r>
      <w:r>
        <w:rPr>
          <w:rFonts w:hint="default" w:ascii="Times New Roman" w:hAnsi="Times New Roman" w:eastAsia="宋体" w:cs="Times New Roman"/>
          <w:b w:val="0"/>
          <w:kern w:val="2"/>
          <w:sz w:val="21"/>
          <w:szCs w:val="21"/>
          <w:highlight w:val="none"/>
          <w:lang w:val="en-US" w:eastAsia="zh-CN" w:bidi="ar-SA"/>
        </w:rPr>
        <w:t>”</w:t>
      </w:r>
      <w:r>
        <w:rPr>
          <w:rFonts w:hint="eastAsia"/>
          <w:szCs w:val="21"/>
          <w:lang w:val="en-US" w:eastAsia="zh-CN"/>
        </w:rPr>
        <w:t>。</w:t>
      </w:r>
    </w:p>
    <w:p w14:paraId="35BE6972">
      <w:pPr>
        <w:spacing w:line="360" w:lineRule="auto"/>
        <w:ind w:firstLine="420" w:firstLineChars="200"/>
        <w:outlineLvl w:val="1"/>
        <w:rPr>
          <w:rFonts w:hint="eastAsia"/>
          <w:szCs w:val="21"/>
          <w:lang w:val="en-US" w:eastAsia="zh-CN"/>
        </w:rPr>
      </w:pPr>
      <w:r>
        <w:rPr>
          <w:rFonts w:hint="eastAsia"/>
          <w:szCs w:val="21"/>
          <w:lang w:val="en-US" w:eastAsia="zh-CN"/>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5CD18EE7">
      <w:pPr>
        <w:spacing w:line="360" w:lineRule="auto"/>
        <w:ind w:firstLine="420" w:firstLineChars="200"/>
        <w:outlineLvl w:val="1"/>
        <w:rPr>
          <w:rFonts w:hint="default"/>
          <w:szCs w:val="21"/>
          <w:lang w:val="en-US" w:eastAsia="zh-CN"/>
        </w:rPr>
      </w:pPr>
      <w:r>
        <w:rPr>
          <w:rFonts w:hint="eastAsia" w:cs="Times New Roman"/>
          <w:b w:val="0"/>
          <w:kern w:val="2"/>
          <w:sz w:val="21"/>
          <w:szCs w:val="21"/>
          <w:highlight w:val="none"/>
          <w:lang w:val="en-US" w:eastAsia="zh-CN" w:bidi="ar-SA"/>
        </w:rPr>
        <w:t>（1）</w:t>
      </w:r>
      <w:r>
        <w:rPr>
          <w:rFonts w:hint="eastAsia"/>
          <w:szCs w:val="21"/>
          <w:lang w:val="en-US" w:eastAsia="zh-CN"/>
        </w:rPr>
        <w:t xml:space="preserve">在货物采购项目中，货物由中小企业制造，即货物由中小企业生产且使用该中小企业商号或者注册商标，不对其中涉及的工程承建商和服务的承接商作出要求； </w:t>
      </w:r>
    </w:p>
    <w:p w14:paraId="73D7E436">
      <w:pPr>
        <w:spacing w:line="360" w:lineRule="auto"/>
        <w:ind w:firstLine="420" w:firstLineChars="200"/>
        <w:outlineLvl w:val="1"/>
        <w:rPr>
          <w:rFonts w:hint="eastAsia"/>
          <w:szCs w:val="21"/>
          <w:lang w:val="en-US" w:eastAsia="zh-CN"/>
        </w:rPr>
      </w:pPr>
      <w:r>
        <w:rPr>
          <w:rFonts w:hint="eastAsia" w:cs="Times New Roman"/>
          <w:b w:val="0"/>
          <w:kern w:val="2"/>
          <w:sz w:val="21"/>
          <w:szCs w:val="21"/>
          <w:highlight w:val="none"/>
          <w:lang w:val="en-US" w:eastAsia="zh-CN" w:bidi="ar-SA"/>
        </w:rPr>
        <w:t>（2）</w:t>
      </w:r>
      <w:r>
        <w:rPr>
          <w:rFonts w:hint="eastAsia"/>
          <w:szCs w:val="21"/>
          <w:lang w:val="en-US" w:eastAsia="zh-CN"/>
        </w:rPr>
        <w:t>在工程采购项目中，工程由中小企业承建，即工程施工单位为中小企业，不对其中涉及的货物的制造商和服务的承接商作出要求；</w:t>
      </w:r>
    </w:p>
    <w:p w14:paraId="7E607427">
      <w:pPr>
        <w:spacing w:line="360" w:lineRule="auto"/>
        <w:ind w:firstLine="420" w:firstLineChars="200"/>
        <w:outlineLvl w:val="1"/>
        <w:rPr>
          <w:rFonts w:hint="eastAsia"/>
          <w:szCs w:val="21"/>
          <w:lang w:val="en-US" w:eastAsia="zh-CN"/>
        </w:rPr>
      </w:pPr>
      <w:r>
        <w:rPr>
          <w:rFonts w:hint="eastAsia" w:cs="Times New Roman"/>
          <w:b w:val="0"/>
          <w:kern w:val="2"/>
          <w:sz w:val="21"/>
          <w:szCs w:val="21"/>
          <w:highlight w:val="none"/>
          <w:lang w:val="en-US" w:eastAsia="zh-CN" w:bidi="ar-SA"/>
        </w:rPr>
        <w:t>（3）</w:t>
      </w:r>
      <w:r>
        <w:rPr>
          <w:rFonts w:hint="eastAsia"/>
          <w:szCs w:val="21"/>
          <w:lang w:val="en-US" w:eastAsia="zh-CN"/>
        </w:rPr>
        <w:t>在服务采购项目中，服务由中小企业承接，即提供服务的人员为中小企业依照《中华人民共和国劳动合同法》订立劳动合同的从业人员，不对其中涉及的货物的制造商和工程承建商作出要求。</w:t>
      </w:r>
    </w:p>
    <w:p w14:paraId="0DB0E944">
      <w:pPr>
        <w:spacing w:line="360" w:lineRule="auto"/>
        <w:ind w:firstLine="420" w:firstLineChars="200"/>
        <w:outlineLvl w:val="1"/>
        <w:rPr>
          <w:rFonts w:hint="eastAsia"/>
          <w:szCs w:val="21"/>
          <w:lang w:val="en-US" w:eastAsia="zh-CN"/>
        </w:rPr>
      </w:pPr>
      <w:r>
        <w:rPr>
          <w:rFonts w:hint="eastAsia"/>
          <w:szCs w:val="21"/>
          <w:lang w:val="en-US" w:eastAsia="zh-CN"/>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3B393FB0">
      <w:pPr>
        <w:spacing w:line="360" w:lineRule="auto"/>
        <w:ind w:firstLine="420" w:firstLineChars="200"/>
        <w:outlineLvl w:val="1"/>
        <w:rPr>
          <w:rFonts w:hint="eastAsia"/>
          <w:szCs w:val="21"/>
          <w:lang w:val="en-US" w:eastAsia="zh-CN"/>
        </w:rPr>
      </w:pPr>
      <w:r>
        <w:rPr>
          <w:rFonts w:hint="eastAsia"/>
          <w:szCs w:val="21"/>
          <w:lang w:val="en-US" w:eastAsia="zh-CN"/>
        </w:rPr>
        <w:t>依据本招标文件规定享受扶持政策获得政府采购合同的，小微企业不得将合同分包给大中型企业，中型企业不得将合同分包给大型企业。</w:t>
      </w:r>
    </w:p>
    <w:p w14:paraId="6907EF51">
      <w:pPr>
        <w:tabs>
          <w:tab w:val="left" w:pos="180"/>
          <w:tab w:val="left" w:pos="1620"/>
        </w:tabs>
        <w:spacing w:line="360" w:lineRule="auto"/>
        <w:jc w:val="center"/>
        <w:outlineLvl w:val="0"/>
        <w:rPr>
          <w:highlight w:val="none"/>
        </w:rPr>
      </w:pPr>
      <w:r>
        <w:rPr>
          <w:szCs w:val="21"/>
          <w:highlight w:val="none"/>
        </w:rPr>
        <w:br w:type="page"/>
      </w:r>
      <w:r>
        <w:rPr>
          <w:rFonts w:hint="eastAsia"/>
          <w:b/>
          <w:bCs/>
          <w:sz w:val="32"/>
          <w:szCs w:val="40"/>
          <w:highlight w:val="none"/>
        </w:rPr>
        <w:t>第四章  评</w:t>
      </w:r>
      <w:r>
        <w:rPr>
          <w:rFonts w:hint="eastAsia"/>
          <w:b/>
          <w:bCs/>
          <w:sz w:val="32"/>
          <w:szCs w:val="40"/>
          <w:highlight w:val="none"/>
          <w:lang w:eastAsia="zh-CN"/>
        </w:rPr>
        <w:t>标方法及评标</w:t>
      </w:r>
      <w:r>
        <w:rPr>
          <w:rFonts w:hint="eastAsia"/>
          <w:b/>
          <w:bCs/>
          <w:sz w:val="32"/>
          <w:szCs w:val="40"/>
          <w:highlight w:val="none"/>
        </w:rPr>
        <w:t>标准</w:t>
      </w:r>
    </w:p>
    <w:p w14:paraId="24F8A71C">
      <w:pPr>
        <w:spacing w:before="156" w:beforeLines="50" w:line="360" w:lineRule="exact"/>
        <w:jc w:val="center"/>
        <w:outlineLvl w:val="1"/>
        <w:rPr>
          <w:rFonts w:hint="eastAsia" w:cs="Times New Roman"/>
          <w:b/>
          <w:sz w:val="28"/>
          <w:szCs w:val="28"/>
          <w:highlight w:val="none"/>
          <w:lang w:val="en-US" w:eastAsia="zh-CN"/>
        </w:rPr>
      </w:pPr>
    </w:p>
    <w:p w14:paraId="4B038190">
      <w:pPr>
        <w:spacing w:before="156" w:beforeLines="50" w:line="360" w:lineRule="exact"/>
        <w:jc w:val="center"/>
        <w:outlineLvl w:val="1"/>
        <w:rPr>
          <w:rFonts w:hint="eastAsia" w:ascii="Times New Roman" w:hAnsi="Times New Roman" w:eastAsia="宋体" w:cs="Times New Roman"/>
          <w:b/>
          <w:sz w:val="28"/>
          <w:szCs w:val="28"/>
          <w:highlight w:val="none"/>
          <w:lang w:val="en-US" w:eastAsia="zh-CN"/>
        </w:rPr>
      </w:pPr>
      <w:r>
        <w:rPr>
          <w:rFonts w:hint="eastAsia" w:cs="Times New Roman"/>
          <w:b/>
          <w:sz w:val="28"/>
          <w:szCs w:val="28"/>
          <w:highlight w:val="none"/>
          <w:lang w:val="en-US" w:eastAsia="zh-CN"/>
        </w:rPr>
        <w:t>一、评标方法</w:t>
      </w:r>
    </w:p>
    <w:p w14:paraId="176C87D9">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p>
    <w:p w14:paraId="59C952ED">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综合评分法，是指投标文件满足招标文件全部实质性要求，且按照评审因素的量化指标评审得分最高的投标人为中标候选人的评标方法。</w:t>
      </w:r>
    </w:p>
    <w:p w14:paraId="5A1C6644">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最低评标报法，是指投标文件满足招标文件全部实质性要求，且投标报价最低的投标人为中标候选人的评标方法。</w:t>
      </w:r>
    </w:p>
    <w:p w14:paraId="199DFBB6">
      <w:pPr>
        <w:pStyle w:val="26"/>
        <w:jc w:val="center"/>
        <w:rPr>
          <w:rFonts w:hint="default" w:ascii="Times New Roman" w:hAnsi="Times New Roman" w:eastAsia="宋体" w:cs="Times New Roman"/>
          <w:b/>
          <w:kern w:val="2"/>
          <w:sz w:val="28"/>
          <w:szCs w:val="28"/>
          <w:highlight w:val="none"/>
          <w:lang w:val="en-US" w:eastAsia="zh-CN" w:bidi="ar-SA"/>
        </w:rPr>
      </w:pPr>
      <w:r>
        <w:rPr>
          <w:rFonts w:hint="default" w:ascii="Times New Roman" w:hAnsi="Times New Roman" w:eastAsia="宋体" w:cs="Times New Roman"/>
          <w:b/>
          <w:kern w:val="2"/>
          <w:sz w:val="28"/>
          <w:szCs w:val="28"/>
          <w:highlight w:val="none"/>
          <w:lang w:val="en-US" w:eastAsia="zh-CN" w:bidi="ar-SA"/>
        </w:rPr>
        <w:t>二、评标程序</w:t>
      </w:r>
    </w:p>
    <w:p w14:paraId="7B6C1482">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1</w:t>
      </w:r>
      <w:r>
        <w:rPr>
          <w:rFonts w:hint="eastAsia" w:ascii="Times New Roman" w:hAnsi="Times New Roman" w:eastAsia="宋体" w:cs="Times New Roman"/>
          <w:b w:val="0"/>
          <w:kern w:val="2"/>
          <w:sz w:val="21"/>
          <w:szCs w:val="21"/>
          <w:highlight w:val="none"/>
          <w:lang w:val="en-US" w:eastAsia="zh-CN" w:bidi="ar-SA"/>
        </w:rPr>
        <w:t>．</w:t>
      </w:r>
      <w:r>
        <w:rPr>
          <w:rFonts w:hint="default" w:ascii="Times New Roman" w:hAnsi="Times New Roman" w:eastAsia="宋体" w:cs="Times New Roman"/>
          <w:b w:val="0"/>
          <w:bCs/>
          <w:color w:val="auto"/>
          <w:kern w:val="2"/>
          <w:sz w:val="21"/>
          <w:szCs w:val="21"/>
          <w:lang w:val="en-US" w:eastAsia="zh-CN" w:bidi="ar-SA"/>
        </w:rPr>
        <w:t>符合性审查</w:t>
      </w:r>
    </w:p>
    <w:p w14:paraId="0690633B">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评标委员会应当对符合资格的投标人的投标文件进行投标报价、商务、技术等实质性内容符合性审查，以确定其是否满足招标文件的实质性要求。</w:t>
      </w:r>
    </w:p>
    <w:p w14:paraId="2E179F93">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2</w:t>
      </w:r>
      <w:r>
        <w:rPr>
          <w:rFonts w:hint="eastAsia" w:ascii="Times New Roman" w:hAnsi="Times New Roman" w:eastAsia="宋体" w:cs="Times New Roman"/>
          <w:b w:val="0"/>
          <w:kern w:val="2"/>
          <w:sz w:val="21"/>
          <w:szCs w:val="21"/>
          <w:highlight w:val="none"/>
          <w:lang w:val="en-US" w:eastAsia="zh-CN" w:bidi="ar-SA"/>
        </w:rPr>
        <w:t>．</w:t>
      </w:r>
      <w:r>
        <w:rPr>
          <w:rFonts w:hint="default" w:ascii="Times New Roman" w:hAnsi="Times New Roman" w:eastAsia="宋体" w:cs="Times New Roman"/>
          <w:b w:val="0"/>
          <w:bCs/>
          <w:color w:val="auto"/>
          <w:kern w:val="2"/>
          <w:sz w:val="21"/>
          <w:szCs w:val="21"/>
          <w:lang w:val="en-US" w:eastAsia="zh-CN" w:bidi="ar-SA"/>
        </w:rPr>
        <w:t>符合性审查不通过而导致投标无效的情形</w:t>
      </w:r>
    </w:p>
    <w:p w14:paraId="56C42789">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投标人的投标文件中存在对招标文件的任何实质性要求和条件的负偏离，将被视为投标无效。</w:t>
      </w:r>
    </w:p>
    <w:p w14:paraId="30733AA6">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2.1在报价评审时，如发现下列情形之一的，将被视为投标无效：</w:t>
      </w:r>
    </w:p>
    <w:p w14:paraId="28C8D412">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kern w:val="2"/>
          <w:sz w:val="21"/>
          <w:szCs w:val="21"/>
          <w:highlight w:val="none"/>
          <w:lang w:val="en-US" w:eastAsia="zh-CN" w:bidi="ar-SA"/>
        </w:rPr>
        <w:t>（1）</w:t>
      </w:r>
      <w:r>
        <w:rPr>
          <w:rFonts w:hint="default" w:ascii="Times New Roman" w:hAnsi="Times New Roman" w:eastAsia="宋体" w:cs="Times New Roman"/>
          <w:b w:val="0"/>
          <w:bCs/>
          <w:color w:val="auto"/>
          <w:kern w:val="2"/>
          <w:sz w:val="21"/>
          <w:szCs w:val="21"/>
          <w:lang w:val="en-US" w:eastAsia="zh-CN" w:bidi="ar-SA"/>
        </w:rPr>
        <w:t>报价文件未提供“投标人须知前附表”第13条“报价文件”规定中“必须提供”的文件资料的；</w:t>
      </w:r>
    </w:p>
    <w:p w14:paraId="2AD31D33">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kern w:val="2"/>
          <w:sz w:val="21"/>
          <w:szCs w:val="21"/>
          <w:highlight w:val="none"/>
          <w:lang w:val="en-US" w:eastAsia="zh-CN" w:bidi="ar-SA"/>
        </w:rPr>
        <w:t>（2）</w:t>
      </w:r>
      <w:r>
        <w:rPr>
          <w:rFonts w:hint="default" w:ascii="Times New Roman" w:hAnsi="Times New Roman" w:eastAsia="宋体" w:cs="Times New Roman"/>
          <w:b w:val="0"/>
          <w:bCs/>
          <w:color w:val="auto"/>
          <w:kern w:val="2"/>
          <w:sz w:val="21"/>
          <w:szCs w:val="21"/>
          <w:lang w:val="en-US" w:eastAsia="zh-CN" w:bidi="ar-SA"/>
        </w:rPr>
        <w:t>未采用人民币报价或者未按照招标文件标明的币种报价的；</w:t>
      </w:r>
    </w:p>
    <w:p w14:paraId="7E0F6607">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kern w:val="2"/>
          <w:sz w:val="21"/>
          <w:szCs w:val="21"/>
          <w:highlight w:val="none"/>
          <w:lang w:val="en-US" w:eastAsia="zh-CN" w:bidi="ar-SA"/>
        </w:rPr>
        <w:t>（3）</w:t>
      </w:r>
      <w:r>
        <w:rPr>
          <w:rFonts w:hint="default" w:ascii="Times New Roman" w:hAnsi="Times New Roman" w:eastAsia="宋体" w:cs="Times New Roman"/>
          <w:b w:val="0"/>
          <w:bCs/>
          <w:color w:val="auto"/>
          <w:kern w:val="2"/>
          <w:sz w:val="21"/>
          <w:szCs w:val="21"/>
          <w:lang w:val="en-US" w:eastAsia="zh-CN" w:bidi="ar-SA"/>
        </w:rPr>
        <w:t>各分标报价超出招标文件相应分标规定最高限价，或者超出相应分标采购预算金额的；</w:t>
      </w:r>
    </w:p>
    <w:p w14:paraId="75089381">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kern w:val="2"/>
          <w:sz w:val="21"/>
          <w:szCs w:val="21"/>
          <w:highlight w:val="none"/>
          <w:lang w:val="en-US" w:eastAsia="zh-CN" w:bidi="ar-SA"/>
        </w:rPr>
        <w:t>（4）</w:t>
      </w:r>
      <w:r>
        <w:rPr>
          <w:rFonts w:hint="default" w:ascii="Times New Roman" w:hAnsi="Times New Roman" w:eastAsia="宋体" w:cs="Times New Roman"/>
          <w:b w:val="0"/>
          <w:bCs/>
          <w:color w:val="auto"/>
          <w:kern w:val="2"/>
          <w:sz w:val="21"/>
          <w:szCs w:val="21"/>
          <w:lang w:val="en-US" w:eastAsia="zh-CN" w:bidi="ar-SA"/>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r>
        <w:rPr>
          <w:rFonts w:hint="eastAsia" w:cs="Times New Roman"/>
          <w:b w:val="0"/>
          <w:bCs/>
          <w:color w:val="auto"/>
          <w:kern w:val="2"/>
          <w:sz w:val="21"/>
          <w:szCs w:val="21"/>
          <w:lang w:val="en-US" w:eastAsia="zh-CN" w:bidi="ar-SA"/>
        </w:rPr>
        <w:t>）</w:t>
      </w:r>
      <w:r>
        <w:rPr>
          <w:rFonts w:hint="default" w:ascii="Times New Roman" w:hAnsi="Times New Roman" w:eastAsia="宋体" w:cs="Times New Roman"/>
          <w:b w:val="0"/>
          <w:bCs/>
          <w:color w:val="auto"/>
          <w:kern w:val="2"/>
          <w:sz w:val="21"/>
          <w:szCs w:val="21"/>
          <w:lang w:val="en-US" w:eastAsia="zh-CN" w:bidi="ar-SA"/>
        </w:rPr>
        <w:t>；</w:t>
      </w:r>
    </w:p>
    <w:p w14:paraId="5DD0CF33">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kern w:val="2"/>
          <w:sz w:val="21"/>
          <w:szCs w:val="21"/>
          <w:highlight w:val="none"/>
          <w:lang w:val="en-US" w:eastAsia="zh-CN" w:bidi="ar-SA"/>
        </w:rPr>
        <w:t>（5）</w:t>
      </w:r>
      <w:r>
        <w:rPr>
          <w:rFonts w:hint="default" w:ascii="Times New Roman" w:hAnsi="Times New Roman" w:eastAsia="宋体" w:cs="Times New Roman"/>
          <w:b w:val="0"/>
          <w:bCs/>
          <w:color w:val="auto"/>
          <w:kern w:val="2"/>
          <w:sz w:val="21"/>
          <w:szCs w:val="21"/>
          <w:lang w:val="en-US" w:eastAsia="zh-CN" w:bidi="ar-SA"/>
        </w:rPr>
        <w:t>修正后的报价，投标人不确认的；</w:t>
      </w:r>
    </w:p>
    <w:p w14:paraId="0B95DE1B">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kern w:val="2"/>
          <w:sz w:val="21"/>
          <w:szCs w:val="21"/>
          <w:highlight w:val="none"/>
          <w:lang w:val="en-US" w:eastAsia="zh-CN" w:bidi="ar-SA"/>
        </w:rPr>
        <w:t>（6）</w:t>
      </w:r>
      <w:r>
        <w:rPr>
          <w:rFonts w:hint="default" w:ascii="Times New Roman" w:hAnsi="Times New Roman" w:eastAsia="宋体" w:cs="Times New Roman"/>
          <w:b w:val="0"/>
          <w:bCs/>
          <w:color w:val="auto"/>
          <w:kern w:val="2"/>
          <w:sz w:val="21"/>
          <w:szCs w:val="21"/>
          <w:lang w:val="en-US" w:eastAsia="zh-CN" w:bidi="ar-SA"/>
        </w:rPr>
        <w:t>投标人属于本章第5.1条</w:t>
      </w:r>
      <w:r>
        <w:rPr>
          <w:rFonts w:hint="eastAsia" w:cs="Times New Roman"/>
          <w:b w:val="0"/>
          <w:bCs/>
          <w:color w:val="auto"/>
          <w:kern w:val="2"/>
          <w:sz w:val="21"/>
          <w:szCs w:val="21"/>
          <w:lang w:val="en-US" w:eastAsia="zh-CN" w:bidi="ar-SA"/>
        </w:rPr>
        <w:t>（</w:t>
      </w:r>
      <w:r>
        <w:rPr>
          <w:rFonts w:hint="default" w:ascii="Times New Roman" w:hAnsi="Times New Roman" w:eastAsia="宋体" w:cs="Times New Roman"/>
          <w:b w:val="0"/>
          <w:bCs/>
          <w:color w:val="auto"/>
          <w:kern w:val="2"/>
          <w:sz w:val="21"/>
          <w:szCs w:val="21"/>
          <w:lang w:val="en-US" w:eastAsia="zh-CN" w:bidi="ar-SA"/>
        </w:rPr>
        <w:t>2</w:t>
      </w:r>
      <w:r>
        <w:rPr>
          <w:rFonts w:hint="eastAsia" w:cs="Times New Roman"/>
          <w:b w:val="0"/>
          <w:bCs/>
          <w:color w:val="auto"/>
          <w:kern w:val="2"/>
          <w:sz w:val="21"/>
          <w:szCs w:val="21"/>
          <w:lang w:val="en-US" w:eastAsia="zh-CN" w:bidi="ar-SA"/>
        </w:rPr>
        <w:t>）</w:t>
      </w:r>
      <w:r>
        <w:rPr>
          <w:rFonts w:hint="default" w:ascii="Times New Roman" w:hAnsi="Times New Roman" w:eastAsia="宋体" w:cs="Times New Roman"/>
          <w:b w:val="0"/>
          <w:bCs/>
          <w:color w:val="auto"/>
          <w:kern w:val="2"/>
          <w:sz w:val="21"/>
          <w:szCs w:val="21"/>
          <w:lang w:val="en-US" w:eastAsia="zh-CN" w:bidi="ar-SA"/>
        </w:rPr>
        <w:t>或者第5.2条</w:t>
      </w:r>
      <w:r>
        <w:rPr>
          <w:rFonts w:hint="eastAsia" w:cs="Times New Roman"/>
          <w:b w:val="0"/>
          <w:bCs/>
          <w:color w:val="auto"/>
          <w:kern w:val="2"/>
          <w:sz w:val="21"/>
          <w:szCs w:val="21"/>
          <w:lang w:val="en-US" w:eastAsia="zh-CN" w:bidi="ar-SA"/>
        </w:rPr>
        <w:t>（</w:t>
      </w:r>
      <w:r>
        <w:rPr>
          <w:rFonts w:hint="default" w:ascii="Times New Roman" w:hAnsi="Times New Roman" w:eastAsia="宋体" w:cs="Times New Roman"/>
          <w:b w:val="0"/>
          <w:bCs/>
          <w:color w:val="auto"/>
          <w:kern w:val="2"/>
          <w:sz w:val="21"/>
          <w:szCs w:val="21"/>
          <w:lang w:val="en-US" w:eastAsia="zh-CN" w:bidi="ar-SA"/>
        </w:rPr>
        <w:t>2</w:t>
      </w:r>
      <w:r>
        <w:rPr>
          <w:rFonts w:hint="eastAsia" w:cs="Times New Roman"/>
          <w:b w:val="0"/>
          <w:bCs/>
          <w:color w:val="auto"/>
          <w:kern w:val="2"/>
          <w:sz w:val="21"/>
          <w:szCs w:val="21"/>
          <w:lang w:val="en-US" w:eastAsia="zh-CN" w:bidi="ar-SA"/>
        </w:rPr>
        <w:t>）</w:t>
      </w:r>
      <w:r>
        <w:rPr>
          <w:rFonts w:hint="default" w:ascii="Times New Roman" w:hAnsi="Times New Roman" w:eastAsia="宋体" w:cs="Times New Roman"/>
          <w:b w:val="0"/>
          <w:bCs/>
          <w:color w:val="auto"/>
          <w:kern w:val="2"/>
          <w:sz w:val="21"/>
          <w:szCs w:val="21"/>
          <w:lang w:val="en-US" w:eastAsia="zh-CN" w:bidi="ar-SA"/>
        </w:rPr>
        <w:t>项情形的</w:t>
      </w:r>
      <w:r>
        <w:rPr>
          <w:rFonts w:hint="eastAsia" w:ascii="Times New Roman" w:hAnsi="Times New Roman" w:eastAsia="宋体" w:cs="Times New Roman"/>
          <w:b w:val="0"/>
          <w:bCs/>
          <w:color w:val="auto"/>
          <w:kern w:val="2"/>
          <w:sz w:val="21"/>
          <w:szCs w:val="21"/>
          <w:lang w:val="en-US" w:eastAsia="zh-CN" w:bidi="ar-SA"/>
        </w:rPr>
        <w:t>；</w:t>
      </w:r>
    </w:p>
    <w:p w14:paraId="29768639">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kern w:val="2"/>
          <w:sz w:val="21"/>
          <w:szCs w:val="21"/>
          <w:highlight w:val="none"/>
          <w:lang w:val="en-US" w:eastAsia="zh-CN" w:bidi="ar-SA"/>
        </w:rPr>
        <w:t>（7）</w:t>
      </w:r>
      <w:r>
        <w:rPr>
          <w:rFonts w:hint="default" w:ascii="Times New Roman" w:hAnsi="Times New Roman" w:eastAsia="宋体" w:cs="Times New Roman"/>
          <w:b w:val="0"/>
          <w:bCs/>
          <w:color w:val="auto"/>
          <w:kern w:val="2"/>
          <w:sz w:val="21"/>
          <w:szCs w:val="21"/>
          <w:lang w:val="en-US" w:eastAsia="zh-CN" w:bidi="ar-SA"/>
        </w:rPr>
        <w:t>报价文件响应的标的数量及单位与招标文件要求实质性不一致的。</w:t>
      </w:r>
    </w:p>
    <w:p w14:paraId="2011CA45">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2.2在商务及技术评审时，如发现下列情形之一的，将被视为投标无效：</w:t>
      </w:r>
    </w:p>
    <w:p w14:paraId="01611955">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kern w:val="2"/>
          <w:sz w:val="21"/>
          <w:szCs w:val="21"/>
          <w:highlight w:val="none"/>
          <w:lang w:val="en-US" w:eastAsia="zh-CN" w:bidi="ar-SA"/>
        </w:rPr>
        <w:t>（1）</w:t>
      </w:r>
      <w:r>
        <w:rPr>
          <w:rFonts w:hint="default" w:ascii="Times New Roman" w:hAnsi="Times New Roman" w:eastAsia="宋体" w:cs="Times New Roman"/>
          <w:b w:val="0"/>
          <w:bCs/>
          <w:color w:val="auto"/>
          <w:kern w:val="2"/>
          <w:sz w:val="21"/>
          <w:szCs w:val="21"/>
          <w:lang w:val="en-US" w:eastAsia="zh-CN" w:bidi="ar-SA"/>
        </w:rPr>
        <w:t>投标文件未按招标文件要求签署、盖章的；</w:t>
      </w:r>
    </w:p>
    <w:p w14:paraId="70F64BBC">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kern w:val="2"/>
          <w:sz w:val="21"/>
          <w:szCs w:val="21"/>
          <w:highlight w:val="none"/>
          <w:lang w:val="en-US" w:eastAsia="zh-CN" w:bidi="ar-SA"/>
        </w:rPr>
        <w:t>（2）</w:t>
      </w:r>
      <w:r>
        <w:rPr>
          <w:rFonts w:hint="default" w:ascii="Times New Roman" w:hAnsi="Times New Roman" w:eastAsia="宋体" w:cs="Times New Roman"/>
          <w:b w:val="0"/>
          <w:bCs/>
          <w:color w:val="auto"/>
          <w:kern w:val="2"/>
          <w:sz w:val="21"/>
          <w:szCs w:val="21"/>
          <w:lang w:val="en-US" w:eastAsia="zh-CN" w:bidi="ar-SA"/>
        </w:rPr>
        <w:t>委托代理人未能出具有效身份证或者出具的身份证与授权委托书中的信息不符的；</w:t>
      </w:r>
    </w:p>
    <w:p w14:paraId="4B32B766">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kern w:val="2"/>
          <w:sz w:val="21"/>
          <w:szCs w:val="21"/>
          <w:highlight w:val="none"/>
          <w:lang w:val="en-US" w:eastAsia="zh-CN" w:bidi="ar-SA"/>
        </w:rPr>
        <w:t>（3）</w:t>
      </w:r>
      <w:r>
        <w:rPr>
          <w:rFonts w:hint="default" w:ascii="Times New Roman" w:hAnsi="Times New Roman" w:eastAsia="宋体" w:cs="Times New Roman"/>
          <w:b w:val="0"/>
          <w:bCs/>
          <w:color w:val="auto"/>
          <w:kern w:val="2"/>
          <w:sz w:val="21"/>
          <w:szCs w:val="21"/>
          <w:lang w:val="en-US" w:eastAsia="zh-CN" w:bidi="ar-SA"/>
        </w:rPr>
        <w:t>为无效投标保证金的或者未按照招标文件的规定提交投标保证金的；</w:t>
      </w:r>
    </w:p>
    <w:p w14:paraId="480C5C9F">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kern w:val="2"/>
          <w:sz w:val="21"/>
          <w:szCs w:val="21"/>
          <w:highlight w:val="none"/>
          <w:lang w:val="en-US" w:eastAsia="zh-CN" w:bidi="ar-SA"/>
        </w:rPr>
        <w:t>（4）</w:t>
      </w:r>
      <w:r>
        <w:rPr>
          <w:rFonts w:hint="default" w:ascii="Times New Roman" w:hAnsi="Times New Roman" w:eastAsia="宋体" w:cs="Times New Roman"/>
          <w:b w:val="0"/>
          <w:bCs/>
          <w:color w:val="auto"/>
          <w:kern w:val="2"/>
          <w:sz w:val="21"/>
          <w:szCs w:val="21"/>
          <w:lang w:val="en-US" w:eastAsia="zh-CN" w:bidi="ar-SA"/>
        </w:rPr>
        <w:t>投标文件未提供“投标人须知前附表”第13条“商务及技术文件”规定中“必须提供”或者“委托时必须提供”的文件资料的；</w:t>
      </w:r>
    </w:p>
    <w:p w14:paraId="31E5EDA4">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kern w:val="2"/>
          <w:sz w:val="21"/>
          <w:szCs w:val="21"/>
          <w:highlight w:val="none"/>
          <w:lang w:val="en-US" w:eastAsia="zh-CN" w:bidi="ar-SA"/>
        </w:rPr>
        <w:t>（5）</w:t>
      </w:r>
      <w:r>
        <w:rPr>
          <w:rFonts w:hint="default" w:ascii="Times New Roman" w:hAnsi="Times New Roman" w:eastAsia="宋体" w:cs="Times New Roman"/>
          <w:b w:val="0"/>
          <w:bCs/>
          <w:color w:val="auto"/>
          <w:kern w:val="2"/>
          <w:sz w:val="21"/>
          <w:szCs w:val="21"/>
          <w:lang w:val="en-US" w:eastAsia="zh-CN" w:bidi="ar-SA"/>
        </w:rPr>
        <w:t>商务要求评审允许负偏离的条款数超过“投标人须知前附表”规定项数的；</w:t>
      </w:r>
    </w:p>
    <w:p w14:paraId="2AF6FC1E">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kern w:val="2"/>
          <w:sz w:val="21"/>
          <w:szCs w:val="21"/>
          <w:highlight w:val="none"/>
          <w:lang w:val="en-US" w:eastAsia="zh-CN" w:bidi="ar-SA"/>
        </w:rPr>
        <w:t>（6）</w:t>
      </w:r>
      <w:r>
        <w:rPr>
          <w:rFonts w:hint="default" w:ascii="Times New Roman" w:hAnsi="Times New Roman" w:eastAsia="宋体" w:cs="Times New Roman"/>
          <w:b w:val="0"/>
          <w:bCs/>
          <w:color w:val="auto"/>
          <w:kern w:val="2"/>
          <w:sz w:val="21"/>
          <w:szCs w:val="21"/>
          <w:lang w:val="en-US" w:eastAsia="zh-CN" w:bidi="ar-SA"/>
        </w:rPr>
        <w:t>投标文件的实质性内容未使用中文表述、使用计量单位不符合招标文件要求的；</w:t>
      </w:r>
    </w:p>
    <w:p w14:paraId="4E9F8645">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kern w:val="2"/>
          <w:sz w:val="21"/>
          <w:szCs w:val="21"/>
          <w:highlight w:val="none"/>
          <w:lang w:val="en-US" w:eastAsia="zh-CN" w:bidi="ar-SA"/>
        </w:rPr>
        <w:t>（7）</w:t>
      </w:r>
      <w:r>
        <w:rPr>
          <w:rFonts w:hint="default" w:ascii="Times New Roman" w:hAnsi="Times New Roman" w:eastAsia="宋体" w:cs="Times New Roman"/>
          <w:b w:val="0"/>
          <w:bCs/>
          <w:color w:val="auto"/>
          <w:kern w:val="2"/>
          <w:sz w:val="21"/>
          <w:szCs w:val="21"/>
          <w:lang w:val="en-US" w:eastAsia="zh-CN" w:bidi="ar-SA"/>
        </w:rPr>
        <w:t>投标文件中的文件资料因填写不齐全或者内容虚假或者出现其他情形而导致被评标委员会认定无效的；</w:t>
      </w:r>
    </w:p>
    <w:p w14:paraId="4DB6B69E">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kern w:val="2"/>
          <w:sz w:val="21"/>
          <w:szCs w:val="21"/>
          <w:highlight w:val="none"/>
          <w:lang w:val="en-US" w:eastAsia="zh-CN" w:bidi="ar-SA"/>
        </w:rPr>
        <w:t>（8）</w:t>
      </w:r>
      <w:r>
        <w:rPr>
          <w:rFonts w:hint="default" w:ascii="Times New Roman" w:hAnsi="Times New Roman" w:eastAsia="宋体" w:cs="Times New Roman"/>
          <w:b w:val="0"/>
          <w:bCs/>
          <w:color w:val="auto"/>
          <w:kern w:val="2"/>
          <w:sz w:val="21"/>
          <w:szCs w:val="21"/>
          <w:lang w:val="en-US" w:eastAsia="zh-CN" w:bidi="ar-SA"/>
        </w:rPr>
        <w:t>投标文件含有采购人不能接受的附加条件的；</w:t>
      </w:r>
    </w:p>
    <w:p w14:paraId="72145E90">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kern w:val="2"/>
          <w:sz w:val="21"/>
          <w:szCs w:val="21"/>
          <w:highlight w:val="none"/>
          <w:lang w:val="en-US" w:eastAsia="zh-CN" w:bidi="ar-SA"/>
        </w:rPr>
        <w:t>（9）</w:t>
      </w:r>
      <w:r>
        <w:rPr>
          <w:rFonts w:hint="default" w:ascii="Times New Roman" w:hAnsi="Times New Roman" w:eastAsia="宋体" w:cs="Times New Roman"/>
          <w:b w:val="0"/>
          <w:bCs/>
          <w:color w:val="auto"/>
          <w:kern w:val="2"/>
          <w:sz w:val="21"/>
          <w:szCs w:val="21"/>
          <w:lang w:val="en-US" w:eastAsia="zh-CN" w:bidi="ar-SA"/>
        </w:rPr>
        <w:t>属于投标人须知正文第9.2条情形的；</w:t>
      </w:r>
    </w:p>
    <w:p w14:paraId="3B3A7D64">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kern w:val="2"/>
          <w:sz w:val="21"/>
          <w:szCs w:val="21"/>
          <w:highlight w:val="none"/>
          <w:lang w:val="en-US" w:eastAsia="zh-CN" w:bidi="ar-SA"/>
        </w:rPr>
        <w:t>（10）</w:t>
      </w:r>
      <w:r>
        <w:rPr>
          <w:rFonts w:hint="default" w:ascii="Times New Roman" w:hAnsi="Times New Roman" w:eastAsia="宋体" w:cs="Times New Roman"/>
          <w:b w:val="0"/>
          <w:bCs/>
          <w:color w:val="auto"/>
          <w:kern w:val="2"/>
          <w:sz w:val="21"/>
          <w:szCs w:val="21"/>
          <w:lang w:val="en-US" w:eastAsia="zh-CN" w:bidi="ar-SA"/>
        </w:rPr>
        <w:t>投标文件标注的项目名称或者项目编号与招标文件标注的项目名称或者项目编号不一致的；</w:t>
      </w:r>
    </w:p>
    <w:p w14:paraId="3FF38A4C">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kern w:val="2"/>
          <w:sz w:val="21"/>
          <w:szCs w:val="21"/>
          <w:highlight w:val="none"/>
          <w:lang w:val="en-US" w:eastAsia="zh-CN" w:bidi="ar-SA"/>
        </w:rPr>
        <w:t>（11）</w:t>
      </w:r>
      <w:r>
        <w:rPr>
          <w:rFonts w:hint="default" w:ascii="Times New Roman" w:hAnsi="Times New Roman" w:eastAsia="宋体" w:cs="Times New Roman"/>
          <w:b w:val="0"/>
          <w:bCs/>
          <w:color w:val="auto"/>
          <w:kern w:val="2"/>
          <w:sz w:val="21"/>
          <w:szCs w:val="21"/>
          <w:lang w:val="en-US" w:eastAsia="zh-CN" w:bidi="ar-SA"/>
        </w:rPr>
        <w:t>投标文件中承诺的投标有效期低于招标文件要求的期限的；</w:t>
      </w:r>
    </w:p>
    <w:p w14:paraId="3350DF4A">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kern w:val="2"/>
          <w:sz w:val="21"/>
          <w:szCs w:val="21"/>
          <w:highlight w:val="none"/>
          <w:lang w:val="en-US" w:eastAsia="zh-CN" w:bidi="ar-SA"/>
        </w:rPr>
        <w:t>（12）</w:t>
      </w:r>
      <w:r>
        <w:rPr>
          <w:rFonts w:hint="default" w:ascii="Times New Roman" w:hAnsi="Times New Roman" w:eastAsia="宋体" w:cs="Times New Roman"/>
          <w:b w:val="0"/>
          <w:bCs/>
          <w:color w:val="auto"/>
          <w:kern w:val="2"/>
          <w:sz w:val="21"/>
          <w:szCs w:val="21"/>
          <w:lang w:val="en-US" w:eastAsia="zh-CN" w:bidi="ar-SA"/>
        </w:rPr>
        <w:t>虚假投标，或者出现其他情形而导致被评标委员会认定无效的；</w:t>
      </w:r>
    </w:p>
    <w:p w14:paraId="244FCDB9">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kern w:val="2"/>
          <w:sz w:val="21"/>
          <w:szCs w:val="21"/>
          <w:highlight w:val="none"/>
          <w:lang w:val="en-US" w:eastAsia="zh-CN" w:bidi="ar-SA"/>
        </w:rPr>
        <w:t>（13）</w:t>
      </w:r>
      <w:r>
        <w:rPr>
          <w:rFonts w:hint="default" w:ascii="Times New Roman" w:hAnsi="Times New Roman" w:eastAsia="宋体" w:cs="Times New Roman"/>
          <w:b w:val="0"/>
          <w:bCs/>
          <w:color w:val="auto"/>
          <w:kern w:val="2"/>
          <w:sz w:val="21"/>
          <w:szCs w:val="21"/>
          <w:lang w:val="en-US" w:eastAsia="zh-CN" w:bidi="ar-SA"/>
        </w:rPr>
        <w:t>招标文件未载明允许提供备选（替代）投标方案或明确不允许提供备选（替代）投标方案时，投标人提供了备选（替代）投标方案的；</w:t>
      </w:r>
    </w:p>
    <w:p w14:paraId="75D9E34A">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kern w:val="2"/>
          <w:sz w:val="21"/>
          <w:szCs w:val="21"/>
          <w:highlight w:val="none"/>
          <w:lang w:val="en-US" w:eastAsia="zh-CN" w:bidi="ar-SA"/>
        </w:rPr>
        <w:t>（14）</w:t>
      </w:r>
      <w:r>
        <w:rPr>
          <w:rFonts w:hint="default" w:ascii="Times New Roman" w:hAnsi="Times New Roman" w:eastAsia="宋体" w:cs="Times New Roman"/>
          <w:b w:val="0"/>
          <w:bCs/>
          <w:color w:val="auto"/>
          <w:kern w:val="2"/>
          <w:sz w:val="21"/>
          <w:szCs w:val="21"/>
          <w:lang w:val="en-US" w:eastAsia="zh-CN" w:bidi="ar-SA"/>
        </w:rPr>
        <w:t>未响应招标文件实质性要求的</w:t>
      </w:r>
      <w:r>
        <w:rPr>
          <w:rFonts w:hint="eastAsia" w:cs="Times New Roman"/>
          <w:b w:val="0"/>
          <w:bCs/>
          <w:color w:val="auto"/>
          <w:kern w:val="2"/>
          <w:sz w:val="21"/>
          <w:szCs w:val="21"/>
          <w:lang w:val="en-US" w:eastAsia="zh-CN" w:bidi="ar-SA"/>
        </w:rPr>
        <w:t>；</w:t>
      </w:r>
    </w:p>
    <w:p w14:paraId="7E895A3A">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kern w:val="2"/>
          <w:sz w:val="21"/>
          <w:szCs w:val="21"/>
          <w:highlight w:val="none"/>
          <w:lang w:val="en-US" w:eastAsia="zh-CN" w:bidi="ar-SA"/>
        </w:rPr>
        <w:t>（15）</w:t>
      </w:r>
      <w:r>
        <w:rPr>
          <w:rFonts w:hint="default" w:ascii="Times New Roman" w:hAnsi="Times New Roman" w:eastAsia="宋体" w:cs="Times New Roman"/>
          <w:b w:val="0"/>
          <w:bCs/>
          <w:color w:val="auto"/>
          <w:kern w:val="2"/>
          <w:sz w:val="21"/>
          <w:szCs w:val="21"/>
          <w:lang w:val="en-US" w:eastAsia="zh-CN" w:bidi="ar-SA"/>
        </w:rPr>
        <w:t>法律、法规和招标文件规定的其他无效情形。</w:t>
      </w:r>
    </w:p>
    <w:p w14:paraId="55A1638F">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3</w:t>
      </w:r>
      <w:r>
        <w:rPr>
          <w:rFonts w:hint="eastAsia" w:ascii="Times New Roman" w:hAnsi="Times New Roman" w:eastAsia="宋体" w:cs="Times New Roman"/>
          <w:b w:val="0"/>
          <w:kern w:val="2"/>
          <w:sz w:val="21"/>
          <w:szCs w:val="21"/>
          <w:highlight w:val="none"/>
          <w:lang w:val="en-US" w:eastAsia="zh-CN" w:bidi="ar-SA"/>
        </w:rPr>
        <w:t>．</w:t>
      </w:r>
      <w:r>
        <w:rPr>
          <w:rFonts w:hint="default" w:ascii="Times New Roman" w:hAnsi="Times New Roman" w:eastAsia="宋体" w:cs="Times New Roman"/>
          <w:b w:val="0"/>
          <w:bCs/>
          <w:color w:val="auto"/>
          <w:kern w:val="2"/>
          <w:sz w:val="21"/>
          <w:szCs w:val="21"/>
          <w:lang w:val="en-US" w:eastAsia="zh-CN" w:bidi="ar-SA"/>
        </w:rPr>
        <w:t>澄清补正</w:t>
      </w:r>
    </w:p>
    <w:p w14:paraId="42AC9A17">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700D4AA3">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512BE9B9">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未按评标委员会的要求作出明确澄清、说明或者更正的投标人的投标文件将按照有利于采购人的原则由评标委员会进行判定。</w:t>
      </w:r>
    </w:p>
    <w:p w14:paraId="497E8840">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4</w:t>
      </w:r>
      <w:r>
        <w:rPr>
          <w:rFonts w:hint="eastAsia" w:ascii="Times New Roman" w:hAnsi="Times New Roman" w:eastAsia="宋体" w:cs="Times New Roman"/>
          <w:b w:val="0"/>
          <w:kern w:val="2"/>
          <w:sz w:val="21"/>
          <w:szCs w:val="21"/>
          <w:highlight w:val="none"/>
          <w:lang w:val="en-US" w:eastAsia="zh-CN" w:bidi="ar-SA"/>
        </w:rPr>
        <w:t>．</w:t>
      </w:r>
      <w:r>
        <w:rPr>
          <w:rFonts w:hint="default" w:ascii="Times New Roman" w:hAnsi="Times New Roman" w:eastAsia="宋体" w:cs="Times New Roman"/>
          <w:b w:val="0"/>
          <w:bCs/>
          <w:color w:val="auto"/>
          <w:kern w:val="2"/>
          <w:sz w:val="21"/>
          <w:szCs w:val="21"/>
          <w:lang w:val="en-US" w:eastAsia="zh-CN" w:bidi="ar-SA"/>
        </w:rPr>
        <w:t>投标文件修正</w:t>
      </w:r>
    </w:p>
    <w:p w14:paraId="72A6F112">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4.1投标文件报价出现前后不一致的，按照下列规定修正：</w:t>
      </w:r>
    </w:p>
    <w:p w14:paraId="12522113">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kern w:val="2"/>
          <w:sz w:val="21"/>
          <w:szCs w:val="21"/>
          <w:highlight w:val="none"/>
          <w:lang w:val="en-US" w:eastAsia="zh-CN" w:bidi="ar-SA"/>
        </w:rPr>
        <w:t>（1）</w:t>
      </w:r>
      <w:r>
        <w:rPr>
          <w:rFonts w:hint="default" w:ascii="Times New Roman" w:hAnsi="Times New Roman" w:eastAsia="宋体" w:cs="Times New Roman"/>
          <w:b w:val="0"/>
          <w:bCs/>
          <w:color w:val="auto"/>
          <w:kern w:val="2"/>
          <w:sz w:val="21"/>
          <w:szCs w:val="21"/>
          <w:lang w:val="en-US" w:eastAsia="zh-CN" w:bidi="ar-SA"/>
        </w:rPr>
        <w:t>投标文件中开标一览表（报价表）内容与投标文件中相应内容不一致的，以开标一览表（报价表</w:t>
      </w:r>
      <w:r>
        <w:rPr>
          <w:rFonts w:hint="eastAsia" w:cs="Times New Roman"/>
          <w:b w:val="0"/>
          <w:bCs/>
          <w:color w:val="auto"/>
          <w:kern w:val="2"/>
          <w:sz w:val="21"/>
          <w:szCs w:val="21"/>
          <w:lang w:val="en-US" w:eastAsia="zh-CN" w:bidi="ar-SA"/>
        </w:rPr>
        <w:t>）</w:t>
      </w:r>
      <w:r>
        <w:rPr>
          <w:rFonts w:hint="default" w:ascii="Times New Roman" w:hAnsi="Times New Roman" w:eastAsia="宋体" w:cs="Times New Roman"/>
          <w:b w:val="0"/>
          <w:bCs/>
          <w:color w:val="auto"/>
          <w:kern w:val="2"/>
          <w:sz w:val="21"/>
          <w:szCs w:val="21"/>
          <w:lang w:val="en-US" w:eastAsia="zh-CN" w:bidi="ar-SA"/>
        </w:rPr>
        <w:t>为准</w:t>
      </w:r>
      <w:r>
        <w:rPr>
          <w:rFonts w:hint="eastAsia" w:cs="Times New Roman"/>
          <w:b w:val="0"/>
          <w:bCs/>
          <w:color w:val="auto"/>
          <w:kern w:val="2"/>
          <w:sz w:val="21"/>
          <w:szCs w:val="21"/>
          <w:lang w:val="en-US" w:eastAsia="zh-CN" w:bidi="ar-SA"/>
        </w:rPr>
        <w:t>；</w:t>
      </w:r>
    </w:p>
    <w:p w14:paraId="5816613C">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kern w:val="2"/>
          <w:sz w:val="21"/>
          <w:szCs w:val="21"/>
          <w:highlight w:val="none"/>
          <w:lang w:val="en-US" w:eastAsia="zh-CN" w:bidi="ar-SA"/>
        </w:rPr>
        <w:t>（2）</w:t>
      </w:r>
      <w:r>
        <w:rPr>
          <w:rFonts w:hint="default" w:ascii="Times New Roman" w:hAnsi="Times New Roman" w:eastAsia="宋体" w:cs="Times New Roman"/>
          <w:b w:val="0"/>
          <w:bCs/>
          <w:color w:val="auto"/>
          <w:kern w:val="2"/>
          <w:sz w:val="21"/>
          <w:szCs w:val="21"/>
          <w:lang w:val="en-US" w:eastAsia="zh-CN" w:bidi="ar-SA"/>
        </w:rPr>
        <w:t>大写金额和小写金额不一致的，以大写金额为准</w:t>
      </w:r>
      <w:r>
        <w:rPr>
          <w:rFonts w:hint="eastAsia" w:cs="Times New Roman"/>
          <w:b w:val="0"/>
          <w:bCs/>
          <w:color w:val="auto"/>
          <w:kern w:val="2"/>
          <w:sz w:val="21"/>
          <w:szCs w:val="21"/>
          <w:lang w:val="en-US" w:eastAsia="zh-CN" w:bidi="ar-SA"/>
        </w:rPr>
        <w:t>；</w:t>
      </w:r>
    </w:p>
    <w:p w14:paraId="66025335">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kern w:val="2"/>
          <w:sz w:val="21"/>
          <w:szCs w:val="21"/>
          <w:highlight w:val="none"/>
          <w:lang w:val="en-US" w:eastAsia="zh-CN" w:bidi="ar-SA"/>
        </w:rPr>
        <w:t>（3）</w:t>
      </w:r>
      <w:r>
        <w:rPr>
          <w:rFonts w:hint="default" w:ascii="Times New Roman" w:hAnsi="Times New Roman" w:eastAsia="宋体" w:cs="Times New Roman"/>
          <w:b w:val="0"/>
          <w:bCs/>
          <w:color w:val="auto"/>
          <w:kern w:val="2"/>
          <w:sz w:val="21"/>
          <w:szCs w:val="21"/>
          <w:lang w:val="en-US" w:eastAsia="zh-CN" w:bidi="ar-SA"/>
        </w:rPr>
        <w:t>单价金额小数点或者百分比有明显错位的，以开标一览表的总价为准，并修改单价</w:t>
      </w:r>
      <w:r>
        <w:rPr>
          <w:rFonts w:hint="eastAsia" w:cs="Times New Roman"/>
          <w:b w:val="0"/>
          <w:bCs/>
          <w:color w:val="auto"/>
          <w:kern w:val="2"/>
          <w:sz w:val="21"/>
          <w:szCs w:val="21"/>
          <w:lang w:val="en-US" w:eastAsia="zh-CN" w:bidi="ar-SA"/>
        </w:rPr>
        <w:t>；</w:t>
      </w:r>
    </w:p>
    <w:p w14:paraId="12C4D774">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kern w:val="2"/>
          <w:sz w:val="21"/>
          <w:szCs w:val="21"/>
          <w:highlight w:val="none"/>
          <w:lang w:val="en-US" w:eastAsia="zh-CN" w:bidi="ar-SA"/>
        </w:rPr>
        <w:t>（4）</w:t>
      </w:r>
      <w:r>
        <w:rPr>
          <w:rFonts w:hint="default" w:ascii="Times New Roman" w:hAnsi="Times New Roman" w:eastAsia="宋体" w:cs="Times New Roman"/>
          <w:b w:val="0"/>
          <w:bCs/>
          <w:color w:val="auto"/>
          <w:kern w:val="2"/>
          <w:sz w:val="21"/>
          <w:szCs w:val="21"/>
          <w:lang w:val="en-US" w:eastAsia="zh-CN" w:bidi="ar-SA"/>
        </w:rPr>
        <w:t>总价金额与按单价汇总金额不一致的，以单价金额计算结果为准。</w:t>
      </w:r>
    </w:p>
    <w:p w14:paraId="5984F4B0">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同时出现两种以上不一致的，按照以上</w:t>
      </w:r>
      <w:r>
        <w:rPr>
          <w:rFonts w:hint="eastAsia" w:cs="Times New Roman"/>
          <w:b w:val="0"/>
          <w:bCs/>
          <w:color w:val="auto"/>
          <w:kern w:val="2"/>
          <w:sz w:val="21"/>
          <w:szCs w:val="21"/>
          <w:lang w:val="en-US" w:eastAsia="zh-CN" w:bidi="ar-SA"/>
        </w:rPr>
        <w:t>（</w:t>
      </w:r>
      <w:r>
        <w:rPr>
          <w:rFonts w:hint="default" w:ascii="Times New Roman" w:hAnsi="Times New Roman" w:eastAsia="宋体" w:cs="Times New Roman"/>
          <w:b w:val="0"/>
          <w:bCs/>
          <w:color w:val="auto"/>
          <w:kern w:val="2"/>
          <w:sz w:val="21"/>
          <w:szCs w:val="21"/>
          <w:lang w:val="en-US" w:eastAsia="zh-CN" w:bidi="ar-SA"/>
        </w:rPr>
        <w:t>1</w:t>
      </w:r>
      <w:r>
        <w:rPr>
          <w:rFonts w:hint="eastAsia" w:cs="Times New Roman"/>
          <w:b w:val="0"/>
          <w:bCs/>
          <w:color w:val="auto"/>
          <w:kern w:val="2"/>
          <w:sz w:val="21"/>
          <w:szCs w:val="21"/>
          <w:lang w:val="en-US" w:eastAsia="zh-CN" w:bidi="ar-SA"/>
        </w:rPr>
        <w:t>）—（</w:t>
      </w:r>
      <w:r>
        <w:rPr>
          <w:rFonts w:hint="default" w:ascii="Times New Roman" w:hAnsi="Times New Roman" w:eastAsia="宋体" w:cs="Times New Roman"/>
          <w:b w:val="0"/>
          <w:bCs/>
          <w:color w:val="auto"/>
          <w:kern w:val="2"/>
          <w:sz w:val="21"/>
          <w:szCs w:val="21"/>
          <w:lang w:val="en-US" w:eastAsia="zh-CN" w:bidi="ar-SA"/>
        </w:rPr>
        <w:t>4</w:t>
      </w:r>
      <w:r>
        <w:rPr>
          <w:rFonts w:hint="eastAsia" w:cs="Times New Roman"/>
          <w:b w:val="0"/>
          <w:bCs/>
          <w:color w:val="auto"/>
          <w:kern w:val="2"/>
          <w:sz w:val="21"/>
          <w:szCs w:val="21"/>
          <w:lang w:val="en-US" w:eastAsia="zh-CN" w:bidi="ar-SA"/>
        </w:rPr>
        <w:t>）</w:t>
      </w:r>
      <w:r>
        <w:rPr>
          <w:rFonts w:hint="default" w:ascii="Times New Roman" w:hAnsi="Times New Roman" w:eastAsia="宋体" w:cs="Times New Roman"/>
          <w:b w:val="0"/>
          <w:bCs/>
          <w:color w:val="auto"/>
          <w:kern w:val="2"/>
          <w:sz w:val="21"/>
          <w:szCs w:val="21"/>
          <w:lang w:val="en-US" w:eastAsia="zh-CN" w:bidi="ar-SA"/>
        </w:rPr>
        <w:t>规定的顺序修正。修正后的报价经投标人确认后产生约束力，投标人不确认的，其投标无效。</w:t>
      </w:r>
    </w:p>
    <w:p w14:paraId="52DD9C26">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4.2经投标人确认修正后的报价若超过采购预算金额或者最高限价，投标人的投标文件作无效投标处理。</w:t>
      </w:r>
    </w:p>
    <w:p w14:paraId="2AFA3E9F">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4.3经投标人确认修正后的报价作为签订合同的依据，并以此报价计算价格分。</w:t>
      </w:r>
    </w:p>
    <w:p w14:paraId="3690CAAF">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5</w:t>
      </w:r>
      <w:r>
        <w:rPr>
          <w:rFonts w:hint="eastAsia" w:ascii="Times New Roman" w:hAnsi="Times New Roman" w:eastAsia="宋体" w:cs="Times New Roman"/>
          <w:b w:val="0"/>
          <w:kern w:val="2"/>
          <w:sz w:val="21"/>
          <w:szCs w:val="21"/>
          <w:highlight w:val="none"/>
          <w:lang w:val="en-US" w:eastAsia="zh-CN" w:bidi="ar-SA"/>
        </w:rPr>
        <w:t>．</w:t>
      </w:r>
      <w:r>
        <w:rPr>
          <w:rFonts w:hint="default" w:ascii="Times New Roman" w:hAnsi="Times New Roman" w:eastAsia="宋体" w:cs="Times New Roman"/>
          <w:b w:val="0"/>
          <w:bCs/>
          <w:color w:val="auto"/>
          <w:kern w:val="2"/>
          <w:sz w:val="21"/>
          <w:szCs w:val="21"/>
          <w:lang w:val="en-US" w:eastAsia="zh-CN" w:bidi="ar-SA"/>
        </w:rPr>
        <w:t>比较与评价</w:t>
      </w:r>
    </w:p>
    <w:p w14:paraId="4438241B">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5.1采用综合评分法的</w:t>
      </w:r>
    </w:p>
    <w:p w14:paraId="7BEE8F56">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kern w:val="2"/>
          <w:sz w:val="21"/>
          <w:szCs w:val="21"/>
          <w:highlight w:val="none"/>
          <w:lang w:val="en-US" w:eastAsia="zh-CN" w:bidi="ar-SA"/>
        </w:rPr>
        <w:t>（1）</w:t>
      </w:r>
      <w:r>
        <w:rPr>
          <w:rFonts w:hint="default" w:ascii="Times New Roman" w:hAnsi="Times New Roman" w:eastAsia="宋体" w:cs="Times New Roman"/>
          <w:b w:val="0"/>
          <w:bCs/>
          <w:color w:val="auto"/>
          <w:kern w:val="2"/>
          <w:sz w:val="21"/>
          <w:szCs w:val="21"/>
          <w:lang w:val="en-US" w:eastAsia="zh-CN" w:bidi="ar-SA"/>
        </w:rPr>
        <w:t>评标委员会按照招标文件中规定的评标方法及评标标准，对符合性审查合格的投标文件进行商务和技术评估，综合比较与评价。</w:t>
      </w:r>
    </w:p>
    <w:p w14:paraId="422E280A">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kern w:val="2"/>
          <w:sz w:val="21"/>
          <w:szCs w:val="21"/>
          <w:highlight w:val="none"/>
          <w:lang w:val="en-US" w:eastAsia="zh-CN" w:bidi="ar-SA"/>
        </w:rPr>
        <w:t>（2）</w:t>
      </w:r>
      <w:r>
        <w:rPr>
          <w:rFonts w:hint="default" w:ascii="Times New Roman" w:hAnsi="Times New Roman" w:eastAsia="宋体" w:cs="Times New Roman"/>
          <w:b w:val="0"/>
          <w:bCs/>
          <w:color w:val="auto"/>
          <w:kern w:val="2"/>
          <w:sz w:val="21"/>
          <w:szCs w:val="21"/>
          <w:lang w:val="en-US" w:eastAsia="zh-CN" w:bidi="ar-SA"/>
        </w:rPr>
        <w:t>评标委员会独立对每个投标人的投标文件进行评价，并汇总每个投标人的得分。</w:t>
      </w:r>
    </w:p>
    <w:p w14:paraId="1C0AA4BB">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cs="Times New Roman"/>
          <w:b w:val="0"/>
          <w:bCs/>
          <w:color w:val="auto"/>
          <w:kern w:val="2"/>
          <w:sz w:val="21"/>
          <w:szCs w:val="21"/>
          <w:lang w:val="en-US" w:eastAsia="zh-CN" w:bidi="ar-SA"/>
        </w:rPr>
        <w:t>；</w:t>
      </w:r>
      <w:r>
        <w:rPr>
          <w:rFonts w:hint="default" w:ascii="Times New Roman" w:hAnsi="Times New Roman" w:eastAsia="宋体" w:cs="Times New Roman"/>
          <w:b w:val="0"/>
          <w:bCs/>
          <w:color w:val="auto"/>
          <w:kern w:val="2"/>
          <w:sz w:val="21"/>
          <w:szCs w:val="21"/>
          <w:lang w:val="en-US" w:eastAsia="zh-CN" w:bidi="ar-SA"/>
        </w:rPr>
        <w:t>投标人不能证明其报价合理性的，评标委员会应当将其作为无效投标处理。</w:t>
      </w:r>
    </w:p>
    <w:p w14:paraId="18D437AC">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kern w:val="2"/>
          <w:sz w:val="21"/>
          <w:szCs w:val="21"/>
          <w:highlight w:val="none"/>
          <w:lang w:val="en-US" w:eastAsia="zh-CN" w:bidi="ar-SA"/>
        </w:rPr>
        <w:t>（3）</w:t>
      </w:r>
      <w:r>
        <w:rPr>
          <w:rFonts w:hint="default" w:ascii="Times New Roman" w:hAnsi="Times New Roman" w:eastAsia="宋体" w:cs="Times New Roman"/>
          <w:b w:val="0"/>
          <w:bCs/>
          <w:color w:val="auto"/>
          <w:kern w:val="2"/>
          <w:sz w:val="21"/>
          <w:szCs w:val="21"/>
          <w:lang w:val="en-US" w:eastAsia="zh-CN" w:bidi="ar-SA"/>
        </w:rPr>
        <w:t>评标委员会按照招标文件中规定的评标方法和标准计算各投标人的报价得分。在计算过程中，不得去掉最高报价或者最低报价。</w:t>
      </w:r>
    </w:p>
    <w:p w14:paraId="3DCD3AC3">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kern w:val="2"/>
          <w:sz w:val="21"/>
          <w:szCs w:val="21"/>
          <w:highlight w:val="none"/>
          <w:lang w:val="en-US" w:eastAsia="zh-CN" w:bidi="ar-SA"/>
        </w:rPr>
        <w:t>（4）</w:t>
      </w:r>
      <w:r>
        <w:rPr>
          <w:rFonts w:hint="default" w:ascii="Times New Roman" w:hAnsi="Times New Roman" w:eastAsia="宋体" w:cs="Times New Roman"/>
          <w:b w:val="0"/>
          <w:bCs/>
          <w:color w:val="auto"/>
          <w:kern w:val="2"/>
          <w:sz w:val="21"/>
          <w:szCs w:val="21"/>
          <w:lang w:val="en-US" w:eastAsia="zh-CN" w:bidi="ar-SA"/>
        </w:rPr>
        <w:t>各投标人的得分为所有评委的有效评分的算术平均数。</w:t>
      </w:r>
    </w:p>
    <w:p w14:paraId="0CD92CB8">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kern w:val="2"/>
          <w:sz w:val="21"/>
          <w:szCs w:val="21"/>
          <w:highlight w:val="none"/>
          <w:lang w:val="en-US" w:eastAsia="zh-CN" w:bidi="ar-SA"/>
        </w:rPr>
        <w:t>（5）</w:t>
      </w:r>
      <w:r>
        <w:rPr>
          <w:rFonts w:hint="default" w:ascii="Times New Roman" w:hAnsi="Times New Roman" w:eastAsia="宋体" w:cs="Times New Roman"/>
          <w:b w:val="0"/>
          <w:bCs/>
          <w:color w:val="auto"/>
          <w:kern w:val="2"/>
          <w:sz w:val="21"/>
          <w:szCs w:val="21"/>
          <w:lang w:val="en-US" w:eastAsia="zh-CN" w:bidi="ar-SA"/>
        </w:rPr>
        <w:t>评标委员会按照招标文件中的规定推荐中标候选人。</w:t>
      </w:r>
    </w:p>
    <w:p w14:paraId="0D980042">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kern w:val="2"/>
          <w:sz w:val="21"/>
          <w:szCs w:val="21"/>
          <w:highlight w:val="none"/>
          <w:lang w:val="en-US" w:eastAsia="zh-CN" w:bidi="ar-SA"/>
        </w:rPr>
        <w:t>（6）</w:t>
      </w:r>
      <w:r>
        <w:rPr>
          <w:rFonts w:hint="default" w:ascii="Times New Roman" w:hAnsi="Times New Roman" w:eastAsia="宋体" w:cs="Times New Roman"/>
          <w:b w:val="0"/>
          <w:bCs/>
          <w:color w:val="auto"/>
          <w:kern w:val="2"/>
          <w:sz w:val="21"/>
          <w:szCs w:val="21"/>
          <w:lang w:val="en-US" w:eastAsia="zh-CN" w:bidi="ar-SA"/>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609428C3">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5.2采用最低评标报法的</w:t>
      </w:r>
    </w:p>
    <w:p w14:paraId="6AF7DF82">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kern w:val="2"/>
          <w:sz w:val="21"/>
          <w:szCs w:val="21"/>
          <w:highlight w:val="none"/>
          <w:lang w:val="en-US" w:eastAsia="zh-CN" w:bidi="ar-SA"/>
        </w:rPr>
        <w:t>（1）</w:t>
      </w:r>
      <w:r>
        <w:rPr>
          <w:rFonts w:hint="default" w:ascii="Times New Roman" w:hAnsi="Times New Roman" w:eastAsia="宋体" w:cs="Times New Roman"/>
          <w:b w:val="0"/>
          <w:bCs/>
          <w:color w:val="auto"/>
          <w:kern w:val="2"/>
          <w:sz w:val="21"/>
          <w:szCs w:val="21"/>
          <w:lang w:val="en-US" w:eastAsia="zh-CN" w:bidi="ar-SA"/>
        </w:rPr>
        <w:t>评标委员会按照招标文件中规定的评标方法及评标标准，对符合性审查合格的投标文件报价进行比较。</w:t>
      </w:r>
    </w:p>
    <w:p w14:paraId="26DAC43F">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kern w:val="2"/>
          <w:sz w:val="21"/>
          <w:szCs w:val="21"/>
          <w:highlight w:val="none"/>
          <w:lang w:val="en-US" w:eastAsia="zh-CN" w:bidi="ar-SA"/>
        </w:rPr>
        <w:t>（2）</w:t>
      </w:r>
      <w:r>
        <w:rPr>
          <w:rFonts w:hint="default" w:ascii="Times New Roman" w:hAnsi="Times New Roman" w:eastAsia="宋体" w:cs="Times New Roman"/>
          <w:b w:val="0"/>
          <w:bCs/>
          <w:color w:val="auto"/>
          <w:kern w:val="2"/>
          <w:sz w:val="21"/>
          <w:szCs w:val="21"/>
          <w:lang w:val="en-US" w:eastAsia="zh-CN" w:bidi="ar-SA"/>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Times New Roman" w:hAnsi="Times New Roman" w:eastAsia="宋体" w:cs="Times New Roman"/>
          <w:b w:val="0"/>
          <w:bCs/>
          <w:color w:val="auto"/>
          <w:kern w:val="2"/>
          <w:sz w:val="21"/>
          <w:szCs w:val="21"/>
          <w:lang w:val="en-US" w:eastAsia="zh-CN" w:bidi="ar-SA"/>
        </w:rPr>
        <w:t>；</w:t>
      </w:r>
      <w:r>
        <w:rPr>
          <w:rFonts w:hint="default" w:ascii="Times New Roman" w:hAnsi="Times New Roman" w:eastAsia="宋体" w:cs="Times New Roman"/>
          <w:b w:val="0"/>
          <w:bCs/>
          <w:color w:val="auto"/>
          <w:kern w:val="2"/>
          <w:sz w:val="21"/>
          <w:szCs w:val="21"/>
          <w:lang w:val="en-US" w:eastAsia="zh-CN" w:bidi="ar-SA"/>
        </w:rPr>
        <w:t>投标人不能证明其报价合理性的，评标委员会将其作为无效投标处理。</w:t>
      </w:r>
    </w:p>
    <w:p w14:paraId="7EFE306F">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kern w:val="2"/>
          <w:sz w:val="21"/>
          <w:szCs w:val="21"/>
          <w:highlight w:val="none"/>
          <w:lang w:val="en-US" w:eastAsia="zh-CN" w:bidi="ar-SA"/>
        </w:rPr>
        <w:t>（3）</w:t>
      </w:r>
      <w:r>
        <w:rPr>
          <w:rFonts w:hint="default" w:ascii="Times New Roman" w:hAnsi="Times New Roman" w:eastAsia="宋体" w:cs="Times New Roman"/>
          <w:b w:val="0"/>
          <w:bCs/>
          <w:color w:val="auto"/>
          <w:kern w:val="2"/>
          <w:sz w:val="21"/>
          <w:szCs w:val="21"/>
          <w:lang w:val="en-US" w:eastAsia="zh-CN" w:bidi="ar-SA"/>
        </w:rPr>
        <w:t>评标委员会按照招标文件中的规定推荐中标候选人。</w:t>
      </w:r>
    </w:p>
    <w:p w14:paraId="23A9C57E">
      <w:pPr>
        <w:pStyle w:val="2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kern w:val="2"/>
          <w:sz w:val="21"/>
          <w:szCs w:val="21"/>
          <w:highlight w:val="none"/>
          <w:lang w:val="en-US" w:eastAsia="zh-CN" w:bidi="ar-SA"/>
        </w:rPr>
        <w:t>（4）</w:t>
      </w:r>
      <w:r>
        <w:rPr>
          <w:rFonts w:hint="default" w:ascii="Times New Roman" w:hAnsi="Times New Roman" w:eastAsia="宋体" w:cs="Times New Roman"/>
          <w:b w:val="0"/>
          <w:bCs/>
          <w:color w:val="auto"/>
          <w:kern w:val="2"/>
          <w:sz w:val="21"/>
          <w:szCs w:val="21"/>
          <w:lang w:val="en-US" w:eastAsia="zh-CN" w:bidi="ar-SA"/>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64FB8290">
      <w:pPr>
        <w:keepNext w:val="0"/>
        <w:keepLines w:val="0"/>
        <w:pageBreakBefore w:val="0"/>
        <w:widowControl w:val="0"/>
        <w:kinsoku/>
        <w:wordWrap/>
        <w:overflowPunct/>
        <w:topLinePunct w:val="0"/>
        <w:autoSpaceDE/>
        <w:autoSpaceDN/>
        <w:bidi w:val="0"/>
        <w:adjustRightInd/>
        <w:snapToGrid/>
        <w:spacing w:before="313" w:beforeLines="100" w:line="360" w:lineRule="exact"/>
        <w:jc w:val="center"/>
        <w:textAlignment w:val="auto"/>
        <w:outlineLvl w:val="1"/>
        <w:rPr>
          <w:rFonts w:hint="default" w:ascii="Times New Roman" w:hAnsi="Times New Roman" w:cs="Times New Roman"/>
          <w:b/>
          <w:sz w:val="28"/>
          <w:szCs w:val="28"/>
          <w:highlight w:val="none"/>
        </w:rPr>
      </w:pPr>
      <w:r>
        <w:rPr>
          <w:rFonts w:hint="eastAsia" w:cs="Times New Roman"/>
          <w:b/>
          <w:sz w:val="28"/>
          <w:szCs w:val="28"/>
          <w:highlight w:val="none"/>
          <w:lang w:eastAsia="zh-CN"/>
        </w:rPr>
        <w:t>三</w:t>
      </w:r>
      <w:r>
        <w:rPr>
          <w:rFonts w:hint="default" w:ascii="Times New Roman" w:hAnsi="Times New Roman" w:cs="Times New Roman"/>
          <w:b/>
          <w:sz w:val="28"/>
          <w:szCs w:val="28"/>
          <w:highlight w:val="none"/>
        </w:rPr>
        <w:t>、评</w:t>
      </w:r>
      <w:r>
        <w:rPr>
          <w:rFonts w:hint="eastAsia" w:cs="Times New Roman"/>
          <w:b/>
          <w:sz w:val="28"/>
          <w:szCs w:val="28"/>
          <w:highlight w:val="none"/>
          <w:lang w:eastAsia="zh-CN"/>
        </w:rPr>
        <w:t>标</w:t>
      </w:r>
      <w:r>
        <w:rPr>
          <w:rFonts w:hint="default" w:ascii="Times New Roman" w:hAnsi="Times New Roman" w:cs="Times New Roman"/>
          <w:b/>
          <w:sz w:val="28"/>
          <w:szCs w:val="28"/>
          <w:highlight w:val="none"/>
        </w:rPr>
        <w:t>标准</w:t>
      </w:r>
    </w:p>
    <w:p w14:paraId="3E1F8A0E">
      <w:pPr>
        <w:spacing w:line="360" w:lineRule="auto"/>
        <w:ind w:firstLine="420" w:firstLineChars="200"/>
        <w:rPr>
          <w:rFonts w:hint="default" w:ascii="Times New Roman" w:hAnsi="Times New Roman" w:cs="Times New Roman"/>
          <w:bCs/>
          <w:szCs w:val="21"/>
          <w:highlight w:val="none"/>
        </w:rPr>
      </w:pPr>
    </w:p>
    <w:tbl>
      <w:tblPr>
        <w:tblStyle w:val="32"/>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983"/>
        <w:gridCol w:w="6634"/>
      </w:tblGrid>
      <w:tr w14:paraId="1850D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20" w:type="dxa"/>
            <w:vAlign w:val="center"/>
          </w:tcPr>
          <w:p w14:paraId="2F28104D">
            <w:pPr>
              <w:widowControl/>
              <w:spacing w:line="400" w:lineRule="exact"/>
              <w:jc w:val="center"/>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序号</w:t>
            </w:r>
          </w:p>
        </w:tc>
        <w:tc>
          <w:tcPr>
            <w:tcW w:w="1983" w:type="dxa"/>
            <w:vAlign w:val="center"/>
          </w:tcPr>
          <w:p w14:paraId="132FEC87">
            <w:pPr>
              <w:widowControl/>
              <w:spacing w:line="400" w:lineRule="exact"/>
              <w:jc w:val="center"/>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评审因素</w:t>
            </w:r>
          </w:p>
        </w:tc>
        <w:tc>
          <w:tcPr>
            <w:tcW w:w="6634" w:type="dxa"/>
            <w:vAlign w:val="center"/>
          </w:tcPr>
          <w:p w14:paraId="2EBD8E3C">
            <w:pPr>
              <w:widowControl/>
              <w:spacing w:line="400" w:lineRule="exact"/>
              <w:jc w:val="center"/>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评审因素具体内容</w:t>
            </w:r>
          </w:p>
        </w:tc>
      </w:tr>
      <w:tr w14:paraId="02A9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0" w:type="dxa"/>
            <w:vAlign w:val="center"/>
          </w:tcPr>
          <w:p w14:paraId="1BD43510">
            <w:pPr>
              <w:widowControl/>
              <w:spacing w:line="400" w:lineRule="exact"/>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b/>
                <w:bCs/>
                <w:kern w:val="0"/>
                <w:sz w:val="21"/>
                <w:szCs w:val="21"/>
                <w:highlight w:val="none"/>
              </w:rPr>
              <w:t>1</w:t>
            </w:r>
          </w:p>
        </w:tc>
        <w:tc>
          <w:tcPr>
            <w:tcW w:w="1983" w:type="dxa"/>
            <w:vAlign w:val="center"/>
          </w:tcPr>
          <w:p w14:paraId="026BEAAF">
            <w:pPr>
              <w:widowControl/>
              <w:spacing w:line="400" w:lineRule="exact"/>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b/>
                <w:bCs/>
                <w:kern w:val="0"/>
                <w:sz w:val="21"/>
                <w:szCs w:val="21"/>
                <w:highlight w:val="none"/>
              </w:rPr>
              <w:t>价格分</w:t>
            </w:r>
          </w:p>
        </w:tc>
        <w:tc>
          <w:tcPr>
            <w:tcW w:w="6634" w:type="dxa"/>
            <w:vAlign w:val="center"/>
          </w:tcPr>
          <w:p w14:paraId="5C8F99D7">
            <w:pPr>
              <w:widowControl/>
              <w:spacing w:line="400" w:lineRule="exact"/>
              <w:jc w:val="left"/>
              <w:rPr>
                <w:rFonts w:hint="default" w:ascii="Times New Roman" w:hAnsi="Times New Roman" w:eastAsia="宋体" w:cs="Times New Roman"/>
                <w:sz w:val="21"/>
                <w:szCs w:val="21"/>
                <w:highlight w:val="none"/>
              </w:rPr>
            </w:pPr>
            <w:r>
              <w:rPr>
                <w:rFonts w:hint="default" w:ascii="Times New Roman" w:hAnsi="Times New Roman" w:cs="Times New Roman"/>
                <w:bCs/>
                <w:color w:val="auto"/>
                <w:szCs w:val="21"/>
                <w:highlight w:val="none"/>
                <w:lang w:eastAsia="zh-CN"/>
              </w:rPr>
              <w:t>本项目采用固定价格采购，公务员补充医疗保险人均缴费标准为180元/人</w:t>
            </w:r>
            <w:r>
              <w:rPr>
                <w:rFonts w:hint="default" w:ascii="Times New Roman" w:hAnsi="Times New Roman" w:cs="Times New Roman"/>
                <w:bCs/>
                <w:color w:val="auto"/>
                <w:szCs w:val="21"/>
                <w:highlight w:val="none"/>
                <w:lang w:val="en-US" w:eastAsia="zh-CN"/>
              </w:rPr>
              <w:t>/</w:t>
            </w:r>
            <w:r>
              <w:rPr>
                <w:rFonts w:hint="default" w:ascii="Times New Roman" w:hAnsi="Times New Roman" w:cs="Times New Roman"/>
                <w:bCs/>
                <w:color w:val="auto"/>
                <w:szCs w:val="21"/>
                <w:highlight w:val="none"/>
                <w:lang w:eastAsia="zh-CN"/>
              </w:rPr>
              <w:t>年，本项目价格不列为评审因素。</w:t>
            </w:r>
          </w:p>
        </w:tc>
      </w:tr>
      <w:tr w14:paraId="1426A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5" w:hRule="atLeast"/>
          <w:jc w:val="center"/>
        </w:trPr>
        <w:tc>
          <w:tcPr>
            <w:tcW w:w="820" w:type="dxa"/>
            <w:vAlign w:val="center"/>
          </w:tcPr>
          <w:p w14:paraId="3B65DD77">
            <w:pPr>
              <w:widowControl/>
              <w:spacing w:line="400" w:lineRule="exact"/>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2</w:t>
            </w:r>
          </w:p>
        </w:tc>
        <w:tc>
          <w:tcPr>
            <w:tcW w:w="1983" w:type="dxa"/>
            <w:vAlign w:val="center"/>
          </w:tcPr>
          <w:p w14:paraId="4BBF5664">
            <w:pPr>
              <w:adjustRightInd w:val="0"/>
              <w:spacing w:line="400" w:lineRule="exact"/>
              <w:jc w:val="center"/>
              <w:textAlignment w:val="baseline"/>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服务方案分</w:t>
            </w:r>
          </w:p>
          <w:p w14:paraId="541AA209">
            <w:pPr>
              <w:adjustRightInd w:val="0"/>
              <w:spacing w:line="400" w:lineRule="exact"/>
              <w:jc w:val="center"/>
              <w:textAlignment w:val="baseline"/>
              <w:rPr>
                <w:rFonts w:hint="default" w:ascii="Times New Roman" w:hAnsi="Times New Roman" w:eastAsia="宋体" w:cs="Times New Roman"/>
                <w:sz w:val="21"/>
                <w:szCs w:val="21"/>
                <w:highlight w:val="none"/>
              </w:rPr>
            </w:pPr>
            <w:r>
              <w:rPr>
                <w:rFonts w:hint="default" w:ascii="Times New Roman" w:hAnsi="Times New Roman" w:cs="Times New Roman"/>
                <w:color w:val="auto"/>
                <w:szCs w:val="21"/>
                <w:highlight w:val="none"/>
                <w:lang w:eastAsia="zh-CN"/>
              </w:rPr>
              <w:t>（满分</w:t>
            </w:r>
            <w:r>
              <w:rPr>
                <w:rFonts w:hint="eastAsia" w:cs="Times New Roman"/>
                <w:color w:val="auto"/>
                <w:szCs w:val="21"/>
                <w:highlight w:val="none"/>
                <w:lang w:val="en-US" w:eastAsia="zh-CN"/>
              </w:rPr>
              <w:t>2</w:t>
            </w:r>
            <w:r>
              <w:rPr>
                <w:rFonts w:hint="default" w:ascii="Times New Roman" w:hAnsi="Times New Roman" w:cs="Times New Roman"/>
                <w:color w:val="auto"/>
                <w:szCs w:val="21"/>
                <w:highlight w:val="none"/>
                <w:lang w:val="en-US" w:eastAsia="zh-CN"/>
              </w:rPr>
              <w:t>0分</w:t>
            </w:r>
            <w:r>
              <w:rPr>
                <w:rFonts w:hint="default" w:ascii="Times New Roman" w:hAnsi="Times New Roman" w:cs="Times New Roman"/>
                <w:color w:val="auto"/>
                <w:szCs w:val="21"/>
                <w:highlight w:val="none"/>
                <w:lang w:eastAsia="zh-CN"/>
              </w:rPr>
              <w:t>）</w:t>
            </w:r>
          </w:p>
        </w:tc>
        <w:tc>
          <w:tcPr>
            <w:tcW w:w="6634" w:type="dxa"/>
            <w:vAlign w:val="center"/>
          </w:tcPr>
          <w:p w14:paraId="65BC3316">
            <w:pPr>
              <w:spacing w:line="400" w:lineRule="exact"/>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(1) 评分因素：服务方案的规范性、完善性、实施可能性及对项目服务需求的满足程度；</w:t>
            </w:r>
          </w:p>
          <w:p w14:paraId="2B2FAADC">
            <w:pPr>
              <w:spacing w:line="400" w:lineRule="exact"/>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(2) 由评标委员会横向比较各投标人编制的服务方案内容进行独立评分，某投标人该评审项得分为各评标委员给分之和的算术平均值；</w:t>
            </w:r>
          </w:p>
          <w:p w14:paraId="0E1865A0">
            <w:pPr>
              <w:spacing w:line="400" w:lineRule="exact"/>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(3) 评审内容包含以下内容：</w:t>
            </w:r>
          </w:p>
          <w:p w14:paraId="755E233A">
            <w:pPr>
              <w:spacing w:line="400" w:lineRule="exact"/>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① 出险处理方案，0~</w:t>
            </w:r>
            <w:r>
              <w:rPr>
                <w:rFonts w:hint="eastAsia" w:cs="Times New Roman"/>
                <w:bCs/>
                <w:color w:val="auto"/>
                <w:szCs w:val="21"/>
                <w:highlight w:val="none"/>
                <w:lang w:val="en-US" w:eastAsia="zh-CN"/>
              </w:rPr>
              <w:t>4</w:t>
            </w:r>
            <w:r>
              <w:rPr>
                <w:rFonts w:hint="default" w:ascii="Times New Roman" w:hAnsi="Times New Roman" w:cs="Times New Roman"/>
                <w:bCs/>
                <w:color w:val="auto"/>
                <w:szCs w:val="21"/>
                <w:highlight w:val="none"/>
              </w:rPr>
              <w:t>分；</w:t>
            </w:r>
          </w:p>
          <w:p w14:paraId="349E58A2">
            <w:pPr>
              <w:spacing w:line="400" w:lineRule="exact"/>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② 理赔方案，0~</w:t>
            </w:r>
            <w:r>
              <w:rPr>
                <w:rFonts w:hint="eastAsia" w:cs="Times New Roman"/>
                <w:bCs/>
                <w:color w:val="auto"/>
                <w:szCs w:val="21"/>
                <w:highlight w:val="none"/>
                <w:lang w:val="en-US" w:eastAsia="zh-CN"/>
              </w:rPr>
              <w:t>4</w:t>
            </w:r>
            <w:r>
              <w:rPr>
                <w:rFonts w:hint="default" w:ascii="Times New Roman" w:hAnsi="Times New Roman" w:cs="Times New Roman"/>
                <w:bCs/>
                <w:color w:val="auto"/>
                <w:szCs w:val="21"/>
                <w:highlight w:val="none"/>
              </w:rPr>
              <w:t xml:space="preserve"> 分；</w:t>
            </w:r>
          </w:p>
          <w:p w14:paraId="74A60F89">
            <w:pPr>
              <w:spacing w:line="400" w:lineRule="exact"/>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③ 理赔争议解决方案，0~</w:t>
            </w:r>
            <w:r>
              <w:rPr>
                <w:rFonts w:hint="eastAsia" w:cs="Times New Roman"/>
                <w:bCs/>
                <w:color w:val="auto"/>
                <w:szCs w:val="21"/>
                <w:highlight w:val="none"/>
                <w:lang w:val="en-US" w:eastAsia="zh-CN"/>
              </w:rPr>
              <w:t>4</w:t>
            </w:r>
            <w:r>
              <w:rPr>
                <w:rFonts w:hint="default" w:ascii="Times New Roman" w:hAnsi="Times New Roman" w:cs="Times New Roman"/>
                <w:bCs/>
                <w:color w:val="auto"/>
                <w:szCs w:val="21"/>
                <w:highlight w:val="none"/>
              </w:rPr>
              <w:t>分；</w:t>
            </w:r>
          </w:p>
          <w:p w14:paraId="6AC6F5BE">
            <w:pPr>
              <w:spacing w:line="400" w:lineRule="exact"/>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④ 风险控制方案，0~</w:t>
            </w:r>
            <w:r>
              <w:rPr>
                <w:rFonts w:hint="eastAsia" w:cs="Times New Roman"/>
                <w:bCs/>
                <w:color w:val="auto"/>
                <w:szCs w:val="21"/>
                <w:highlight w:val="none"/>
                <w:lang w:val="en-US" w:eastAsia="zh-CN"/>
              </w:rPr>
              <w:t>4</w:t>
            </w:r>
            <w:r>
              <w:rPr>
                <w:rFonts w:hint="default" w:ascii="Times New Roman" w:hAnsi="Times New Roman" w:cs="Times New Roman"/>
                <w:bCs/>
                <w:color w:val="auto"/>
                <w:szCs w:val="21"/>
                <w:highlight w:val="none"/>
              </w:rPr>
              <w:t>分；</w:t>
            </w:r>
          </w:p>
          <w:p w14:paraId="65409A23">
            <w:pPr>
              <w:spacing w:line="400" w:lineRule="exact"/>
              <w:rPr>
                <w:rFonts w:hint="default" w:ascii="Times New Roman" w:hAnsi="Times New Roman" w:eastAsia="宋体" w:cs="Times New Roman"/>
                <w:bCs/>
                <w:kern w:val="0"/>
                <w:sz w:val="21"/>
                <w:szCs w:val="21"/>
                <w:highlight w:val="none"/>
              </w:rPr>
            </w:pPr>
            <w:r>
              <w:rPr>
                <w:rFonts w:hint="default" w:ascii="Times New Roman" w:hAnsi="Times New Roman" w:cs="Times New Roman"/>
                <w:bCs/>
                <w:color w:val="auto"/>
                <w:szCs w:val="21"/>
                <w:highlight w:val="none"/>
              </w:rPr>
              <w:t>⑤ 增值服务方案，0~</w:t>
            </w:r>
            <w:r>
              <w:rPr>
                <w:rFonts w:hint="eastAsia" w:cs="Times New Roman"/>
                <w:bCs/>
                <w:color w:val="auto"/>
                <w:szCs w:val="21"/>
                <w:highlight w:val="none"/>
                <w:lang w:val="en-US" w:eastAsia="zh-CN"/>
              </w:rPr>
              <w:t>4</w:t>
            </w:r>
            <w:r>
              <w:rPr>
                <w:rFonts w:hint="default" w:ascii="Times New Roman" w:hAnsi="Times New Roman" w:cs="Times New Roman"/>
                <w:bCs/>
                <w:color w:val="auto"/>
                <w:szCs w:val="21"/>
                <w:highlight w:val="none"/>
              </w:rPr>
              <w:t>分。</w:t>
            </w:r>
          </w:p>
        </w:tc>
      </w:tr>
      <w:tr w14:paraId="4BAA3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820" w:type="dxa"/>
            <w:vAlign w:val="center"/>
          </w:tcPr>
          <w:p w14:paraId="1E0DA544">
            <w:pPr>
              <w:widowControl/>
              <w:spacing w:line="400" w:lineRule="exact"/>
              <w:jc w:val="center"/>
              <w:rPr>
                <w:rFonts w:hint="default" w:ascii="Times New Roman" w:hAnsi="Times New Roman" w:eastAsia="宋体" w:cs="Times New Roman"/>
                <w:kern w:val="0"/>
                <w:sz w:val="21"/>
                <w:szCs w:val="21"/>
                <w:highlight w:val="none"/>
                <w:lang w:eastAsia="zh-CN"/>
              </w:rPr>
            </w:pPr>
            <w:r>
              <w:rPr>
                <w:rFonts w:hint="default" w:ascii="Times New Roman" w:hAnsi="Times New Roman" w:cs="Times New Roman"/>
                <w:kern w:val="0"/>
                <w:sz w:val="21"/>
                <w:szCs w:val="21"/>
                <w:highlight w:val="none"/>
                <w:lang w:val="en-US" w:eastAsia="zh-CN"/>
              </w:rPr>
              <w:t>3</w:t>
            </w:r>
          </w:p>
        </w:tc>
        <w:tc>
          <w:tcPr>
            <w:tcW w:w="1983" w:type="dxa"/>
            <w:vAlign w:val="center"/>
          </w:tcPr>
          <w:p w14:paraId="2486614B">
            <w:pPr>
              <w:adjustRightInd w:val="0"/>
              <w:spacing w:line="400" w:lineRule="exact"/>
              <w:jc w:val="center"/>
              <w:textAlignment w:val="baseline"/>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服务</w:t>
            </w:r>
            <w:r>
              <w:rPr>
                <w:rFonts w:hint="eastAsia" w:cs="Times New Roman"/>
                <w:color w:val="auto"/>
                <w:szCs w:val="21"/>
                <w:highlight w:val="none"/>
                <w:lang w:eastAsia="zh-CN"/>
              </w:rPr>
              <w:t>保障方案</w:t>
            </w:r>
            <w:r>
              <w:rPr>
                <w:rFonts w:hint="default" w:ascii="Times New Roman" w:hAnsi="Times New Roman" w:cs="Times New Roman"/>
                <w:color w:val="auto"/>
                <w:szCs w:val="21"/>
                <w:highlight w:val="none"/>
              </w:rPr>
              <w:t>分</w:t>
            </w:r>
          </w:p>
          <w:p w14:paraId="4B3347E6">
            <w:pPr>
              <w:adjustRightInd w:val="0"/>
              <w:spacing w:line="400" w:lineRule="exact"/>
              <w:jc w:val="center"/>
              <w:textAlignment w:val="baseline"/>
              <w:rPr>
                <w:rFonts w:hint="default" w:ascii="Times New Roman" w:hAnsi="Times New Roman" w:eastAsia="宋体" w:cs="Times New Roman"/>
                <w:bCs/>
                <w:kern w:val="0"/>
                <w:sz w:val="21"/>
                <w:szCs w:val="21"/>
                <w:highlight w:val="none"/>
              </w:rPr>
            </w:pPr>
            <w:r>
              <w:rPr>
                <w:rFonts w:hint="default" w:ascii="Times New Roman" w:hAnsi="Times New Roman" w:cs="Times New Roman"/>
                <w:color w:val="auto"/>
                <w:szCs w:val="21"/>
                <w:highlight w:val="none"/>
                <w:lang w:eastAsia="zh-CN"/>
              </w:rPr>
              <w:t>（满分</w:t>
            </w:r>
            <w:r>
              <w:rPr>
                <w:rFonts w:hint="eastAsia" w:cs="Times New Roman"/>
                <w:color w:val="auto"/>
                <w:szCs w:val="21"/>
                <w:highlight w:val="none"/>
                <w:lang w:val="en-US" w:eastAsia="zh-CN"/>
              </w:rPr>
              <w:t>30</w:t>
            </w:r>
            <w:r>
              <w:rPr>
                <w:rFonts w:hint="default" w:ascii="Times New Roman" w:hAnsi="Times New Roman" w:cs="Times New Roman"/>
                <w:color w:val="auto"/>
                <w:szCs w:val="21"/>
                <w:highlight w:val="none"/>
                <w:lang w:val="en-US" w:eastAsia="zh-CN"/>
              </w:rPr>
              <w:t>分</w:t>
            </w:r>
            <w:r>
              <w:rPr>
                <w:rFonts w:hint="default" w:ascii="Times New Roman" w:hAnsi="Times New Roman" w:cs="Times New Roman"/>
                <w:color w:val="auto"/>
                <w:szCs w:val="21"/>
                <w:highlight w:val="none"/>
                <w:lang w:eastAsia="zh-CN"/>
              </w:rPr>
              <w:t>）</w:t>
            </w:r>
          </w:p>
        </w:tc>
        <w:tc>
          <w:tcPr>
            <w:tcW w:w="6634" w:type="dxa"/>
            <w:vAlign w:val="center"/>
          </w:tcPr>
          <w:p w14:paraId="7BDCCBB7">
            <w:pPr>
              <w:pStyle w:val="11"/>
              <w:keepNext w:val="0"/>
              <w:keepLines w:val="0"/>
              <w:pageBreakBefore w:val="0"/>
              <w:widowControl w:val="0"/>
              <w:kinsoku/>
              <w:wordWrap/>
              <w:overflowPunct/>
              <w:topLinePunct w:val="0"/>
              <w:autoSpaceDE/>
              <w:autoSpaceDN/>
              <w:bidi w:val="0"/>
              <w:adjustRightInd w:val="0"/>
              <w:snapToGrid/>
              <w:spacing w:line="400" w:lineRule="exact"/>
              <w:textAlignment w:val="baseline"/>
              <w:rPr>
                <w:rFonts w:hint="eastAsia" w:eastAsia="宋体" w:cs="Times New Roman"/>
                <w:bCs/>
                <w:color w:val="auto"/>
                <w:kern w:val="0"/>
                <w:sz w:val="21"/>
                <w:szCs w:val="21"/>
                <w:highlight w:val="none"/>
                <w:lang w:val="en-US" w:eastAsia="zh-CN" w:bidi="ar-SA"/>
              </w:rPr>
            </w:pPr>
            <w:r>
              <w:rPr>
                <w:rFonts w:hint="eastAsia" w:cs="Times New Roman"/>
                <w:bCs/>
                <w:color w:val="auto"/>
                <w:kern w:val="0"/>
                <w:sz w:val="21"/>
                <w:szCs w:val="21"/>
                <w:highlight w:val="none"/>
                <w:lang w:val="en-US" w:eastAsia="zh-CN" w:bidi="ar-SA"/>
              </w:rPr>
              <w:t>（1）</w:t>
            </w:r>
            <w:r>
              <w:rPr>
                <w:rFonts w:hint="default" w:ascii="Times New Roman" w:hAnsi="Times New Roman" w:cs="Times New Roman"/>
                <w:bCs/>
                <w:color w:val="auto"/>
                <w:szCs w:val="21"/>
                <w:highlight w:val="none"/>
              </w:rPr>
              <w:t>评分因素：</w:t>
            </w:r>
            <w:r>
              <w:rPr>
                <w:rFonts w:hint="eastAsia" w:ascii="Times New Roman" w:hAnsi="Times New Roman" w:cs="Times New Roman"/>
                <w:bCs/>
                <w:color w:val="auto"/>
                <w:szCs w:val="21"/>
                <w:highlight w:val="none"/>
                <w:lang w:eastAsia="zh-CN"/>
              </w:rPr>
              <w:t>投标人在服务保障方案中承诺赔付比例；</w:t>
            </w:r>
          </w:p>
          <w:p w14:paraId="25F3CF88">
            <w:pPr>
              <w:pStyle w:val="11"/>
              <w:keepNext w:val="0"/>
              <w:keepLines w:val="0"/>
              <w:pageBreakBefore w:val="0"/>
              <w:widowControl w:val="0"/>
              <w:kinsoku/>
              <w:wordWrap/>
              <w:overflowPunct/>
              <w:topLinePunct w:val="0"/>
              <w:autoSpaceDE/>
              <w:autoSpaceDN/>
              <w:bidi w:val="0"/>
              <w:adjustRightInd w:val="0"/>
              <w:snapToGrid/>
              <w:spacing w:line="400" w:lineRule="exact"/>
              <w:textAlignment w:val="baseline"/>
              <w:rPr>
                <w:rFonts w:hint="default" w:ascii="Times New Roman" w:hAnsi="Times New Roman" w:cs="Times New Roman"/>
                <w:bCs/>
                <w:color w:val="auto"/>
                <w:szCs w:val="21"/>
                <w:highlight w:val="none"/>
              </w:rPr>
            </w:pPr>
            <w:r>
              <w:rPr>
                <w:rFonts w:hint="eastAsia" w:cs="Times New Roman"/>
                <w:bCs/>
                <w:color w:val="auto"/>
                <w:kern w:val="0"/>
                <w:sz w:val="21"/>
                <w:szCs w:val="21"/>
                <w:highlight w:val="none"/>
                <w:lang w:val="en-US" w:eastAsia="zh-CN" w:bidi="ar-SA"/>
              </w:rPr>
              <w:t>（2）</w:t>
            </w:r>
            <w:r>
              <w:rPr>
                <w:rFonts w:hint="default" w:ascii="Times New Roman" w:hAnsi="Times New Roman" w:cs="Times New Roman"/>
                <w:bCs/>
                <w:color w:val="auto"/>
                <w:szCs w:val="21"/>
                <w:highlight w:val="none"/>
              </w:rPr>
              <w:t>由评标委员会</w:t>
            </w:r>
            <w:r>
              <w:rPr>
                <w:rFonts w:hint="eastAsia" w:ascii="Times New Roman" w:hAnsi="Times New Roman" w:cs="Times New Roman"/>
                <w:bCs/>
                <w:color w:val="auto"/>
                <w:szCs w:val="21"/>
                <w:highlight w:val="none"/>
                <w:lang w:eastAsia="zh-CN"/>
              </w:rPr>
              <w:t>根据各个投标人承诺的赔付比例</w:t>
            </w:r>
            <w:r>
              <w:rPr>
                <w:rFonts w:hint="default" w:ascii="Times New Roman" w:hAnsi="Times New Roman" w:cs="Times New Roman"/>
                <w:bCs/>
                <w:color w:val="auto"/>
                <w:szCs w:val="21"/>
                <w:highlight w:val="none"/>
              </w:rPr>
              <w:t>进行独立评分，某投标人该评审项得分为各评标委员给分之和的算术平均值；</w:t>
            </w:r>
          </w:p>
          <w:p w14:paraId="03CE9C27">
            <w:pPr>
              <w:pStyle w:val="11"/>
              <w:keepNext w:val="0"/>
              <w:keepLines w:val="0"/>
              <w:pageBreakBefore w:val="0"/>
              <w:widowControl w:val="0"/>
              <w:kinsoku/>
              <w:wordWrap/>
              <w:overflowPunct/>
              <w:topLinePunct w:val="0"/>
              <w:autoSpaceDE/>
              <w:autoSpaceDN/>
              <w:bidi w:val="0"/>
              <w:adjustRightInd w:val="0"/>
              <w:snapToGrid/>
              <w:spacing w:line="400" w:lineRule="exact"/>
              <w:textAlignment w:val="baseline"/>
              <w:rPr>
                <w:rFonts w:hint="eastAsia" w:ascii="Times New Roman" w:hAnsi="Times New Roman" w:eastAsia="宋体" w:cs="Times New Roman"/>
                <w:bCs/>
                <w:color w:val="auto"/>
                <w:kern w:val="0"/>
                <w:sz w:val="21"/>
                <w:szCs w:val="21"/>
                <w:highlight w:val="none"/>
                <w:lang w:val="en-US" w:eastAsia="zh-CN" w:bidi="ar-SA"/>
              </w:rPr>
            </w:pPr>
            <w:r>
              <w:rPr>
                <w:rFonts w:hint="eastAsia" w:ascii="Times New Roman" w:hAnsi="Times New Roman" w:cs="Times New Roman"/>
                <w:bCs/>
                <w:color w:val="auto"/>
                <w:szCs w:val="21"/>
                <w:highlight w:val="none"/>
                <w:lang w:eastAsia="zh-CN"/>
              </w:rPr>
              <w:t>（</w:t>
            </w:r>
            <w:r>
              <w:rPr>
                <w:rFonts w:hint="eastAsia" w:ascii="Times New Roman" w:hAnsi="Times New Roman" w:cs="Times New Roman"/>
                <w:bCs/>
                <w:color w:val="auto"/>
                <w:szCs w:val="21"/>
                <w:highlight w:val="none"/>
                <w:lang w:val="en-US" w:eastAsia="zh-CN"/>
              </w:rPr>
              <w:t>3</w:t>
            </w:r>
            <w:r>
              <w:rPr>
                <w:rFonts w:hint="eastAsia" w:ascii="Times New Roman" w:hAnsi="Times New Roman" w:cs="Times New Roman"/>
                <w:bCs/>
                <w:color w:val="auto"/>
                <w:szCs w:val="21"/>
                <w:highlight w:val="none"/>
                <w:lang w:eastAsia="zh-CN"/>
              </w:rPr>
              <w:t>）赔付比例</w:t>
            </w:r>
            <w:r>
              <w:rPr>
                <w:rFonts w:hint="default" w:ascii="Times New Roman" w:hAnsi="Times New Roman" w:cs="Times New Roman"/>
                <w:bCs/>
                <w:color w:val="auto"/>
                <w:szCs w:val="21"/>
                <w:highlight w:val="none"/>
              </w:rPr>
              <w:t>包含以下内容</w:t>
            </w:r>
            <w:r>
              <w:rPr>
                <w:rFonts w:hint="eastAsia" w:ascii="Times New Roman" w:hAnsi="Times New Roman" w:cs="Times New Roman"/>
                <w:bCs/>
                <w:color w:val="auto"/>
                <w:szCs w:val="21"/>
                <w:highlight w:val="none"/>
                <w:lang w:eastAsia="zh-CN"/>
              </w:rPr>
              <w:t>：</w:t>
            </w:r>
            <w:r>
              <w:rPr>
                <w:rFonts w:hint="eastAsia" w:ascii="Times New Roman" w:hAnsi="Times New Roman" w:eastAsia="宋体" w:cs="Times New Roman"/>
                <w:bCs/>
                <w:color w:val="auto"/>
                <w:kern w:val="0"/>
                <w:sz w:val="21"/>
                <w:szCs w:val="21"/>
                <w:highlight w:val="none"/>
                <w:lang w:val="en-US" w:eastAsia="zh-CN" w:bidi="ar-SA"/>
              </w:rPr>
              <w:t xml:space="preserve"> </w:t>
            </w:r>
          </w:p>
          <w:p w14:paraId="49D74F10">
            <w:pPr>
              <w:spacing w:line="400" w:lineRule="exact"/>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 xml:space="preserve">① </w:t>
            </w:r>
            <w:r>
              <w:rPr>
                <w:rFonts w:hint="eastAsia" w:ascii="Times New Roman" w:hAnsi="Times New Roman" w:cs="Times New Roman"/>
                <w:bCs/>
                <w:color w:val="auto"/>
                <w:szCs w:val="21"/>
                <w:highlight w:val="none"/>
                <w:lang w:eastAsia="zh-CN"/>
              </w:rPr>
              <w:t>梧州</w:t>
            </w:r>
            <w:r>
              <w:rPr>
                <w:rFonts w:hint="eastAsia" w:cs="Times New Roman" w:eastAsiaTheme="minorEastAsia"/>
                <w:b w:val="0"/>
                <w:bCs/>
                <w:color w:val="auto"/>
                <w:sz w:val="21"/>
                <w:szCs w:val="21"/>
                <w:highlight w:val="none"/>
                <w:u w:val="none"/>
                <w:lang w:val="en-US" w:eastAsia="zh-CN"/>
              </w:rPr>
              <w:t>市内就医按55% 补助得5分</w:t>
            </w:r>
            <w:r>
              <w:rPr>
                <w:rFonts w:hint="eastAsia" w:ascii="Times New Roman" w:hAnsi="Times New Roman" w:eastAsia="宋体" w:cs="Times New Roman"/>
                <w:bCs/>
                <w:color w:val="auto"/>
                <w:kern w:val="0"/>
                <w:sz w:val="21"/>
                <w:szCs w:val="21"/>
                <w:highlight w:val="none"/>
                <w:lang w:val="en-US" w:eastAsia="zh-CN" w:bidi="ar-SA"/>
              </w:rPr>
              <w:t>，每增加1%加1分</w:t>
            </w:r>
            <w:r>
              <w:rPr>
                <w:rFonts w:hint="default" w:ascii="Times New Roman" w:hAnsi="Times New Roman" w:cs="Times New Roman"/>
                <w:bCs/>
                <w:color w:val="auto"/>
                <w:szCs w:val="21"/>
                <w:highlight w:val="none"/>
              </w:rPr>
              <w:t>；</w:t>
            </w:r>
          </w:p>
          <w:p w14:paraId="4E984B7A">
            <w:pPr>
              <w:spacing w:line="400" w:lineRule="exact"/>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 xml:space="preserve">② </w:t>
            </w:r>
            <w:r>
              <w:rPr>
                <w:rFonts w:hint="eastAsia" w:cs="Times New Roman" w:eastAsiaTheme="minorEastAsia"/>
                <w:b w:val="0"/>
                <w:bCs/>
                <w:color w:val="auto"/>
                <w:sz w:val="21"/>
                <w:szCs w:val="21"/>
                <w:highlight w:val="none"/>
                <w:u w:val="none"/>
                <w:lang w:val="en-US" w:eastAsia="zh-CN"/>
              </w:rPr>
              <w:t>广西区内异地就医按50% 补助得5分</w:t>
            </w:r>
            <w:r>
              <w:rPr>
                <w:rFonts w:hint="eastAsia" w:ascii="Times New Roman" w:hAnsi="Times New Roman" w:eastAsia="宋体" w:cs="Times New Roman"/>
                <w:bCs/>
                <w:color w:val="auto"/>
                <w:kern w:val="0"/>
                <w:sz w:val="21"/>
                <w:szCs w:val="21"/>
                <w:highlight w:val="none"/>
                <w:lang w:val="en-US" w:eastAsia="zh-CN" w:bidi="ar-SA"/>
              </w:rPr>
              <w:t>，每增加1%加1分</w:t>
            </w:r>
            <w:r>
              <w:rPr>
                <w:rFonts w:hint="default" w:ascii="Times New Roman" w:hAnsi="Times New Roman" w:cs="Times New Roman"/>
                <w:bCs/>
                <w:color w:val="auto"/>
                <w:szCs w:val="21"/>
                <w:highlight w:val="none"/>
              </w:rPr>
              <w:t>；</w:t>
            </w:r>
          </w:p>
          <w:p w14:paraId="12337EE8">
            <w:pPr>
              <w:spacing w:line="400" w:lineRule="exact"/>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③</w:t>
            </w:r>
            <w:r>
              <w:rPr>
                <w:rFonts w:hint="eastAsia" w:cs="Times New Roman" w:eastAsiaTheme="minorEastAsia"/>
                <w:b w:val="0"/>
                <w:bCs/>
                <w:color w:val="auto"/>
                <w:sz w:val="21"/>
                <w:szCs w:val="21"/>
                <w:highlight w:val="none"/>
                <w:u w:val="none"/>
                <w:lang w:val="en-US" w:eastAsia="zh-CN"/>
              </w:rPr>
              <w:t>广西区外异地就医按 45% 补助得5分，</w:t>
            </w:r>
            <w:r>
              <w:rPr>
                <w:rFonts w:hint="eastAsia" w:ascii="Times New Roman" w:hAnsi="Times New Roman" w:eastAsia="宋体" w:cs="Times New Roman"/>
                <w:bCs/>
                <w:color w:val="auto"/>
                <w:kern w:val="0"/>
                <w:sz w:val="21"/>
                <w:szCs w:val="21"/>
                <w:highlight w:val="none"/>
                <w:lang w:val="en-US" w:eastAsia="zh-CN" w:bidi="ar-SA"/>
              </w:rPr>
              <w:t>每增加1%加1分</w:t>
            </w:r>
            <w:r>
              <w:rPr>
                <w:rFonts w:hint="default" w:ascii="Times New Roman" w:hAnsi="Times New Roman" w:cs="Times New Roman"/>
                <w:bCs/>
                <w:color w:val="auto"/>
                <w:szCs w:val="21"/>
                <w:highlight w:val="none"/>
              </w:rPr>
              <w:t>；</w:t>
            </w:r>
          </w:p>
          <w:p w14:paraId="1D509CCD">
            <w:pPr>
              <w:spacing w:line="400" w:lineRule="exact"/>
              <w:rPr>
                <w:rFonts w:hint="eastAsia" w:ascii="Times New Roman" w:hAnsi="Times New Roman" w:eastAsia="宋体" w:cs="Times New Roman"/>
                <w:bCs/>
                <w:color w:val="auto"/>
                <w:szCs w:val="21"/>
                <w:highlight w:val="none"/>
                <w:lang w:val="en-US" w:eastAsia="zh-CN"/>
              </w:rPr>
            </w:pPr>
            <w:r>
              <w:rPr>
                <w:rFonts w:hint="eastAsia" w:cs="Times New Roman"/>
                <w:bCs/>
                <w:color w:val="auto"/>
                <w:szCs w:val="21"/>
                <w:highlight w:val="none"/>
                <w:lang w:eastAsia="zh-CN"/>
              </w:rPr>
              <w:t>（注：</w:t>
            </w:r>
            <w:r>
              <w:rPr>
                <w:rFonts w:hint="default" w:ascii="Times New Roman" w:hAnsi="Times New Roman" w:cs="Times New Roman"/>
                <w:bCs/>
                <w:color w:val="auto"/>
                <w:szCs w:val="21"/>
                <w:highlight w:val="none"/>
              </w:rPr>
              <w:t xml:space="preserve">① </w:t>
            </w:r>
            <w:r>
              <w:rPr>
                <w:rFonts w:hint="eastAsia" w:cs="Times New Roman"/>
                <w:bCs/>
                <w:color w:val="auto"/>
                <w:szCs w:val="21"/>
                <w:highlight w:val="none"/>
                <w:lang w:val="en-US" w:eastAsia="zh-CN"/>
              </w:rPr>
              <w:t>-</w:t>
            </w:r>
            <w:r>
              <w:rPr>
                <w:rFonts w:hint="default" w:ascii="Times New Roman" w:hAnsi="Times New Roman" w:cs="Times New Roman"/>
                <w:bCs/>
                <w:color w:val="auto"/>
                <w:szCs w:val="21"/>
                <w:highlight w:val="none"/>
              </w:rPr>
              <w:t>③</w:t>
            </w:r>
            <w:r>
              <w:rPr>
                <w:rFonts w:hint="eastAsia" w:cs="Times New Roman"/>
                <w:bCs/>
                <w:color w:val="auto"/>
                <w:szCs w:val="21"/>
                <w:highlight w:val="none"/>
                <w:lang w:eastAsia="zh-CN"/>
              </w:rPr>
              <w:t>项总分最高得</w:t>
            </w:r>
            <w:r>
              <w:rPr>
                <w:rFonts w:hint="eastAsia" w:cs="Times New Roman"/>
                <w:bCs/>
                <w:color w:val="auto"/>
                <w:szCs w:val="21"/>
                <w:highlight w:val="none"/>
                <w:lang w:val="en-US" w:eastAsia="zh-CN"/>
              </w:rPr>
              <w:t>30分，超过30分按30分计算。</w:t>
            </w:r>
            <w:r>
              <w:rPr>
                <w:rFonts w:hint="eastAsia" w:cs="Times New Roman"/>
                <w:bCs/>
                <w:color w:val="auto"/>
                <w:szCs w:val="21"/>
                <w:highlight w:val="none"/>
                <w:lang w:eastAsia="zh-CN"/>
              </w:rPr>
              <w:t>）</w:t>
            </w:r>
          </w:p>
        </w:tc>
      </w:tr>
      <w:tr w14:paraId="16241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820" w:type="dxa"/>
            <w:vAlign w:val="center"/>
          </w:tcPr>
          <w:p w14:paraId="5754A169">
            <w:pPr>
              <w:widowControl/>
              <w:spacing w:line="400" w:lineRule="exact"/>
              <w:jc w:val="center"/>
              <w:rPr>
                <w:rFonts w:hint="default" w:ascii="Times New Roman" w:hAnsi="Times New Roman" w:eastAsia="宋体"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w:t>
            </w:r>
          </w:p>
        </w:tc>
        <w:tc>
          <w:tcPr>
            <w:tcW w:w="1983" w:type="dxa"/>
            <w:vAlign w:val="center"/>
          </w:tcPr>
          <w:p w14:paraId="0B24FD66">
            <w:pPr>
              <w:adjustRightInd w:val="0"/>
              <w:spacing w:line="400" w:lineRule="exact"/>
              <w:jc w:val="center"/>
              <w:textAlignment w:val="baseline"/>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信誉实力分</w:t>
            </w:r>
          </w:p>
          <w:p w14:paraId="6380D0D2">
            <w:pPr>
              <w:adjustRightInd w:val="0"/>
              <w:spacing w:line="400" w:lineRule="exact"/>
              <w:jc w:val="center"/>
              <w:textAlignment w:val="baseline"/>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cs="Times New Roman"/>
                <w:color w:val="auto"/>
                <w:szCs w:val="21"/>
                <w:highlight w:val="none"/>
                <w:lang w:eastAsia="zh-CN"/>
              </w:rPr>
              <w:t>（满分</w:t>
            </w:r>
            <w:r>
              <w:rPr>
                <w:rFonts w:hint="eastAsia" w:cs="Times New Roman"/>
                <w:color w:val="auto"/>
                <w:szCs w:val="21"/>
                <w:highlight w:val="none"/>
                <w:lang w:val="en-US" w:eastAsia="zh-CN"/>
              </w:rPr>
              <w:t>30</w:t>
            </w:r>
            <w:r>
              <w:rPr>
                <w:rFonts w:hint="default" w:ascii="Times New Roman" w:hAnsi="Times New Roman" w:cs="Times New Roman"/>
                <w:color w:val="auto"/>
                <w:szCs w:val="21"/>
                <w:highlight w:val="none"/>
                <w:lang w:val="en-US" w:eastAsia="zh-CN"/>
              </w:rPr>
              <w:t>分</w:t>
            </w:r>
            <w:r>
              <w:rPr>
                <w:rFonts w:hint="default" w:ascii="Times New Roman" w:hAnsi="Times New Roman" w:cs="Times New Roman"/>
                <w:color w:val="auto"/>
                <w:szCs w:val="21"/>
                <w:highlight w:val="none"/>
                <w:lang w:eastAsia="zh-CN"/>
              </w:rPr>
              <w:t>）</w:t>
            </w:r>
          </w:p>
        </w:tc>
        <w:tc>
          <w:tcPr>
            <w:tcW w:w="6634" w:type="dxa"/>
            <w:vAlign w:val="center"/>
          </w:tcPr>
          <w:p w14:paraId="4840BCF7">
            <w:pPr>
              <w:numPr>
                <w:ilvl w:val="0"/>
                <w:numId w:val="3"/>
              </w:numPr>
              <w:spacing w:line="400" w:lineRule="exact"/>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投标人或其所属总公司的综合偿付能力充足率超过</w:t>
            </w:r>
            <w:r>
              <w:rPr>
                <w:rFonts w:hint="default" w:ascii="Times New Roman" w:hAnsi="Times New Roman" w:cs="Times New Roman"/>
                <w:color w:val="auto"/>
                <w:highlight w:val="none"/>
                <w:lang w:val="en-US" w:eastAsia="zh-CN"/>
              </w:rPr>
              <w:t>2</w:t>
            </w:r>
            <w:r>
              <w:rPr>
                <w:rFonts w:hint="eastAsia" w:cs="Times New Roman"/>
                <w:color w:val="auto"/>
                <w:highlight w:val="none"/>
                <w:lang w:val="en-US" w:eastAsia="zh-CN"/>
              </w:rPr>
              <w:t>0</w:t>
            </w:r>
            <w:r>
              <w:rPr>
                <w:rFonts w:hint="default" w:ascii="Times New Roman" w:hAnsi="Times New Roman" w:cs="Times New Roman"/>
                <w:color w:val="auto"/>
                <w:highlight w:val="none"/>
                <w:lang w:val="en-US" w:eastAsia="zh-CN"/>
              </w:rPr>
              <w:t>0%</w:t>
            </w:r>
            <w:r>
              <w:rPr>
                <w:rFonts w:hint="default" w:ascii="Times New Roman" w:hAnsi="Times New Roman" w:cs="Times New Roman"/>
                <w:color w:val="auto"/>
                <w:highlight w:val="none"/>
              </w:rPr>
              <w:t>得</w:t>
            </w:r>
            <w:r>
              <w:rPr>
                <w:rFonts w:hint="eastAsia" w:cs="Times New Roman"/>
                <w:color w:val="auto"/>
                <w:highlight w:val="none"/>
                <w:lang w:val="en-US" w:eastAsia="zh-CN"/>
              </w:rPr>
              <w:t>10</w:t>
            </w:r>
            <w:r>
              <w:rPr>
                <w:rFonts w:hint="default" w:ascii="Times New Roman" w:hAnsi="Times New Roman" w:cs="Times New Roman"/>
                <w:color w:val="auto"/>
                <w:highlight w:val="none"/>
              </w:rPr>
              <w:t>分，</w:t>
            </w:r>
            <w:r>
              <w:rPr>
                <w:rFonts w:hint="eastAsia" w:cs="Times New Roman"/>
                <w:color w:val="auto"/>
                <w:highlight w:val="none"/>
                <w:lang w:val="en-US" w:eastAsia="zh-CN"/>
              </w:rPr>
              <w:t>1</w:t>
            </w:r>
            <w:r>
              <w:rPr>
                <w:rFonts w:hint="default" w:ascii="Times New Roman" w:hAnsi="Times New Roman" w:cs="Times New Roman"/>
                <w:color w:val="auto"/>
                <w:highlight w:val="none"/>
                <w:lang w:val="en-US" w:eastAsia="zh-CN"/>
              </w:rPr>
              <w:t>00%</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2</w:t>
            </w:r>
            <w:r>
              <w:rPr>
                <w:rFonts w:hint="eastAsia" w:cs="Times New Roman"/>
                <w:color w:val="auto"/>
                <w:highlight w:val="none"/>
                <w:lang w:val="en-US" w:eastAsia="zh-CN"/>
              </w:rPr>
              <w:t>0</w:t>
            </w:r>
            <w:r>
              <w:rPr>
                <w:rFonts w:hint="default" w:ascii="Times New Roman" w:hAnsi="Times New Roman" w:cs="Times New Roman"/>
                <w:color w:val="auto"/>
                <w:highlight w:val="none"/>
                <w:lang w:val="en-US" w:eastAsia="zh-CN"/>
              </w:rPr>
              <w:t>0</w:t>
            </w:r>
            <w:r>
              <w:rPr>
                <w:rFonts w:hint="default" w:ascii="Times New Roman" w:hAnsi="Times New Roman" w:cs="Times New Roman"/>
                <w:color w:val="auto"/>
                <w:highlight w:val="none"/>
              </w:rPr>
              <w:t>%的得</w:t>
            </w:r>
            <w:r>
              <w:rPr>
                <w:rFonts w:hint="eastAsia" w:cs="Times New Roman"/>
                <w:color w:val="auto"/>
                <w:highlight w:val="none"/>
                <w:lang w:val="en-US" w:eastAsia="zh-CN"/>
              </w:rPr>
              <w:t>5</w:t>
            </w:r>
            <w:r>
              <w:rPr>
                <w:rFonts w:hint="default" w:ascii="Times New Roman" w:hAnsi="Times New Roman" w:cs="Times New Roman"/>
                <w:color w:val="auto"/>
                <w:highlight w:val="none"/>
              </w:rPr>
              <w:t>分，</w:t>
            </w:r>
            <w:r>
              <w:rPr>
                <w:rFonts w:hint="eastAsia" w:cs="Times New Roman"/>
                <w:color w:val="auto"/>
                <w:highlight w:val="none"/>
                <w:lang w:val="en-US" w:eastAsia="zh-CN"/>
              </w:rPr>
              <w:t>1</w:t>
            </w:r>
            <w:r>
              <w:rPr>
                <w:rFonts w:hint="default" w:ascii="Times New Roman" w:hAnsi="Times New Roman" w:cs="Times New Roman"/>
                <w:color w:val="auto"/>
                <w:highlight w:val="none"/>
                <w:lang w:val="en-US" w:eastAsia="zh-CN"/>
              </w:rPr>
              <w:t>00</w:t>
            </w:r>
            <w:r>
              <w:rPr>
                <w:rFonts w:hint="default" w:ascii="Times New Roman" w:hAnsi="Times New Roman" w:cs="Times New Roman"/>
                <w:color w:val="auto"/>
                <w:highlight w:val="none"/>
              </w:rPr>
              <w:t>%以下的不得分；(提供投标人或其所属总公司</w:t>
            </w:r>
            <w:r>
              <w:rPr>
                <w:rFonts w:hint="default" w:ascii="Times New Roman" w:hAnsi="Times New Roman" w:cs="Times New Roman"/>
                <w:color w:val="auto"/>
                <w:highlight w:val="none"/>
                <w:lang w:val="en-US" w:eastAsia="zh-CN"/>
              </w:rPr>
              <w:t>202</w:t>
            </w:r>
            <w:r>
              <w:rPr>
                <w:rFonts w:hint="eastAsia" w:cs="Times New Roman"/>
                <w:color w:val="auto"/>
                <w:highlight w:val="none"/>
                <w:lang w:val="en-US" w:eastAsia="zh-CN"/>
              </w:rPr>
              <w:t>4</w:t>
            </w:r>
            <w:r>
              <w:rPr>
                <w:rFonts w:hint="default" w:ascii="Times New Roman" w:hAnsi="Times New Roman" w:cs="Times New Roman"/>
                <w:color w:val="auto"/>
                <w:highlight w:val="none"/>
              </w:rPr>
              <w:t>年</w:t>
            </w:r>
            <w:r>
              <w:rPr>
                <w:rFonts w:hint="default" w:ascii="Times New Roman" w:hAnsi="Times New Roman" w:cs="Times New Roman"/>
                <w:color w:val="auto"/>
                <w:highlight w:val="none"/>
                <w:lang w:eastAsia="zh-CN"/>
              </w:rPr>
              <w:t>第四季度</w:t>
            </w:r>
            <w:r>
              <w:rPr>
                <w:rFonts w:hint="default" w:ascii="Times New Roman" w:hAnsi="Times New Roman" w:cs="Times New Roman"/>
                <w:color w:val="auto"/>
                <w:highlight w:val="none"/>
              </w:rPr>
              <w:t>保险公司偿付能力季度报告摘要或证明文件，加盖投标人或其所属总公司公章，投标人须对数据的真实性负责)</w:t>
            </w:r>
            <w:r>
              <w:rPr>
                <w:rFonts w:hint="default" w:ascii="Times New Roman" w:hAnsi="Times New Roman" w:cs="Times New Roman"/>
                <w:color w:val="auto"/>
                <w:highlight w:val="none"/>
                <w:lang w:eastAsia="zh-CN"/>
              </w:rPr>
              <w:t>，满分</w:t>
            </w:r>
            <w:r>
              <w:rPr>
                <w:rFonts w:hint="eastAsia" w:cs="Times New Roman"/>
                <w:color w:val="auto"/>
                <w:highlight w:val="none"/>
                <w:lang w:val="en-US" w:eastAsia="zh-CN"/>
              </w:rPr>
              <w:t>10</w:t>
            </w:r>
            <w:r>
              <w:rPr>
                <w:rFonts w:hint="default" w:ascii="Times New Roman" w:hAnsi="Times New Roman" w:cs="Times New Roman"/>
                <w:color w:val="auto"/>
                <w:highlight w:val="none"/>
                <w:lang w:val="en-US" w:eastAsia="zh-CN"/>
              </w:rPr>
              <w:t>分。</w:t>
            </w:r>
          </w:p>
          <w:p w14:paraId="3E0B3D09">
            <w:pPr>
              <w:spacing w:line="44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(2) </w:t>
            </w:r>
            <w:r>
              <w:rPr>
                <w:rFonts w:hint="default" w:ascii="Times New Roman" w:hAnsi="Times New Roman" w:cs="Times New Roman"/>
                <w:color w:val="auto"/>
                <w:highlight w:val="none"/>
                <w:lang w:eastAsia="zh-CN"/>
              </w:rPr>
              <w:t>投标人或其所属总公司在保险业“三位一体”监管评价中，经营评价结果为 A 的，得 10 分，其他不得分；（以中国保险行业协会公布 2018 年度保险公司法人机构经营评价结果为准，须提供相关证明材料，否则不予计分）满分</w:t>
            </w:r>
            <w:r>
              <w:rPr>
                <w:rFonts w:hint="eastAsia" w:cs="Times New Roman"/>
                <w:color w:val="auto"/>
                <w:highlight w:val="none"/>
                <w:lang w:val="en-US" w:eastAsia="zh-CN"/>
              </w:rPr>
              <w:t>10</w:t>
            </w:r>
            <w:r>
              <w:rPr>
                <w:rFonts w:hint="default" w:ascii="Times New Roman" w:hAnsi="Times New Roman" w:cs="Times New Roman"/>
                <w:color w:val="auto"/>
                <w:highlight w:val="none"/>
                <w:lang w:val="en-US" w:eastAsia="zh-CN"/>
              </w:rPr>
              <w:t>分</w:t>
            </w:r>
            <w:r>
              <w:rPr>
                <w:rFonts w:hint="default" w:ascii="Times New Roman" w:hAnsi="Times New Roman" w:cs="Times New Roman"/>
                <w:color w:val="auto"/>
                <w:highlight w:val="none"/>
              </w:rPr>
              <w:t>。</w:t>
            </w:r>
          </w:p>
          <w:p w14:paraId="347D6429">
            <w:pPr>
              <w:spacing w:line="400" w:lineRule="exact"/>
              <w:rPr>
                <w:rFonts w:hint="default" w:ascii="Times New Roman" w:hAnsi="Times New Roman" w:cs="Times New Roman"/>
                <w:color w:val="auto"/>
                <w:lang w:val="en-US" w:eastAsia="zh-CN"/>
              </w:rPr>
            </w:pPr>
            <w:r>
              <w:rPr>
                <w:rFonts w:hint="default" w:ascii="Times New Roman" w:hAnsi="Times New Roman" w:cs="Times New Roman"/>
                <w:color w:val="auto"/>
              </w:rPr>
              <w:t>(</w:t>
            </w:r>
            <w:r>
              <w:rPr>
                <w:rFonts w:hint="default" w:ascii="Times New Roman" w:hAnsi="Times New Roman" w:cs="Times New Roman"/>
                <w:color w:val="auto"/>
                <w:lang w:val="en-US" w:eastAsia="zh-CN"/>
              </w:rPr>
              <w:t>3</w:t>
            </w:r>
            <w:r>
              <w:rPr>
                <w:rFonts w:hint="default" w:ascii="Times New Roman" w:hAnsi="Times New Roman" w:cs="Times New Roman"/>
                <w:color w:val="auto"/>
              </w:rPr>
              <w:t>) 投标人自</w:t>
            </w:r>
            <w:r>
              <w:rPr>
                <w:rFonts w:hint="eastAsia" w:ascii="Times New Roman" w:hAnsi="Times New Roman" w:cs="Times New Roman"/>
                <w:color w:val="auto"/>
                <w:highlight w:val="none"/>
                <w:lang w:val="en-US" w:eastAsia="zh-CN"/>
              </w:rPr>
              <w:t>2022</w:t>
            </w:r>
            <w:r>
              <w:rPr>
                <w:rFonts w:hint="default" w:ascii="Times New Roman" w:hAnsi="Times New Roman" w:cs="Times New Roman"/>
                <w:color w:val="auto"/>
              </w:rPr>
              <w:t>年1月1日起至投标截止时间前在梧州辖区内没有受到上级监管部门处罚的，得</w:t>
            </w:r>
            <w:r>
              <w:rPr>
                <w:rFonts w:hint="eastAsia" w:cs="Times New Roman"/>
                <w:color w:val="auto"/>
                <w:lang w:val="en-US" w:eastAsia="zh-CN"/>
              </w:rPr>
              <w:t>5</w:t>
            </w:r>
            <w:r>
              <w:rPr>
                <w:rFonts w:hint="default" w:ascii="Times New Roman" w:hAnsi="Times New Roman" w:cs="Times New Roman"/>
                <w:color w:val="auto"/>
              </w:rPr>
              <w:t>分。(投标人须根据自身实际情况提供有无受到处罚的承诺，否则不予计分。如投标人提供虚假承诺骗取中标，则取消其中标资格并追究其法律责任)</w:t>
            </w:r>
            <w:r>
              <w:rPr>
                <w:rFonts w:hint="default" w:ascii="Times New Roman" w:hAnsi="Times New Roman" w:cs="Times New Roman"/>
                <w:color w:val="auto"/>
                <w:lang w:val="en-US" w:eastAsia="zh-CN"/>
              </w:rPr>
              <w:t xml:space="preserve"> ，满分</w:t>
            </w:r>
            <w:r>
              <w:rPr>
                <w:rFonts w:hint="eastAsia" w:cs="Times New Roman"/>
                <w:color w:val="auto"/>
                <w:lang w:val="en-US" w:eastAsia="zh-CN"/>
              </w:rPr>
              <w:t>5</w:t>
            </w:r>
            <w:r>
              <w:rPr>
                <w:rFonts w:hint="default" w:ascii="Times New Roman" w:hAnsi="Times New Roman" w:cs="Times New Roman"/>
                <w:color w:val="auto"/>
                <w:lang w:val="en-US" w:eastAsia="zh-CN"/>
              </w:rPr>
              <w:t>分。</w:t>
            </w:r>
          </w:p>
          <w:p w14:paraId="0E46BFF7">
            <w:pPr>
              <w:spacing w:line="400" w:lineRule="exact"/>
              <w:rPr>
                <w:rFonts w:hint="eastAsia" w:cs="Times New Roman"/>
                <w:color w:val="auto"/>
                <w:lang w:val="en-US" w:eastAsia="zh-CN"/>
              </w:rPr>
            </w:pPr>
            <w:r>
              <w:rPr>
                <w:rFonts w:hint="eastAsia" w:cs="Times New Roman"/>
                <w:color w:val="auto"/>
                <w:lang w:val="en-US" w:eastAsia="zh-CN"/>
              </w:rPr>
              <w:t>（4）提供投标人总公司2021年至投标截止时间的年度风险综合评级：连续4年获得A级得5分，连续3年获得A级得3分，曾经获得过B级得2分，获得过C级及其他均不得分。</w:t>
            </w:r>
          </w:p>
          <w:p w14:paraId="329BBA8D">
            <w:pPr>
              <w:spacing w:line="400" w:lineRule="exact"/>
              <w:rPr>
                <w:rFonts w:hint="eastAsia" w:cs="Times New Roman"/>
                <w:color w:val="auto"/>
                <w:lang w:val="en-US" w:eastAsia="zh-CN"/>
              </w:rPr>
            </w:pPr>
            <w:r>
              <w:rPr>
                <w:rFonts w:hint="eastAsia" w:cs="Times New Roman"/>
                <w:color w:val="auto"/>
                <w:lang w:val="en-US" w:eastAsia="zh-CN"/>
              </w:rPr>
              <w:t>（提供保险监管部门对投标人总公司分类监管结果的通知文件复印件或保险监管部门偿二代监管信息系统发布信息页面截图作为证明材料。</w:t>
            </w:r>
          </w:p>
          <w:p w14:paraId="354D8095">
            <w:pPr>
              <w:spacing w:line="400" w:lineRule="exact"/>
              <w:rPr>
                <w:rFonts w:hint="default" w:ascii="Times New Roman" w:hAnsi="Times New Roman" w:eastAsia="宋体" w:cs="Times New Roman"/>
                <w:bCs/>
                <w:color w:val="auto"/>
                <w:kern w:val="0"/>
                <w:sz w:val="21"/>
                <w:szCs w:val="21"/>
                <w:highlight w:val="none"/>
                <w:lang w:val="en-US" w:eastAsia="zh-CN" w:bidi="ar-SA"/>
              </w:rPr>
            </w:pPr>
            <w:r>
              <w:rPr>
                <w:rFonts w:hint="eastAsia" w:cs="Times New Roman"/>
                <w:color w:val="auto"/>
                <w:lang w:val="en-US" w:eastAsia="zh-CN"/>
              </w:rPr>
              <w:t>（https://www.iachina.cn/）公布的相关证明材料，并加盖供应商公章，否则不得分。）</w:t>
            </w:r>
            <w:r>
              <w:rPr>
                <w:rFonts w:hint="default" w:ascii="Times New Roman" w:hAnsi="Times New Roman" w:cs="Times New Roman"/>
                <w:color w:val="auto"/>
                <w:lang w:val="en-US" w:eastAsia="zh-CN"/>
              </w:rPr>
              <w:t>，满分</w:t>
            </w:r>
            <w:r>
              <w:rPr>
                <w:rFonts w:hint="eastAsia" w:cs="Times New Roman"/>
                <w:color w:val="auto"/>
                <w:lang w:val="en-US" w:eastAsia="zh-CN"/>
              </w:rPr>
              <w:t>5</w:t>
            </w:r>
            <w:r>
              <w:rPr>
                <w:rFonts w:hint="default" w:ascii="Times New Roman" w:hAnsi="Times New Roman" w:cs="Times New Roman"/>
                <w:color w:val="auto"/>
                <w:lang w:val="en-US" w:eastAsia="zh-CN"/>
              </w:rPr>
              <w:t>分</w:t>
            </w:r>
            <w:r>
              <w:rPr>
                <w:rFonts w:hint="eastAsia" w:cs="Times New Roman"/>
                <w:color w:val="auto"/>
                <w:lang w:val="en-US" w:eastAsia="zh-CN"/>
              </w:rPr>
              <w:t>。</w:t>
            </w:r>
          </w:p>
        </w:tc>
      </w:tr>
      <w:tr w14:paraId="0C832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jc w:val="center"/>
        </w:trPr>
        <w:tc>
          <w:tcPr>
            <w:tcW w:w="820" w:type="dxa"/>
            <w:vAlign w:val="center"/>
          </w:tcPr>
          <w:p w14:paraId="731CB875">
            <w:pPr>
              <w:widowControl/>
              <w:spacing w:line="400" w:lineRule="exact"/>
              <w:jc w:val="center"/>
              <w:rPr>
                <w:rFonts w:hint="default" w:ascii="Times New Roman" w:hAnsi="Times New Roman" w:eastAsia="宋体"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w:t>
            </w:r>
          </w:p>
        </w:tc>
        <w:tc>
          <w:tcPr>
            <w:tcW w:w="1983" w:type="dxa"/>
            <w:vAlign w:val="center"/>
          </w:tcPr>
          <w:p w14:paraId="4B886435">
            <w:pPr>
              <w:adjustRightInd w:val="0"/>
              <w:spacing w:line="400" w:lineRule="exact"/>
              <w:jc w:val="center"/>
              <w:textAlignment w:val="baseline"/>
              <w:rPr>
                <w:rFonts w:hint="default" w:ascii="Times New Roman" w:hAnsi="Times New Roman" w:cs="Times New Roman"/>
                <w:lang w:eastAsia="zh-CN"/>
              </w:rPr>
            </w:pPr>
            <w:r>
              <w:rPr>
                <w:rFonts w:hint="default" w:ascii="Times New Roman" w:hAnsi="Times New Roman" w:cs="Times New Roman"/>
                <w:lang w:eastAsia="zh-CN"/>
              </w:rPr>
              <w:t>承保业绩分</w:t>
            </w:r>
          </w:p>
          <w:p w14:paraId="5990CC91">
            <w:pPr>
              <w:adjustRightInd w:val="0"/>
              <w:spacing w:line="400" w:lineRule="exact"/>
              <w:jc w:val="center"/>
              <w:textAlignment w:val="baseline"/>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color w:val="auto"/>
                <w:szCs w:val="21"/>
                <w:highlight w:val="none"/>
                <w:lang w:eastAsia="zh-CN"/>
              </w:rPr>
              <w:t>（满分</w:t>
            </w:r>
            <w:r>
              <w:rPr>
                <w:rFonts w:hint="default" w:ascii="Times New Roman" w:hAnsi="Times New Roman" w:cs="Times New Roman"/>
                <w:color w:val="auto"/>
                <w:szCs w:val="21"/>
                <w:highlight w:val="none"/>
                <w:lang w:val="en-US" w:eastAsia="zh-CN"/>
              </w:rPr>
              <w:t>20分</w:t>
            </w:r>
            <w:r>
              <w:rPr>
                <w:rFonts w:hint="default" w:ascii="Times New Roman" w:hAnsi="Times New Roman" w:cs="Times New Roman"/>
                <w:color w:val="auto"/>
                <w:szCs w:val="21"/>
                <w:highlight w:val="none"/>
                <w:lang w:eastAsia="zh-CN"/>
              </w:rPr>
              <w:t>）</w:t>
            </w:r>
          </w:p>
        </w:tc>
        <w:tc>
          <w:tcPr>
            <w:tcW w:w="6634" w:type="dxa"/>
            <w:vAlign w:val="center"/>
          </w:tcPr>
          <w:p w14:paraId="0215C414">
            <w:pPr>
              <w:spacing w:line="400" w:lineRule="exac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（1）投标人</w:t>
            </w:r>
            <w:r>
              <w:rPr>
                <w:rFonts w:hint="eastAsia" w:ascii="Times New Roman" w:hAnsi="Times New Roman" w:cs="Times New Roman"/>
                <w:color w:val="auto"/>
                <w:highlight w:val="none"/>
                <w:lang w:val="en-US" w:eastAsia="zh-CN"/>
              </w:rPr>
              <w:t>2022</w:t>
            </w:r>
            <w:r>
              <w:rPr>
                <w:rFonts w:hint="default" w:ascii="Times New Roman" w:hAnsi="Times New Roman" w:cs="Times New Roman"/>
                <w:color w:val="auto"/>
                <w:lang w:val="en-US" w:eastAsia="zh-CN"/>
              </w:rPr>
              <w:t>年1月1日至今承接过类似项目（指“政府机关单位投保的健康保险”），每一项目每年度得2分，满分10分。</w:t>
            </w:r>
          </w:p>
          <w:p w14:paraId="07592E78">
            <w:pPr>
              <w:spacing w:line="400" w:lineRule="exact"/>
              <w:rPr>
                <w:rFonts w:hint="default" w:ascii="Times New Roman" w:hAnsi="Times New Roman" w:eastAsia="宋体" w:cs="Times New Roman"/>
                <w:bCs/>
                <w:color w:val="auto"/>
                <w:kern w:val="0"/>
                <w:sz w:val="21"/>
                <w:szCs w:val="21"/>
                <w:highlight w:val="none"/>
                <w:lang w:val="en-US" w:eastAsia="zh-CN" w:bidi="ar-SA"/>
              </w:rPr>
            </w:pPr>
            <w:r>
              <w:rPr>
                <w:rFonts w:hint="default" w:ascii="Times New Roman" w:hAnsi="Times New Roman" w:cs="Times New Roman"/>
                <w:color w:val="auto"/>
                <w:lang w:val="en-US" w:eastAsia="zh-CN"/>
              </w:rPr>
              <w:t>（2）政府部门推动的保险共保体项目承保经验：投标人或省级公司每一个首席承保经验，得5分；每参与一个共保项目的，得2</w:t>
            </w:r>
            <w:r>
              <w:rPr>
                <w:rFonts w:hint="eastAsia" w:cs="Times New Roman"/>
                <w:color w:val="auto"/>
                <w:lang w:val="en-US" w:eastAsia="zh-CN"/>
              </w:rPr>
              <w:t>.5</w:t>
            </w:r>
            <w:r>
              <w:rPr>
                <w:rFonts w:hint="default" w:ascii="Times New Roman" w:hAnsi="Times New Roman" w:cs="Times New Roman"/>
                <w:color w:val="auto"/>
                <w:lang w:val="en-US" w:eastAsia="zh-CN"/>
              </w:rPr>
              <w:t>分；其他情况不得分，满分10分。（须提供能证明相关业绩的保单或合同复印件，每份保险合同视为一份经验，原件备查。）</w:t>
            </w:r>
          </w:p>
        </w:tc>
      </w:tr>
      <w:tr w14:paraId="2E0B8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9437" w:type="dxa"/>
            <w:gridSpan w:val="3"/>
            <w:vAlign w:val="center"/>
          </w:tcPr>
          <w:p w14:paraId="01AF8EFA">
            <w:pPr>
              <w:spacing w:line="400" w:lineRule="exact"/>
              <w:jc w:val="center"/>
              <w:rPr>
                <w:rFonts w:hint="default" w:ascii="Times New Roman" w:hAnsi="Times New Roman" w:eastAsia="宋体" w:cs="Times New Roman"/>
                <w:b/>
                <w:bCs/>
                <w:highlight w:val="none"/>
                <w:lang w:val="en-US" w:eastAsia="zh-CN"/>
              </w:rPr>
            </w:pPr>
            <w:r>
              <w:rPr>
                <w:rFonts w:hint="default" w:ascii="Times New Roman" w:hAnsi="Times New Roman" w:cs="Times New Roman"/>
                <w:b/>
                <w:bCs/>
                <w:highlight w:val="none"/>
              </w:rPr>
              <w:t>总得分＝1＋2＋3</w:t>
            </w:r>
            <w:r>
              <w:rPr>
                <w:rFonts w:hint="eastAsia" w:ascii="Times New Roman" w:hAnsi="Times New Roman" w:cs="Times New Roman"/>
                <w:b/>
                <w:bCs/>
                <w:highlight w:val="none"/>
                <w:lang w:val="en-US" w:eastAsia="zh-CN"/>
              </w:rPr>
              <w:t>+4+5</w:t>
            </w:r>
          </w:p>
        </w:tc>
      </w:tr>
    </w:tbl>
    <w:p w14:paraId="13CCF0F5">
      <w:pPr>
        <w:jc w:val="center"/>
        <w:rPr>
          <w:rFonts w:hint="eastAsia" w:ascii="Times New Roman" w:hAnsi="Times New Roman" w:eastAsia="宋体" w:cs="Times New Roman"/>
          <w:b/>
          <w:sz w:val="28"/>
          <w:szCs w:val="28"/>
          <w:highlight w:val="none"/>
        </w:rPr>
      </w:pPr>
    </w:p>
    <w:p w14:paraId="60ED1414">
      <w:pPr>
        <w:jc w:val="center"/>
        <w:rPr>
          <w:rFonts w:hint="eastAsia" w:ascii="Times New Roman" w:hAnsi="Times New Roman" w:eastAsia="宋体" w:cs="Times New Roman"/>
          <w:b/>
          <w:sz w:val="28"/>
          <w:szCs w:val="28"/>
          <w:highlight w:val="none"/>
        </w:rPr>
      </w:pPr>
      <w:r>
        <w:rPr>
          <w:rFonts w:hint="eastAsia" w:ascii="Times New Roman" w:hAnsi="Times New Roman" w:eastAsia="宋体" w:cs="Times New Roman"/>
          <w:b/>
          <w:sz w:val="28"/>
          <w:szCs w:val="28"/>
          <w:highlight w:val="none"/>
        </w:rPr>
        <w:t>四、中标候选人推荐原则</w:t>
      </w:r>
    </w:p>
    <w:p w14:paraId="4498F35E">
      <w:pPr>
        <w:spacing w:line="400" w:lineRule="exact"/>
        <w:ind w:firstLine="420" w:firstLineChars="200"/>
        <w:rPr>
          <w:rFonts w:hint="eastAsia"/>
          <w:bCs/>
          <w:szCs w:val="21"/>
          <w:highlight w:val="none"/>
        </w:rPr>
      </w:pPr>
    </w:p>
    <w:p w14:paraId="2796AC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Cs/>
          <w:szCs w:val="21"/>
          <w:highlight w:val="none"/>
        </w:rPr>
      </w:pPr>
      <w:r>
        <w:rPr>
          <w:rFonts w:hint="eastAsia"/>
          <w:bCs/>
          <w:szCs w:val="21"/>
          <w:highlight w:val="none"/>
        </w:rPr>
        <w:t>1</w:t>
      </w:r>
      <w:r>
        <w:rPr>
          <w:rFonts w:hint="eastAsia" w:ascii="Times New Roman" w:hAnsi="Times New Roman" w:eastAsia="宋体" w:cs="Times New Roman"/>
          <w:b w:val="0"/>
          <w:kern w:val="2"/>
          <w:sz w:val="21"/>
          <w:szCs w:val="21"/>
          <w:highlight w:val="none"/>
          <w:lang w:val="en-US" w:eastAsia="zh-CN" w:bidi="ar-SA"/>
        </w:rPr>
        <w:t>．</w:t>
      </w:r>
      <w:r>
        <w:rPr>
          <w:rFonts w:hint="eastAsia"/>
          <w:bCs/>
          <w:szCs w:val="21"/>
          <w:highlight w:val="none"/>
        </w:rPr>
        <w:t>评标委员会根据原始评标记录和评标结果编写评标报告，并通过电子交易平台向采购人、采购代理机构提交。</w:t>
      </w:r>
    </w:p>
    <w:p w14:paraId="30B9CE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Cs/>
          <w:color w:val="FF0000"/>
          <w:szCs w:val="21"/>
          <w:highlight w:val="none"/>
        </w:rPr>
      </w:pPr>
      <w:r>
        <w:rPr>
          <w:rFonts w:hint="eastAsia"/>
          <w:bCs/>
          <w:szCs w:val="21"/>
          <w:highlight w:val="none"/>
        </w:rPr>
        <w:t>2</w:t>
      </w:r>
      <w:r>
        <w:rPr>
          <w:rFonts w:hint="eastAsia" w:ascii="Times New Roman" w:hAnsi="Times New Roman" w:eastAsia="宋体" w:cs="Times New Roman"/>
          <w:b w:val="0"/>
          <w:kern w:val="2"/>
          <w:sz w:val="21"/>
          <w:szCs w:val="21"/>
          <w:highlight w:val="none"/>
          <w:lang w:val="en-US" w:eastAsia="zh-CN" w:bidi="ar-SA"/>
        </w:rPr>
        <w:t>．</w:t>
      </w:r>
      <w:r>
        <w:rPr>
          <w:rFonts w:hint="eastAsia"/>
          <w:bCs/>
          <w:szCs w:val="21"/>
          <w:highlight w:val="none"/>
        </w:rPr>
        <w:t>评标委员会将根据</w:t>
      </w:r>
      <w:r>
        <w:rPr>
          <w:rFonts w:hint="eastAsia" w:ascii="Times New Roman" w:hAnsi="Times New Roman" w:eastAsia="宋体" w:cs="Times New Roman"/>
          <w:spacing w:val="0"/>
          <w:position w:val="0"/>
          <w:sz w:val="21"/>
          <w:szCs w:val="21"/>
          <w:highlight w:val="none"/>
          <w:lang w:eastAsia="zh-CN"/>
        </w:rPr>
        <w:t>投标</w:t>
      </w:r>
      <w:r>
        <w:rPr>
          <w:rFonts w:hint="default" w:ascii="Times New Roman" w:hAnsi="Times New Roman" w:eastAsia="宋体" w:cs="Times New Roman"/>
          <w:spacing w:val="0"/>
          <w:position w:val="0"/>
          <w:sz w:val="21"/>
          <w:szCs w:val="21"/>
          <w:highlight w:val="none"/>
        </w:rPr>
        <w:t>文件满足</w:t>
      </w:r>
      <w:r>
        <w:rPr>
          <w:rFonts w:hint="eastAsia" w:ascii="Times New Roman" w:hAnsi="Times New Roman" w:eastAsia="宋体" w:cs="Times New Roman"/>
          <w:spacing w:val="0"/>
          <w:position w:val="0"/>
          <w:sz w:val="21"/>
          <w:szCs w:val="21"/>
          <w:highlight w:val="none"/>
          <w:lang w:eastAsia="zh-CN"/>
        </w:rPr>
        <w:t>招标</w:t>
      </w:r>
      <w:r>
        <w:rPr>
          <w:rFonts w:hint="default" w:ascii="Times New Roman" w:hAnsi="Times New Roman" w:eastAsia="宋体" w:cs="Times New Roman"/>
          <w:spacing w:val="0"/>
          <w:position w:val="0"/>
          <w:sz w:val="21"/>
          <w:szCs w:val="21"/>
          <w:highlight w:val="none"/>
        </w:rPr>
        <w:t>文件全部实质性要求</w:t>
      </w:r>
      <w:r>
        <w:rPr>
          <w:rFonts w:hint="eastAsia" w:ascii="Times New Roman" w:hAnsi="Times New Roman" w:eastAsia="宋体" w:cs="Times New Roman"/>
          <w:spacing w:val="0"/>
          <w:position w:val="0"/>
          <w:sz w:val="21"/>
          <w:szCs w:val="21"/>
          <w:highlight w:val="none"/>
          <w:lang w:eastAsia="zh-CN"/>
        </w:rPr>
        <w:t>、</w:t>
      </w:r>
      <w:r>
        <w:rPr>
          <w:rFonts w:hint="default" w:ascii="Times New Roman" w:hAnsi="Times New Roman" w:eastAsia="宋体" w:cs="Times New Roman"/>
          <w:spacing w:val="0"/>
          <w:position w:val="0"/>
          <w:sz w:val="21"/>
          <w:szCs w:val="21"/>
          <w:highlight w:val="none"/>
        </w:rPr>
        <w:t>且按评审因素的量化指标评审</w:t>
      </w:r>
      <w:r>
        <w:rPr>
          <w:rFonts w:hint="eastAsia" w:ascii="Times New Roman" w:hAnsi="Times New Roman" w:eastAsia="宋体" w:cs="Times New Roman"/>
          <w:spacing w:val="0"/>
          <w:position w:val="0"/>
          <w:sz w:val="21"/>
          <w:szCs w:val="21"/>
          <w:highlight w:val="none"/>
          <w:lang w:eastAsia="zh-CN"/>
        </w:rPr>
        <w:t>综合总</w:t>
      </w:r>
      <w:r>
        <w:rPr>
          <w:rFonts w:hint="default" w:ascii="Times New Roman" w:hAnsi="Times New Roman" w:eastAsia="宋体" w:cs="Times New Roman"/>
          <w:spacing w:val="0"/>
          <w:position w:val="0"/>
          <w:sz w:val="21"/>
          <w:szCs w:val="21"/>
          <w:highlight w:val="none"/>
        </w:rPr>
        <w:t>得分由高到低的顺序依次</w:t>
      </w:r>
      <w:r>
        <w:rPr>
          <w:rFonts w:hint="eastAsia"/>
          <w:bCs/>
          <w:szCs w:val="21"/>
          <w:highlight w:val="none"/>
        </w:rPr>
        <w:t>推荐中标候选人。</w:t>
      </w:r>
      <w:r>
        <w:rPr>
          <w:rFonts w:hint="eastAsia" w:ascii="Times New Roman" w:hAnsi="Times New Roman" w:eastAsia="宋体" w:cs="Times New Roman"/>
          <w:color w:val="auto"/>
          <w:sz w:val="21"/>
          <w:szCs w:val="21"/>
          <w:highlight w:val="none"/>
          <w:lang w:val="en-US" w:eastAsia="zh-CN"/>
        </w:rPr>
        <w:t>综合</w:t>
      </w:r>
      <w:r>
        <w:rPr>
          <w:rFonts w:hint="eastAsia"/>
          <w:highlight w:val="none"/>
          <w:lang w:val="en-US" w:eastAsia="zh-CN"/>
        </w:rPr>
        <w:t>总得分</w:t>
      </w:r>
      <w:r>
        <w:rPr>
          <w:rFonts w:hint="default" w:ascii="Times New Roman" w:hAnsi="Times New Roman" w:eastAsia="宋体" w:cs="Times New Roman"/>
          <w:color w:val="auto"/>
          <w:sz w:val="21"/>
          <w:szCs w:val="21"/>
          <w:highlight w:val="none"/>
        </w:rPr>
        <w:t>相同</w:t>
      </w:r>
      <w:r>
        <w:rPr>
          <w:rFonts w:hint="eastAsia" w:ascii="Times New Roman" w:hAnsi="Times New Roman" w:eastAsia="宋体" w:cs="Times New Roman"/>
          <w:color w:val="auto"/>
          <w:sz w:val="21"/>
          <w:szCs w:val="21"/>
          <w:highlight w:val="none"/>
          <w:lang w:eastAsia="zh-CN"/>
        </w:rPr>
        <w:t>且</w:t>
      </w:r>
      <w:r>
        <w:rPr>
          <w:rFonts w:hint="default" w:ascii="Times New Roman" w:hAnsi="Times New Roman" w:eastAsia="宋体" w:cs="Times New Roman"/>
          <w:color w:val="auto"/>
          <w:sz w:val="21"/>
          <w:szCs w:val="21"/>
          <w:highlight w:val="none"/>
        </w:rPr>
        <w:t>的，</w:t>
      </w:r>
      <w:r>
        <w:rPr>
          <w:rFonts w:hint="eastAsia" w:ascii="Times New Roman" w:hAnsi="Times New Roman" w:eastAsia="宋体" w:cs="Times New Roman"/>
          <w:color w:val="auto"/>
          <w:sz w:val="21"/>
          <w:szCs w:val="21"/>
          <w:highlight w:val="none"/>
          <w:lang w:val="en-US" w:eastAsia="zh-CN"/>
        </w:rPr>
        <w:t>依次按</w:t>
      </w:r>
      <w:r>
        <w:rPr>
          <w:rFonts w:hint="eastAsia" w:ascii="Times New Roman" w:hAnsi="Times New Roman" w:eastAsia="宋体" w:cs="Times New Roman"/>
          <w:color w:val="auto"/>
          <w:sz w:val="21"/>
          <w:szCs w:val="21"/>
          <w:highlight w:val="none"/>
          <w:lang w:eastAsia="zh-CN"/>
        </w:rPr>
        <w:t>服务方案</w:t>
      </w:r>
      <w:r>
        <w:rPr>
          <w:rFonts w:hint="default" w:ascii="Times New Roman" w:hAnsi="Times New Roman" w:eastAsia="宋体" w:cs="Times New Roman"/>
          <w:color w:val="auto"/>
          <w:sz w:val="21"/>
          <w:szCs w:val="21"/>
          <w:highlight w:val="none"/>
        </w:rPr>
        <w:t>得分</w:t>
      </w:r>
      <w:r>
        <w:rPr>
          <w:rFonts w:hint="eastAsia" w:ascii="Times New Roman" w:hAnsi="Times New Roman" w:eastAsia="宋体" w:cs="Times New Roman"/>
          <w:color w:val="auto"/>
          <w:sz w:val="21"/>
          <w:szCs w:val="21"/>
          <w:highlight w:val="none"/>
          <w:lang w:val="en-US" w:eastAsia="zh-CN"/>
        </w:rPr>
        <w:t>高优先、服务保障方案得分高优先、</w:t>
      </w:r>
      <w:r>
        <w:rPr>
          <w:rFonts w:hint="eastAsia" w:ascii="Times New Roman" w:hAnsi="Times New Roman" w:eastAsia="宋体" w:cs="Times New Roman"/>
          <w:spacing w:val="0"/>
          <w:position w:val="0"/>
          <w:sz w:val="21"/>
          <w:szCs w:val="21"/>
          <w:highlight w:val="none"/>
          <w:lang w:eastAsia="zh-CN"/>
        </w:rPr>
        <w:t>信誉实力得分</w:t>
      </w:r>
      <w:r>
        <w:rPr>
          <w:rFonts w:hint="eastAsia" w:ascii="Times New Roman" w:hAnsi="Times New Roman" w:eastAsia="宋体" w:cs="Times New Roman"/>
          <w:spacing w:val="0"/>
          <w:position w:val="0"/>
          <w:sz w:val="21"/>
          <w:szCs w:val="21"/>
          <w:highlight w:val="none"/>
          <w:lang w:val="en-US" w:eastAsia="zh-CN"/>
        </w:rPr>
        <w:t>高优先、</w:t>
      </w:r>
      <w:r>
        <w:rPr>
          <w:rFonts w:hint="eastAsia" w:ascii="Times New Roman" w:hAnsi="Times New Roman" w:eastAsia="宋体" w:cs="Times New Roman"/>
          <w:spacing w:val="0"/>
          <w:position w:val="0"/>
          <w:sz w:val="21"/>
          <w:szCs w:val="21"/>
          <w:highlight w:val="none"/>
          <w:lang w:eastAsia="zh-CN"/>
        </w:rPr>
        <w:t>承保业绩得</w:t>
      </w:r>
      <w:r>
        <w:rPr>
          <w:rFonts w:hint="default" w:ascii="Times New Roman" w:hAnsi="Times New Roman" w:eastAsia="宋体" w:cs="Times New Roman"/>
          <w:spacing w:val="0"/>
          <w:position w:val="0"/>
          <w:sz w:val="21"/>
          <w:szCs w:val="21"/>
          <w:highlight w:val="none"/>
        </w:rPr>
        <w:t>分</w:t>
      </w:r>
      <w:r>
        <w:rPr>
          <w:rFonts w:hint="eastAsia" w:ascii="Times New Roman" w:hAnsi="Times New Roman" w:eastAsia="宋体" w:cs="Times New Roman"/>
          <w:spacing w:val="0"/>
          <w:position w:val="0"/>
          <w:sz w:val="21"/>
          <w:szCs w:val="21"/>
          <w:highlight w:val="none"/>
          <w:lang w:val="en-US" w:eastAsia="zh-CN"/>
        </w:rPr>
        <w:t>高优先。</w:t>
      </w:r>
      <w:r>
        <w:rPr>
          <w:rFonts w:hint="eastAsia" w:ascii="Times New Roman" w:hAnsi="Times New Roman" w:eastAsia="宋体" w:cs="Times New Roman"/>
          <w:color w:val="auto"/>
          <w:sz w:val="21"/>
          <w:szCs w:val="21"/>
          <w:highlight w:val="none"/>
          <w:lang w:val="en-US" w:eastAsia="zh-CN"/>
        </w:rPr>
        <w:t>如果上述得分均相同，则</w:t>
      </w:r>
      <w:r>
        <w:rPr>
          <w:rFonts w:hint="default" w:ascii="Times New Roman" w:hAnsi="Times New Roman" w:eastAsia="宋体" w:cs="Times New Roman"/>
          <w:color w:val="auto"/>
          <w:sz w:val="21"/>
          <w:szCs w:val="21"/>
          <w:highlight w:val="none"/>
        </w:rPr>
        <w:t>按《政府采购货物和服务招标投标管理办法》</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财政部令第87号</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 xml:space="preserve"> 第六十八条由评审小组随机抽取的方式</w:t>
      </w:r>
      <w:r>
        <w:rPr>
          <w:rFonts w:hint="eastAsia"/>
          <w:highlight w:val="none"/>
          <w:lang w:val="en-US" w:eastAsia="zh-CN"/>
        </w:rPr>
        <w:t>确定</w:t>
      </w:r>
      <w:r>
        <w:rPr>
          <w:rFonts w:hint="eastAsia" w:ascii="Times New Roman" w:hAnsi="Times New Roman" w:eastAsia="宋体" w:cs="Times New Roman"/>
          <w:color w:val="auto"/>
          <w:sz w:val="21"/>
          <w:szCs w:val="21"/>
          <w:highlight w:val="none"/>
          <w:lang w:val="en-US" w:eastAsia="zh-CN"/>
        </w:rPr>
        <w:t>排名</w:t>
      </w:r>
      <w:r>
        <w:rPr>
          <w:rFonts w:hint="eastAsia" w:ascii="Times New Roman" w:hAnsi="Times New Roman" w:eastAsia="宋体" w:cs="Times New Roman"/>
          <w:color w:val="auto"/>
          <w:sz w:val="21"/>
          <w:szCs w:val="21"/>
          <w:highlight w:val="none"/>
        </w:rPr>
        <w:t>。</w:t>
      </w:r>
    </w:p>
    <w:p w14:paraId="3C0B5CEB">
      <w:pPr>
        <w:spacing w:line="400" w:lineRule="exact"/>
        <w:ind w:firstLine="420" w:firstLineChars="200"/>
        <w:rPr>
          <w:highlight w:val="none"/>
        </w:rPr>
      </w:pPr>
    </w:p>
    <w:p w14:paraId="0261101F">
      <w:pPr>
        <w:spacing w:line="400" w:lineRule="exact"/>
        <w:ind w:firstLine="420" w:firstLineChars="200"/>
        <w:rPr>
          <w:highlight w:val="none"/>
        </w:rPr>
      </w:pPr>
    </w:p>
    <w:p w14:paraId="5806C0F4">
      <w:pPr>
        <w:pStyle w:val="3"/>
        <w:jc w:val="center"/>
        <w:rPr>
          <w:rFonts w:ascii="Times New Roman" w:hAnsi="Times New Roman"/>
          <w:highlight w:val="none"/>
        </w:rPr>
      </w:pPr>
      <w:r>
        <w:rPr>
          <w:rFonts w:ascii="Times New Roman" w:hAnsi="Times New Roman"/>
          <w:highlight w:val="none"/>
        </w:rPr>
        <w:br w:type="page"/>
      </w:r>
      <w:bookmarkStart w:id="49" w:name="_Toc44229897"/>
    </w:p>
    <w:p w14:paraId="4681E208">
      <w:pPr>
        <w:rPr>
          <w:highlight w:val="none"/>
        </w:rPr>
      </w:pPr>
    </w:p>
    <w:p w14:paraId="1CBD37D4">
      <w:pPr>
        <w:pStyle w:val="13"/>
        <w:rPr>
          <w:highlight w:val="none"/>
        </w:rPr>
      </w:pPr>
    </w:p>
    <w:p w14:paraId="31F43889">
      <w:pPr>
        <w:pStyle w:val="14"/>
        <w:rPr>
          <w:rFonts w:ascii="Times New Roman"/>
          <w:highlight w:val="none"/>
        </w:rPr>
      </w:pPr>
    </w:p>
    <w:p w14:paraId="7F3B527F">
      <w:pPr>
        <w:pStyle w:val="14"/>
        <w:rPr>
          <w:rFonts w:ascii="Times New Roman"/>
          <w:highlight w:val="none"/>
        </w:rPr>
      </w:pPr>
    </w:p>
    <w:p w14:paraId="3945C52A">
      <w:pPr>
        <w:pStyle w:val="3"/>
        <w:jc w:val="center"/>
        <w:rPr>
          <w:rFonts w:hint="eastAsia" w:ascii="Times New Roman" w:hAnsi="Times New Roman" w:eastAsia="宋体"/>
          <w:highlight w:val="none"/>
          <w:lang w:eastAsia="zh-CN"/>
        </w:rPr>
      </w:pPr>
      <w:r>
        <w:rPr>
          <w:rFonts w:ascii="Times New Roman" w:hAnsi="Times New Roman"/>
          <w:highlight w:val="none"/>
        </w:rPr>
        <w:t xml:space="preserve">第五章 </w:t>
      </w:r>
      <w:r>
        <w:rPr>
          <w:rFonts w:hint="eastAsia" w:ascii="Times New Roman" w:hAnsi="Times New Roman"/>
          <w:highlight w:val="none"/>
          <w:lang w:eastAsia="zh-CN"/>
        </w:rPr>
        <w:t>拟签订的合同文本</w:t>
      </w:r>
    </w:p>
    <w:p w14:paraId="0E4BA102">
      <w:pPr>
        <w:rPr>
          <w:rFonts w:ascii="Times New Roman" w:hAnsi="Times New Roman"/>
          <w:highlight w:val="none"/>
        </w:rPr>
      </w:pPr>
      <w:r>
        <w:rPr>
          <w:rFonts w:ascii="Times New Roman" w:hAnsi="Times New Roman"/>
          <w:highlight w:val="none"/>
        </w:rPr>
        <w:br w:type="page"/>
      </w:r>
    </w:p>
    <w:p w14:paraId="71098DCF">
      <w:pPr>
        <w:spacing w:line="360" w:lineRule="auto"/>
        <w:ind w:right="800"/>
        <w:jc w:val="center"/>
        <w:rPr>
          <w:rFonts w:hint="default" w:ascii="Times New Roman" w:hAnsi="Times New Roman" w:eastAsia="宋体" w:cs="Times New Roman"/>
          <w:b/>
          <w:bCs w:val="0"/>
          <w:color w:val="000000" w:themeColor="text1"/>
          <w:kern w:val="2"/>
          <w:sz w:val="28"/>
          <w:szCs w:val="28"/>
          <w:lang w:val="en-US" w:eastAsia="zh-CN" w:bidi="ar-SA"/>
          <w14:textFill>
            <w14:solidFill>
              <w14:schemeClr w14:val="tx1"/>
            </w14:solidFill>
          </w14:textFill>
        </w:rPr>
      </w:pPr>
      <w:r>
        <w:rPr>
          <w:rFonts w:hint="default" w:ascii="Times New Roman" w:hAnsi="Times New Roman" w:eastAsia="宋体" w:cs="Times New Roman"/>
          <w:b/>
          <w:bCs w:val="0"/>
          <w:color w:val="000000" w:themeColor="text1"/>
          <w:kern w:val="2"/>
          <w:sz w:val="28"/>
          <w:szCs w:val="28"/>
          <w:lang w:val="en-US" w:eastAsia="zh-CN" w:bidi="ar-SA"/>
          <w14:textFill>
            <w14:solidFill>
              <w14:schemeClr w14:val="tx1"/>
            </w14:solidFill>
          </w14:textFill>
        </w:rPr>
        <w:t>2026-2028年度蒙山县公务员补充医疗保险服务采购项目</w:t>
      </w:r>
      <w:r>
        <w:rPr>
          <w:rFonts w:hint="eastAsia" w:ascii="Times New Roman" w:hAnsi="Times New Roman" w:eastAsia="宋体" w:cs="Times New Roman"/>
          <w:b/>
          <w:bCs w:val="0"/>
          <w:color w:val="000000" w:themeColor="text1"/>
          <w:kern w:val="2"/>
          <w:sz w:val="28"/>
          <w:szCs w:val="28"/>
          <w:lang w:val="en-US" w:eastAsia="zh-CN" w:bidi="ar-SA"/>
          <w14:textFill>
            <w14:solidFill>
              <w14:schemeClr w14:val="tx1"/>
            </w14:solidFill>
          </w14:textFill>
        </w:rPr>
        <w:t>合同文本</w:t>
      </w:r>
    </w:p>
    <w:p w14:paraId="3530468D">
      <w:pPr>
        <w:spacing w:line="360" w:lineRule="auto"/>
        <w:ind w:right="800"/>
        <w:rPr>
          <w:rFonts w:hint="eastAsia" w:ascii="宋体" w:hAnsi="宋体" w:cs="宋体"/>
          <w:color w:val="auto"/>
          <w:szCs w:val="21"/>
        </w:rPr>
      </w:pPr>
    </w:p>
    <w:p w14:paraId="40180CD0">
      <w:pPr>
        <w:spacing w:line="360" w:lineRule="auto"/>
        <w:ind w:right="800"/>
        <w:rPr>
          <w:rFonts w:hint="default" w:ascii="Times New Roman" w:hAnsi="Times New Roman" w:eastAsia="宋体" w:cs="Times New Roman"/>
          <w:bCs/>
          <w:color w:val="auto"/>
          <w:szCs w:val="21"/>
          <w:highlight w:val="none"/>
          <w:u w:val="single"/>
          <w:lang w:val="en-US" w:eastAsia="zh-CN"/>
        </w:rPr>
      </w:pPr>
      <w:r>
        <w:rPr>
          <w:rFonts w:hint="default" w:ascii="Times New Roman" w:hAnsi="Times New Roman" w:cs="Times New Roman"/>
          <w:color w:val="auto"/>
          <w:szCs w:val="21"/>
        </w:rPr>
        <w:t>采购</w:t>
      </w:r>
      <w:r>
        <w:rPr>
          <w:rFonts w:hint="default" w:ascii="Times New Roman" w:hAnsi="Times New Roman" w:cs="Times New Roman"/>
          <w:color w:val="auto"/>
          <w:szCs w:val="21"/>
          <w:lang w:eastAsia="zh-CN"/>
        </w:rPr>
        <w:t>文</w:t>
      </w:r>
      <w:r>
        <w:rPr>
          <w:rFonts w:hint="default" w:ascii="Times New Roman" w:hAnsi="Times New Roman" w:cs="Times New Roman"/>
          <w:color w:val="auto"/>
          <w:szCs w:val="21"/>
        </w:rPr>
        <w:t>计划号：</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rPr>
        <w:t xml:space="preserve">   </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bCs/>
          <w:color w:val="auto"/>
          <w:szCs w:val="21"/>
          <w:highlight w:val="none"/>
          <w:lang w:eastAsia="zh-CN"/>
        </w:rPr>
        <w:t>合同</w:t>
      </w:r>
      <w:r>
        <w:rPr>
          <w:rFonts w:hint="default" w:ascii="Times New Roman" w:hAnsi="Times New Roman" w:cs="Times New Roman"/>
          <w:bCs/>
          <w:color w:val="auto"/>
          <w:szCs w:val="21"/>
          <w:highlight w:val="none"/>
        </w:rPr>
        <w:t>编号：</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p>
    <w:p w14:paraId="72A72052">
      <w:pPr>
        <w:spacing w:line="360" w:lineRule="auto"/>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rPr>
        <w:t>采购人（甲方）：</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 xml:space="preserve">      供应商（乙方）：</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 xml:space="preserve">    </w:t>
      </w:r>
    </w:p>
    <w:p w14:paraId="1F1511A6">
      <w:pPr>
        <w:spacing w:line="360" w:lineRule="auto"/>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rPr>
        <w:t>项目名称：</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 xml:space="preserve">  </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rPr>
        <w:t>项目编号：</w:t>
      </w:r>
      <w:r>
        <w:rPr>
          <w:rFonts w:hint="default" w:ascii="Times New Roman" w:hAnsi="Times New Roman" w:cs="Times New Roman"/>
          <w:color w:val="auto"/>
          <w:szCs w:val="21"/>
          <w:highlight w:val="none"/>
          <w:u w:val="single"/>
        </w:rPr>
        <w:t xml:space="preserve">                         </w:t>
      </w:r>
    </w:p>
    <w:p w14:paraId="7A5029EE">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签订地点：</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 xml:space="preserve">  </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rPr>
        <w:t>签订时间：</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p>
    <w:p w14:paraId="6E7F847A">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为了有效推进社会医疗保险制度改革，建立起层次的医疗保障体系，甲方实施公务员补充医疗保险。 经过公开招标程序，确定乙方为</w:t>
      </w:r>
      <w:r>
        <w:rPr>
          <w:rFonts w:hint="default" w:ascii="Times New Roman" w:hAnsi="Times New Roman" w:cs="Times New Roman"/>
          <w:color w:val="auto"/>
          <w:szCs w:val="21"/>
          <w:highlight w:val="none"/>
          <w:lang w:eastAsia="zh-CN"/>
        </w:rPr>
        <w:t>2026-2028年度蒙山县公务员补充医疗保险服务采购</w:t>
      </w:r>
      <w:r>
        <w:rPr>
          <w:rFonts w:hint="default" w:ascii="Times New Roman" w:hAnsi="Times New Roman" w:cs="Times New Roman"/>
          <w:color w:val="auto"/>
          <w:szCs w:val="21"/>
          <w:highlight w:val="none"/>
        </w:rPr>
        <w:t>的中标人，为 202</w:t>
      </w:r>
      <w:r>
        <w:rPr>
          <w:rFonts w:hint="default" w:ascii="Times New Roman" w:hAnsi="Times New Roman" w:cs="Times New Roman"/>
          <w:color w:val="auto"/>
          <w:szCs w:val="21"/>
          <w:highlight w:val="none"/>
          <w:lang w:val="en-US" w:eastAsia="zh-CN"/>
        </w:rPr>
        <w:t>6</w:t>
      </w:r>
      <w:r>
        <w:rPr>
          <w:rFonts w:hint="default" w:ascii="Times New Roman" w:hAnsi="Times New Roman" w:cs="Times New Roman"/>
          <w:color w:val="auto"/>
          <w:szCs w:val="21"/>
          <w:highlight w:val="none"/>
        </w:rPr>
        <w:t>-202</w:t>
      </w:r>
      <w:r>
        <w:rPr>
          <w:rFonts w:hint="default" w:ascii="Times New Roman" w:hAnsi="Times New Roman" w:cs="Times New Roman"/>
          <w:color w:val="auto"/>
          <w:szCs w:val="21"/>
          <w:highlight w:val="none"/>
          <w:lang w:val="en-US" w:eastAsia="zh-CN"/>
        </w:rPr>
        <w:t>8</w:t>
      </w:r>
      <w:r>
        <w:rPr>
          <w:rFonts w:hint="default" w:ascii="Times New Roman" w:hAnsi="Times New Roman" w:cs="Times New Roman"/>
          <w:color w:val="auto"/>
          <w:szCs w:val="21"/>
          <w:highlight w:val="none"/>
        </w:rPr>
        <w:t>年度蒙山县公务员补充医疗保险的承保公司。 甲、乙双方在遵循《保险法》、保险监督管理 部门有关规定以及当地政府有关基本医疗保险政策的前提下，就蒙山县国家公务员医疗补助保险(特指住院起付标准以上至医保最高支付限额以下个人自付部分及进入大额医疗保险个人自付部分的补充医疗保险，下同) 事宜签订如下协议：</w:t>
      </w:r>
    </w:p>
    <w:p w14:paraId="67C3478C">
      <w:pPr>
        <w:spacing w:line="360" w:lineRule="auto"/>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一 、合同当事人</w:t>
      </w:r>
    </w:p>
    <w:p w14:paraId="06DF1241">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eastAsiaTheme="minorEastAsia"/>
          <w:b w:val="0"/>
          <w:bCs/>
          <w:sz w:val="21"/>
          <w:szCs w:val="21"/>
          <w:lang w:eastAsia="zh-CN"/>
        </w:rPr>
        <w:t>为妥善解决国家公务员个人自付部分的医疗费用，保证国家公务员原有的医疗待遇水平不降低，招标人作为投保人，为本县参保城镇职工基本医疗保险的符合</w:t>
      </w:r>
      <w:r>
        <w:rPr>
          <w:rFonts w:hint="eastAsia" w:cs="Times New Roman" w:eastAsiaTheme="minorEastAsia"/>
          <w:b w:val="0"/>
          <w:bCs/>
          <w:sz w:val="21"/>
          <w:szCs w:val="21"/>
          <w:highlight w:val="none"/>
          <w:lang w:val="en-US" w:eastAsia="zh-CN"/>
        </w:rPr>
        <w:t>梧州市人民政府</w:t>
      </w:r>
      <w:r>
        <w:rPr>
          <w:rFonts w:hint="default" w:ascii="Times New Roman" w:hAnsi="Times New Roman" w:cs="Times New Roman" w:eastAsiaTheme="minorEastAsia"/>
          <w:b w:val="0"/>
          <w:bCs/>
          <w:sz w:val="21"/>
          <w:szCs w:val="21"/>
          <w:highlight w:val="none"/>
          <w:lang w:eastAsia="zh-CN"/>
        </w:rPr>
        <w:t>《梧州市</w:t>
      </w:r>
      <w:r>
        <w:rPr>
          <w:rFonts w:hint="eastAsia" w:cs="Times New Roman" w:eastAsiaTheme="minorEastAsia"/>
          <w:b w:val="0"/>
          <w:bCs/>
          <w:sz w:val="21"/>
          <w:szCs w:val="21"/>
          <w:highlight w:val="none"/>
          <w:lang w:val="en-US" w:eastAsia="zh-CN"/>
        </w:rPr>
        <w:t>直属机关单位</w:t>
      </w:r>
      <w:r>
        <w:rPr>
          <w:rFonts w:hint="default" w:ascii="Times New Roman" w:hAnsi="Times New Roman" w:cs="Times New Roman" w:eastAsiaTheme="minorEastAsia"/>
          <w:b w:val="0"/>
          <w:bCs/>
          <w:sz w:val="21"/>
          <w:szCs w:val="21"/>
          <w:highlight w:val="none"/>
          <w:lang w:eastAsia="zh-CN"/>
        </w:rPr>
        <w:t>公务员医疗补助</w:t>
      </w:r>
      <w:r>
        <w:rPr>
          <w:rFonts w:hint="eastAsia" w:cs="Times New Roman" w:eastAsiaTheme="minorEastAsia"/>
          <w:b w:val="0"/>
          <w:bCs/>
          <w:sz w:val="21"/>
          <w:szCs w:val="21"/>
          <w:highlight w:val="none"/>
          <w:lang w:val="en-US" w:eastAsia="zh-CN"/>
        </w:rPr>
        <w:t>管理暂行</w:t>
      </w:r>
      <w:r>
        <w:rPr>
          <w:rFonts w:hint="default" w:ascii="Times New Roman" w:hAnsi="Times New Roman" w:cs="Times New Roman" w:eastAsiaTheme="minorEastAsia"/>
          <w:b w:val="0"/>
          <w:bCs/>
          <w:sz w:val="21"/>
          <w:szCs w:val="21"/>
          <w:highlight w:val="none"/>
          <w:lang w:eastAsia="zh-CN"/>
        </w:rPr>
        <w:t>办法》</w:t>
      </w:r>
      <w:r>
        <w:rPr>
          <w:rFonts w:hint="eastAsia" w:cs="Times New Roman" w:eastAsiaTheme="minorEastAsia"/>
          <w:b w:val="0"/>
          <w:bCs/>
          <w:sz w:val="21"/>
          <w:szCs w:val="21"/>
          <w:highlight w:val="none"/>
          <w:lang w:val="en-US" w:eastAsia="zh-CN"/>
        </w:rPr>
        <w:t>（梧政发</w:t>
      </w:r>
      <w:r>
        <w:rPr>
          <w:rFonts w:hint="default" w:ascii="Times New Roman" w:hAnsi="Times New Roman" w:cs="Times New Roman" w:eastAsiaTheme="minorEastAsia"/>
          <w:b w:val="0"/>
          <w:bCs/>
          <w:sz w:val="21"/>
          <w:szCs w:val="21"/>
          <w:highlight w:val="none"/>
          <w:lang w:eastAsia="zh-CN"/>
        </w:rPr>
        <w:t>〔202</w:t>
      </w:r>
      <w:r>
        <w:rPr>
          <w:rFonts w:hint="eastAsia" w:cs="Times New Roman" w:eastAsiaTheme="minorEastAsia"/>
          <w:b w:val="0"/>
          <w:bCs/>
          <w:sz w:val="21"/>
          <w:szCs w:val="21"/>
          <w:highlight w:val="none"/>
          <w:lang w:val="en-US" w:eastAsia="zh-CN"/>
        </w:rPr>
        <w:t>4</w:t>
      </w:r>
      <w:r>
        <w:rPr>
          <w:rFonts w:hint="default" w:ascii="Times New Roman" w:hAnsi="Times New Roman" w:cs="Times New Roman" w:eastAsiaTheme="minorEastAsia"/>
          <w:b w:val="0"/>
          <w:bCs/>
          <w:sz w:val="21"/>
          <w:szCs w:val="21"/>
          <w:highlight w:val="none"/>
          <w:lang w:eastAsia="zh-CN"/>
        </w:rPr>
        <w:t>〕</w:t>
      </w:r>
      <w:r>
        <w:rPr>
          <w:rFonts w:hint="eastAsia" w:cs="Times New Roman" w:eastAsiaTheme="minorEastAsia"/>
          <w:b w:val="0"/>
          <w:bCs/>
          <w:sz w:val="21"/>
          <w:szCs w:val="21"/>
          <w:highlight w:val="none"/>
          <w:lang w:val="en-US" w:eastAsia="zh-CN"/>
        </w:rPr>
        <w:t>19号）</w:t>
      </w:r>
      <w:r>
        <w:rPr>
          <w:rFonts w:hint="default" w:ascii="Times New Roman" w:hAnsi="Times New Roman" w:cs="Times New Roman" w:eastAsiaTheme="minorEastAsia"/>
          <w:b w:val="0"/>
          <w:bCs/>
          <w:sz w:val="21"/>
          <w:szCs w:val="21"/>
          <w:lang w:eastAsia="zh-CN"/>
        </w:rPr>
        <w:t>中的医疗补助对象，统一向承保公司投保团体补充医疗保险，作为城镇职工基本医疗保险的补充</w:t>
      </w:r>
      <w:r>
        <w:rPr>
          <w:rFonts w:hint="default" w:ascii="Times New Roman" w:hAnsi="Times New Roman" w:cs="Times New Roman"/>
          <w:color w:val="auto"/>
          <w:szCs w:val="21"/>
          <w:highlight w:val="none"/>
        </w:rPr>
        <w:t>。</w:t>
      </w:r>
    </w:p>
    <w:p w14:paraId="2B94E23D">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2.凡参加蒙山县城镇职工基本医疗保险的公务员单位在编和退休工作人员、参公管理单位在编和退休工作人员、财政全额拨款事业单位在编和退休工作人员均为补充医疗保险的投保对象 (下称被保险人) ，对投保对象的投保，承保公司不能设立排他条款或以任何理由拒绝。</w:t>
      </w:r>
    </w:p>
    <w:p w14:paraId="5C1471F4">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3.乙方作为补充医疗保险的承保公司，接受投保人的申请。</w:t>
      </w:r>
    </w:p>
    <w:p w14:paraId="482FC674">
      <w:pPr>
        <w:spacing w:line="360" w:lineRule="auto"/>
        <w:ind w:firstLine="482" w:firstLineChars="20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二、保险期限与保险责任</w:t>
      </w:r>
    </w:p>
    <w:p w14:paraId="68CAE70D">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4.城镇职工补充医疗保险保险年度与基本医疗保险年度一致。本补充保险的保险期限为202</w:t>
      </w:r>
      <w:r>
        <w:rPr>
          <w:rFonts w:hint="default" w:ascii="Times New Roman" w:hAnsi="Times New Roman" w:cs="Times New Roman"/>
          <w:color w:val="auto"/>
          <w:szCs w:val="21"/>
          <w:highlight w:val="none"/>
          <w:lang w:val="en-US" w:eastAsia="zh-CN"/>
        </w:rPr>
        <w:t>6</w:t>
      </w:r>
      <w:r>
        <w:rPr>
          <w:rFonts w:hint="default" w:ascii="Times New Roman" w:hAnsi="Times New Roman" w:cs="Times New Roman"/>
          <w:color w:val="auto"/>
          <w:szCs w:val="21"/>
          <w:highlight w:val="none"/>
        </w:rPr>
        <w:t>年</w:t>
      </w:r>
      <w:r>
        <w:rPr>
          <w:rFonts w:hint="eastAsia" w:cs="Times New Roman"/>
          <w:color w:val="auto"/>
          <w:szCs w:val="21"/>
          <w:highlight w:val="none"/>
          <w:lang w:val="en-US" w:eastAsia="zh-CN"/>
        </w:rPr>
        <w:t>2</w:t>
      </w:r>
      <w:r>
        <w:rPr>
          <w:rFonts w:hint="default" w:ascii="Times New Roman" w:hAnsi="Times New Roman" w:cs="Times New Roman"/>
          <w:color w:val="auto"/>
          <w:szCs w:val="21"/>
          <w:highlight w:val="none"/>
        </w:rPr>
        <w:t>月</w:t>
      </w:r>
      <w:r>
        <w:rPr>
          <w:rFonts w:hint="default" w:ascii="Times New Roman" w:hAnsi="Times New Roman" w:cs="Times New Roman"/>
          <w:color w:val="auto"/>
          <w:szCs w:val="21"/>
          <w:highlight w:val="none"/>
          <w:lang w:val="en-US" w:eastAsia="zh-CN"/>
        </w:rPr>
        <w:t>1</w:t>
      </w:r>
      <w:r>
        <w:rPr>
          <w:rFonts w:hint="default" w:ascii="Times New Roman" w:hAnsi="Times New Roman" w:cs="Times New Roman"/>
          <w:color w:val="auto"/>
          <w:szCs w:val="21"/>
          <w:highlight w:val="none"/>
        </w:rPr>
        <w:t>日起至202</w:t>
      </w:r>
      <w:r>
        <w:rPr>
          <w:rFonts w:hint="default" w:ascii="Times New Roman" w:hAnsi="Times New Roman" w:cs="Times New Roman"/>
          <w:color w:val="auto"/>
          <w:szCs w:val="21"/>
          <w:highlight w:val="none"/>
          <w:lang w:val="en-US" w:eastAsia="zh-CN"/>
        </w:rPr>
        <w:t>8</w:t>
      </w:r>
      <w:r>
        <w:rPr>
          <w:rFonts w:hint="default" w:ascii="Times New Roman" w:hAnsi="Times New Roman" w:cs="Times New Roman"/>
          <w:color w:val="auto"/>
          <w:szCs w:val="21"/>
          <w:highlight w:val="none"/>
        </w:rPr>
        <w:t>年12月31日止。</w:t>
      </w:r>
    </w:p>
    <w:p w14:paraId="59ACD964">
      <w:pPr>
        <w:spacing w:line="360" w:lineRule="auto"/>
        <w:ind w:firstLine="420" w:firstLineChars="200"/>
        <w:rPr>
          <w:rFonts w:hint="default" w:ascii="Times New Roman" w:hAnsi="Times New Roman" w:cs="Times New Roman"/>
          <w:color w:val="auto"/>
          <w:szCs w:val="21"/>
          <w:highlight w:val="none"/>
        </w:rPr>
      </w:pPr>
      <w:r>
        <w:rPr>
          <w:rFonts w:hint="eastAsia" w:ascii="Times New Roman" w:hAnsi="Times New Roman" w:cs="Times New Roman" w:eastAsiaTheme="minorEastAsia"/>
          <w:b w:val="0"/>
          <w:bCs/>
          <w:color w:val="auto"/>
          <w:sz w:val="21"/>
          <w:szCs w:val="21"/>
          <w:highlight w:val="none"/>
          <w:lang w:val="en-US" w:eastAsia="zh-CN"/>
        </w:rPr>
        <w:t>5.</w:t>
      </w:r>
      <w:r>
        <w:rPr>
          <w:rFonts w:hint="default" w:ascii="Times New Roman" w:hAnsi="Times New Roman" w:cs="Times New Roman" w:eastAsiaTheme="minorEastAsia"/>
          <w:b w:val="0"/>
          <w:bCs/>
          <w:color w:val="auto"/>
          <w:sz w:val="21"/>
          <w:szCs w:val="21"/>
          <w:highlight w:val="none"/>
        </w:rPr>
        <w:t>被保险人在保险期限内发生的</w:t>
      </w:r>
      <w:r>
        <w:rPr>
          <w:rFonts w:hint="default" w:ascii="Times New Roman" w:hAnsi="Times New Roman" w:cs="Times New Roman" w:eastAsiaTheme="minorEastAsia"/>
          <w:b w:val="0"/>
          <w:bCs/>
          <w:color w:val="auto"/>
          <w:sz w:val="21"/>
          <w:szCs w:val="21"/>
          <w:highlight w:val="none"/>
          <w:lang w:eastAsia="zh-CN"/>
        </w:rPr>
        <w:t>符合</w:t>
      </w:r>
      <w:r>
        <w:rPr>
          <w:rFonts w:hint="default" w:ascii="Times New Roman" w:hAnsi="Times New Roman" w:cs="Times New Roman" w:eastAsiaTheme="minorEastAsia"/>
          <w:b w:val="0"/>
          <w:bCs/>
          <w:color w:val="auto"/>
          <w:sz w:val="21"/>
          <w:szCs w:val="21"/>
          <w:highlight w:val="none"/>
        </w:rPr>
        <w:t>医保政策的就医费用</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在保险金额范围内住院医疗保险支付段个人自付部分按以下标准进行赔付：</w:t>
      </w:r>
    </w:p>
    <w:p w14:paraId="5988F536">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cs="Times New Roman" w:eastAsiaTheme="minorEastAsia"/>
          <w:b w:val="0"/>
          <w:bCs/>
          <w:color w:val="auto"/>
          <w:sz w:val="21"/>
          <w:szCs w:val="21"/>
          <w:highlight w:val="none"/>
          <w:u w:val="none"/>
          <w:lang w:val="en-US" w:eastAsia="zh-CN"/>
        </w:rPr>
      </w:pPr>
      <w:r>
        <w:rPr>
          <w:rFonts w:hint="eastAsia" w:ascii="Times New Roman" w:hAnsi="Times New Roman" w:cs="Times New Roman" w:eastAsiaTheme="minorEastAsia"/>
          <w:b w:val="0"/>
          <w:bCs/>
          <w:color w:val="auto"/>
          <w:kern w:val="2"/>
          <w:sz w:val="21"/>
          <w:szCs w:val="21"/>
          <w:highlight w:val="none"/>
          <w:lang w:val="en-US" w:eastAsia="zh-CN" w:bidi="ar-SA"/>
        </w:rPr>
        <w:t>（1）</w:t>
      </w:r>
      <w:r>
        <w:rPr>
          <w:rFonts w:hint="eastAsia" w:cs="Times New Roman" w:eastAsiaTheme="minorEastAsia"/>
          <w:b w:val="0"/>
          <w:bCs/>
          <w:color w:val="auto"/>
          <w:sz w:val="21"/>
          <w:szCs w:val="21"/>
          <w:highlight w:val="none"/>
          <w:u w:val="none"/>
          <w:lang w:val="en-US" w:eastAsia="zh-CN"/>
        </w:rPr>
        <w:t>起付线与先行自付规则。起付线：执行基本医疗保险起付线标准，起付线以下费用不予补助。先行自付费用：乙类、丙类药品及诊疗项目先行自付部分，纳入补助范围。</w:t>
      </w:r>
    </w:p>
    <w:p w14:paraId="2A059B06">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cs="Times New Roman" w:eastAsiaTheme="minorEastAsia"/>
          <w:b w:val="0"/>
          <w:bCs/>
          <w:color w:val="auto"/>
          <w:sz w:val="21"/>
          <w:szCs w:val="21"/>
          <w:highlight w:val="none"/>
          <w:u w:val="none"/>
          <w:lang w:val="en-US" w:eastAsia="zh-CN"/>
        </w:rPr>
      </w:pPr>
      <w:r>
        <w:rPr>
          <w:rFonts w:hint="eastAsia" w:ascii="Times New Roman" w:hAnsi="Times New Roman" w:cs="Times New Roman" w:eastAsiaTheme="minorEastAsia"/>
          <w:b w:val="0"/>
          <w:bCs/>
          <w:color w:val="auto"/>
          <w:kern w:val="2"/>
          <w:sz w:val="21"/>
          <w:szCs w:val="21"/>
          <w:highlight w:val="none"/>
          <w:lang w:val="en-US" w:eastAsia="zh-CN" w:bidi="ar-SA"/>
        </w:rPr>
        <w:t>（2）</w:t>
      </w:r>
      <w:r>
        <w:rPr>
          <w:rFonts w:hint="eastAsia" w:cs="Times New Roman" w:eastAsiaTheme="minorEastAsia"/>
          <w:b w:val="0"/>
          <w:bCs/>
          <w:color w:val="auto"/>
          <w:sz w:val="21"/>
          <w:szCs w:val="21"/>
          <w:highlight w:val="none"/>
          <w:u w:val="none"/>
          <w:lang w:val="en-US" w:eastAsia="zh-CN"/>
        </w:rPr>
        <w:t>分段补助规则。起付线以上个人自付部分按比例赔付。市内就医：按中标人承诺赔付比例</w:t>
      </w:r>
      <w:r>
        <w:rPr>
          <w:rFonts w:hint="eastAsia" w:cs="Times New Roman" w:eastAsiaTheme="minorEastAsia"/>
          <w:b w:val="0"/>
          <w:bCs/>
          <w:color w:val="auto"/>
          <w:sz w:val="21"/>
          <w:szCs w:val="21"/>
          <w:highlight w:val="none"/>
          <w:u w:val="single"/>
          <w:lang w:val="en-US" w:eastAsia="zh-CN"/>
        </w:rPr>
        <w:t xml:space="preserve">       </w:t>
      </w:r>
      <w:r>
        <w:rPr>
          <w:rFonts w:hint="eastAsia" w:cs="Times New Roman" w:eastAsiaTheme="minorEastAsia"/>
          <w:b w:val="0"/>
          <w:bCs/>
          <w:color w:val="auto"/>
          <w:sz w:val="21"/>
          <w:szCs w:val="21"/>
          <w:highlight w:val="none"/>
          <w:u w:val="none"/>
          <w:lang w:val="en-US" w:eastAsia="zh-CN"/>
        </w:rPr>
        <w:t>补助；区内异地就医：按中标人承诺赔付比例</w:t>
      </w:r>
      <w:r>
        <w:rPr>
          <w:rFonts w:hint="eastAsia" w:cs="Times New Roman" w:eastAsiaTheme="minorEastAsia"/>
          <w:b w:val="0"/>
          <w:bCs/>
          <w:color w:val="auto"/>
          <w:sz w:val="21"/>
          <w:szCs w:val="21"/>
          <w:highlight w:val="none"/>
          <w:u w:val="single"/>
          <w:lang w:val="en-US" w:eastAsia="zh-CN"/>
        </w:rPr>
        <w:t xml:space="preserve">       </w:t>
      </w:r>
      <w:r>
        <w:rPr>
          <w:rFonts w:hint="eastAsia" w:cs="Times New Roman" w:eastAsiaTheme="minorEastAsia"/>
          <w:b w:val="0"/>
          <w:bCs/>
          <w:color w:val="auto"/>
          <w:sz w:val="21"/>
          <w:szCs w:val="21"/>
          <w:highlight w:val="none"/>
          <w:u w:val="none"/>
          <w:lang w:val="en-US" w:eastAsia="zh-CN"/>
        </w:rPr>
        <w:t>补助；区外异地就医：按中标人承诺赔付比例</w:t>
      </w:r>
      <w:r>
        <w:rPr>
          <w:rFonts w:hint="eastAsia" w:cs="Times New Roman" w:eastAsiaTheme="minorEastAsia"/>
          <w:b w:val="0"/>
          <w:bCs/>
          <w:color w:val="auto"/>
          <w:sz w:val="21"/>
          <w:szCs w:val="21"/>
          <w:highlight w:val="none"/>
          <w:u w:val="single"/>
          <w:lang w:val="en-US" w:eastAsia="zh-CN"/>
        </w:rPr>
        <w:t xml:space="preserve">        </w:t>
      </w:r>
      <w:r>
        <w:rPr>
          <w:rFonts w:hint="eastAsia" w:cs="Times New Roman" w:eastAsiaTheme="minorEastAsia"/>
          <w:b w:val="0"/>
          <w:bCs/>
          <w:color w:val="auto"/>
          <w:sz w:val="21"/>
          <w:szCs w:val="21"/>
          <w:highlight w:val="none"/>
          <w:u w:val="none"/>
          <w:lang w:val="en-US" w:eastAsia="zh-CN"/>
        </w:rPr>
        <w:t>补助。</w:t>
      </w:r>
    </w:p>
    <w:p w14:paraId="1B80A428">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cs="Times New Roman" w:eastAsiaTheme="minorEastAsia"/>
          <w:b w:val="0"/>
          <w:bCs/>
          <w:color w:val="auto"/>
          <w:sz w:val="21"/>
          <w:szCs w:val="21"/>
          <w:highlight w:val="none"/>
          <w:u w:val="none"/>
          <w:lang w:val="en-US" w:eastAsia="zh-CN"/>
        </w:rPr>
      </w:pPr>
      <w:r>
        <w:rPr>
          <w:rFonts w:hint="eastAsia" w:ascii="Times New Roman" w:hAnsi="Times New Roman" w:cs="Times New Roman" w:eastAsiaTheme="minorEastAsia"/>
          <w:b w:val="0"/>
          <w:bCs/>
          <w:color w:val="auto"/>
          <w:kern w:val="2"/>
          <w:sz w:val="21"/>
          <w:szCs w:val="21"/>
          <w:highlight w:val="none"/>
          <w:lang w:val="en-US" w:eastAsia="zh-CN" w:bidi="ar-SA"/>
        </w:rPr>
        <w:t>（3）</w:t>
      </w:r>
      <w:r>
        <w:rPr>
          <w:rFonts w:hint="eastAsia" w:cs="Times New Roman" w:eastAsiaTheme="minorEastAsia"/>
          <w:b w:val="0"/>
          <w:bCs/>
          <w:color w:val="auto"/>
          <w:sz w:val="21"/>
          <w:szCs w:val="21"/>
          <w:highlight w:val="none"/>
          <w:u w:val="none"/>
          <w:lang w:val="en-US" w:eastAsia="zh-CN"/>
        </w:rPr>
        <w:t>赔付额度封顶线，赔付额度封顶线为乙方承担赔付责任的最高支付限额。本补充医疗保险每一保险人每一保险年度享受赔付额度封顶线，与总费用挂钩。年度总费用 10 万元及以下：赔付额度封顶线为 ¥10,000.00（壹万元整）；年度总费用 10 万元（含10万元）</w:t>
      </w:r>
      <w:bookmarkStart w:id="67" w:name="_GoBack"/>
      <w:bookmarkEnd w:id="67"/>
      <w:r>
        <w:rPr>
          <w:rFonts w:hint="eastAsia" w:cs="Times New Roman" w:eastAsiaTheme="minorEastAsia"/>
          <w:b w:val="0"/>
          <w:bCs/>
          <w:color w:val="auto"/>
          <w:sz w:val="21"/>
          <w:szCs w:val="21"/>
          <w:highlight w:val="none"/>
          <w:u w:val="none"/>
          <w:lang w:val="en-US" w:eastAsia="zh-CN"/>
        </w:rPr>
        <w:t>以上：赔付额度封顶线为 ¥12,000.00（壹万贰仟元整）。</w:t>
      </w:r>
    </w:p>
    <w:p w14:paraId="0F465368">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ascii="Times New Roman" w:hAnsi="Times New Roman" w:cs="Times New Roman" w:eastAsiaTheme="minorEastAsia"/>
          <w:b w:val="0"/>
          <w:bCs/>
          <w:color w:val="auto"/>
          <w:sz w:val="21"/>
          <w:szCs w:val="21"/>
          <w:highlight w:val="none"/>
          <w:lang w:eastAsia="zh-CN"/>
        </w:rPr>
      </w:pPr>
      <w:r>
        <w:rPr>
          <w:rFonts w:hint="eastAsia" w:ascii="Times New Roman" w:hAnsi="Times New Roman" w:cs="Times New Roman" w:eastAsiaTheme="minorEastAsia"/>
          <w:b w:val="0"/>
          <w:bCs/>
          <w:color w:val="auto"/>
          <w:kern w:val="2"/>
          <w:sz w:val="21"/>
          <w:szCs w:val="21"/>
          <w:highlight w:val="none"/>
          <w:lang w:val="en-US" w:eastAsia="zh-CN" w:bidi="ar-SA"/>
        </w:rPr>
        <w:t>（4）</w:t>
      </w:r>
      <w:r>
        <w:rPr>
          <w:rFonts w:hint="default" w:ascii="Times New Roman" w:hAnsi="Times New Roman" w:cs="Times New Roman" w:eastAsiaTheme="minorEastAsia"/>
          <w:b w:val="0"/>
          <w:bCs/>
          <w:color w:val="auto"/>
          <w:sz w:val="21"/>
          <w:szCs w:val="21"/>
          <w:highlight w:val="none"/>
        </w:rPr>
        <w:t>跨年度处理</w:t>
      </w:r>
      <w:r>
        <w:rPr>
          <w:rFonts w:hint="eastAsia"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lang w:val="en-US" w:eastAsia="zh-CN"/>
        </w:rPr>
        <w:t>被保险</w:t>
      </w:r>
      <w:r>
        <w:rPr>
          <w:rFonts w:hint="default" w:ascii="Times New Roman" w:hAnsi="Times New Roman" w:cs="Times New Roman" w:eastAsiaTheme="minorEastAsia"/>
          <w:b w:val="0"/>
          <w:bCs/>
          <w:color w:val="auto"/>
          <w:sz w:val="21"/>
          <w:szCs w:val="21"/>
          <w:highlight w:val="none"/>
        </w:rPr>
        <w:t>人跨年度连续住院，住院医疗费用按实际发生时间计入前后两个保险年度，下一保险年度医疗费用列入下一保险年度报销范围</w:t>
      </w:r>
      <w:r>
        <w:rPr>
          <w:rFonts w:hint="default" w:ascii="Times New Roman" w:hAnsi="Times New Roman" w:cs="Times New Roman" w:eastAsiaTheme="minorEastAsia"/>
          <w:b w:val="0"/>
          <w:bCs/>
          <w:color w:val="auto"/>
          <w:sz w:val="21"/>
          <w:szCs w:val="21"/>
          <w:highlight w:val="none"/>
          <w:lang w:eastAsia="zh-CN"/>
        </w:rPr>
        <w:t>，但只能在前</w:t>
      </w:r>
      <w:r>
        <w:rPr>
          <w:rFonts w:hint="default" w:ascii="Times New Roman" w:hAnsi="Times New Roman" w:cs="Times New Roman" w:eastAsiaTheme="minorEastAsia"/>
          <w:b w:val="0"/>
          <w:bCs/>
          <w:color w:val="auto"/>
          <w:sz w:val="21"/>
          <w:szCs w:val="21"/>
          <w:highlight w:val="none"/>
        </w:rPr>
        <w:t>保险</w:t>
      </w:r>
      <w:r>
        <w:rPr>
          <w:rFonts w:hint="default" w:ascii="Times New Roman" w:hAnsi="Times New Roman" w:cs="Times New Roman" w:eastAsiaTheme="minorEastAsia"/>
          <w:b w:val="0"/>
          <w:bCs/>
          <w:color w:val="auto"/>
          <w:sz w:val="21"/>
          <w:szCs w:val="21"/>
          <w:highlight w:val="none"/>
          <w:lang w:eastAsia="zh-CN"/>
        </w:rPr>
        <w:t>年度计算扣减一次住院起付线，后一</w:t>
      </w:r>
      <w:r>
        <w:rPr>
          <w:rFonts w:hint="default" w:ascii="Times New Roman" w:hAnsi="Times New Roman" w:cs="Times New Roman" w:eastAsiaTheme="minorEastAsia"/>
          <w:b w:val="0"/>
          <w:bCs/>
          <w:color w:val="auto"/>
          <w:sz w:val="21"/>
          <w:szCs w:val="21"/>
          <w:highlight w:val="none"/>
        </w:rPr>
        <w:t>保险</w:t>
      </w:r>
      <w:r>
        <w:rPr>
          <w:rFonts w:hint="default" w:ascii="Times New Roman" w:hAnsi="Times New Roman" w:cs="Times New Roman" w:eastAsiaTheme="minorEastAsia"/>
          <w:b w:val="0"/>
          <w:bCs/>
          <w:color w:val="auto"/>
          <w:sz w:val="21"/>
          <w:szCs w:val="21"/>
          <w:highlight w:val="none"/>
          <w:lang w:eastAsia="zh-CN"/>
        </w:rPr>
        <w:t>年度不能重复计算。</w:t>
      </w:r>
    </w:p>
    <w:p w14:paraId="0AA8231A">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Times New Roman" w:hAnsi="Times New Roman" w:cs="Times New Roman" w:eastAsiaTheme="minorEastAsia"/>
          <w:b w:val="0"/>
          <w:bCs/>
          <w:color w:val="auto"/>
          <w:sz w:val="21"/>
          <w:szCs w:val="21"/>
          <w:highlight w:val="none"/>
          <w:lang w:eastAsia="zh-CN"/>
        </w:rPr>
      </w:pPr>
      <w:r>
        <w:rPr>
          <w:rFonts w:hint="eastAsia" w:ascii="Times New Roman" w:hAnsi="Times New Roman" w:cs="Times New Roman" w:eastAsiaTheme="minorEastAsia"/>
          <w:b w:val="0"/>
          <w:bCs/>
          <w:color w:val="auto"/>
          <w:kern w:val="2"/>
          <w:sz w:val="21"/>
          <w:szCs w:val="21"/>
          <w:highlight w:val="none"/>
          <w:lang w:val="en-US" w:eastAsia="zh-CN" w:bidi="ar-SA"/>
        </w:rPr>
        <w:t>（5）</w:t>
      </w:r>
      <w:r>
        <w:rPr>
          <w:rFonts w:hint="eastAsia" w:ascii="Times New Roman" w:hAnsi="Times New Roman" w:cs="Times New Roman" w:eastAsiaTheme="minorEastAsia"/>
          <w:b w:val="0"/>
          <w:bCs/>
          <w:color w:val="auto"/>
          <w:sz w:val="21"/>
          <w:szCs w:val="21"/>
          <w:highlight w:val="none"/>
        </w:rPr>
        <w:t>被保险人在202</w:t>
      </w:r>
      <w:r>
        <w:rPr>
          <w:rFonts w:hint="eastAsia" w:ascii="Times New Roman" w:hAnsi="Times New Roman" w:cs="Times New Roman" w:eastAsiaTheme="minorEastAsia"/>
          <w:b w:val="0"/>
          <w:bCs/>
          <w:color w:val="auto"/>
          <w:sz w:val="21"/>
          <w:szCs w:val="21"/>
          <w:highlight w:val="none"/>
          <w:lang w:val="en-US" w:eastAsia="zh-CN"/>
        </w:rPr>
        <w:t>6</w:t>
      </w:r>
      <w:r>
        <w:rPr>
          <w:rFonts w:hint="eastAsia" w:ascii="Times New Roman" w:hAnsi="Times New Roman" w:cs="Times New Roman" w:eastAsiaTheme="minorEastAsia"/>
          <w:b w:val="0"/>
          <w:bCs/>
          <w:color w:val="auto"/>
          <w:sz w:val="21"/>
          <w:szCs w:val="21"/>
          <w:highlight w:val="none"/>
        </w:rPr>
        <w:t>年</w:t>
      </w:r>
      <w:r>
        <w:rPr>
          <w:rFonts w:hint="eastAsia" w:cs="Times New Roman" w:eastAsiaTheme="minorEastAsia"/>
          <w:b w:val="0"/>
          <w:bCs/>
          <w:color w:val="auto"/>
          <w:sz w:val="21"/>
          <w:szCs w:val="21"/>
          <w:highlight w:val="none"/>
          <w:lang w:val="en-US" w:eastAsia="zh-CN"/>
        </w:rPr>
        <w:t>1月份</w:t>
      </w:r>
      <w:r>
        <w:rPr>
          <w:rFonts w:hint="eastAsia" w:ascii="Times New Roman" w:hAnsi="Times New Roman" w:cs="Times New Roman" w:eastAsiaTheme="minorEastAsia"/>
          <w:b w:val="0"/>
          <w:bCs/>
          <w:color w:val="auto"/>
          <w:sz w:val="21"/>
          <w:szCs w:val="21"/>
          <w:highlight w:val="none"/>
        </w:rPr>
        <w:t>产生的医疗费用</w:t>
      </w:r>
      <w:r>
        <w:rPr>
          <w:rFonts w:hint="eastAsia" w:cs="Times New Roman" w:eastAsiaTheme="minorEastAsia"/>
          <w:b w:val="0"/>
          <w:bCs/>
          <w:color w:val="auto"/>
          <w:sz w:val="21"/>
          <w:szCs w:val="21"/>
          <w:highlight w:val="none"/>
          <w:lang w:eastAsia="zh-CN"/>
        </w:rPr>
        <w:t>由原</w:t>
      </w:r>
      <w:r>
        <w:rPr>
          <w:rFonts w:hint="eastAsia" w:cs="Times New Roman" w:eastAsiaTheme="minorEastAsia"/>
          <w:b w:val="0"/>
          <w:bCs/>
          <w:color w:val="auto"/>
          <w:sz w:val="21"/>
          <w:szCs w:val="21"/>
          <w:highlight w:val="none"/>
          <w:lang w:val="en-US" w:eastAsia="zh-CN"/>
        </w:rPr>
        <w:t>2025年度承保公司延续办理，其年度享受赔付额度并入2026年合并计算</w:t>
      </w:r>
      <w:r>
        <w:rPr>
          <w:rFonts w:hint="eastAsia" w:ascii="Times New Roman" w:hAnsi="Times New Roman" w:cs="Times New Roman" w:eastAsiaTheme="minorEastAsia"/>
          <w:b w:val="0"/>
          <w:bCs/>
          <w:color w:val="auto"/>
          <w:sz w:val="21"/>
          <w:szCs w:val="21"/>
          <w:highlight w:val="none"/>
          <w:lang w:eastAsia="zh-CN"/>
        </w:rPr>
        <w:t>。</w:t>
      </w:r>
    </w:p>
    <w:p w14:paraId="28EC51A2">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cs="Times New Roman" w:eastAsiaTheme="minorEastAsia"/>
          <w:b w:val="0"/>
          <w:bCs/>
          <w:sz w:val="21"/>
          <w:szCs w:val="21"/>
          <w:highlight w:val="none"/>
          <w:lang w:eastAsia="zh-CN"/>
        </w:rPr>
      </w:pPr>
      <w:r>
        <w:rPr>
          <w:rFonts w:hint="eastAsia" w:ascii="Times New Roman" w:hAnsi="Times New Roman" w:cs="Times New Roman" w:eastAsiaTheme="minorEastAsia"/>
          <w:b w:val="0"/>
          <w:bCs/>
          <w:color w:val="auto"/>
          <w:kern w:val="2"/>
          <w:sz w:val="21"/>
          <w:szCs w:val="21"/>
          <w:highlight w:val="none"/>
          <w:lang w:val="en-US" w:eastAsia="zh-CN" w:bidi="ar-SA"/>
        </w:rPr>
        <w:t>（6）</w:t>
      </w:r>
      <w:r>
        <w:rPr>
          <w:rFonts w:hint="default" w:ascii="Times New Roman" w:hAnsi="Times New Roman" w:cs="Times New Roman" w:eastAsiaTheme="minorEastAsia"/>
          <w:b w:val="0"/>
          <w:bCs/>
          <w:color w:val="auto"/>
          <w:sz w:val="21"/>
          <w:szCs w:val="21"/>
          <w:highlight w:val="none"/>
        </w:rPr>
        <w:t>赔付时间</w:t>
      </w:r>
      <w:r>
        <w:rPr>
          <w:rFonts w:hint="eastAsia"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承保公司自决定受理</w:t>
      </w:r>
      <w:r>
        <w:rPr>
          <w:rFonts w:hint="default" w:ascii="Times New Roman" w:hAnsi="Times New Roman" w:cs="Times New Roman" w:eastAsiaTheme="minorEastAsia"/>
          <w:b w:val="0"/>
          <w:bCs/>
          <w:color w:val="auto"/>
          <w:sz w:val="21"/>
          <w:szCs w:val="21"/>
          <w:highlight w:val="none"/>
          <w:lang w:val="en-US" w:eastAsia="zh-CN"/>
        </w:rPr>
        <w:t>被保险</w:t>
      </w:r>
      <w:r>
        <w:rPr>
          <w:rFonts w:hint="default" w:ascii="Times New Roman" w:hAnsi="Times New Roman" w:cs="Times New Roman" w:eastAsiaTheme="minorEastAsia"/>
          <w:b w:val="0"/>
          <w:bCs/>
          <w:color w:val="auto"/>
          <w:sz w:val="21"/>
          <w:szCs w:val="21"/>
          <w:highlight w:val="none"/>
        </w:rPr>
        <w:t>人提交有关资料之日起，在10个工作日内完成赔付。</w:t>
      </w:r>
      <w:r>
        <w:rPr>
          <w:rFonts w:hint="eastAsia" w:cs="Times New Roman" w:eastAsiaTheme="minorEastAsia"/>
          <w:b w:val="0"/>
          <w:bCs/>
          <w:color w:val="auto"/>
          <w:sz w:val="21"/>
          <w:szCs w:val="21"/>
          <w:highlight w:val="none"/>
          <w:u w:val="none"/>
          <w:lang w:val="en-US" w:eastAsia="zh-CN"/>
        </w:rPr>
        <w:t>本补充医疗保险赔付有效期为 3 年。</w:t>
      </w:r>
    </w:p>
    <w:p w14:paraId="5D8B8B4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jc w:val="left"/>
        <w:textAlignment w:val="auto"/>
        <w:rPr>
          <w:rFonts w:hint="eastAsia" w:cs="Times New Roman" w:eastAsiaTheme="minorEastAsia"/>
          <w:b w:val="0"/>
          <w:bCs/>
          <w:color w:val="auto"/>
          <w:sz w:val="21"/>
          <w:szCs w:val="21"/>
          <w:highlight w:val="none"/>
          <w:u w:val="none"/>
          <w:lang w:val="en-US" w:eastAsia="zh-CN"/>
        </w:rPr>
      </w:pPr>
      <w:r>
        <w:rPr>
          <w:rFonts w:hint="eastAsia" w:ascii="Times New Roman" w:hAnsi="Times New Roman" w:cs="Times New Roman" w:eastAsiaTheme="minorEastAsia"/>
          <w:b w:val="0"/>
          <w:bCs/>
          <w:color w:val="auto"/>
          <w:kern w:val="2"/>
          <w:sz w:val="21"/>
          <w:szCs w:val="21"/>
          <w:highlight w:val="none"/>
          <w:lang w:val="en-US" w:eastAsia="zh-CN" w:bidi="ar-SA"/>
        </w:rPr>
        <w:t>（</w:t>
      </w:r>
      <w:r>
        <w:rPr>
          <w:rFonts w:hint="eastAsia" w:cs="Times New Roman" w:eastAsiaTheme="minorEastAsia"/>
          <w:b w:val="0"/>
          <w:bCs/>
          <w:color w:val="auto"/>
          <w:kern w:val="2"/>
          <w:sz w:val="21"/>
          <w:szCs w:val="21"/>
          <w:highlight w:val="none"/>
          <w:lang w:val="en-US" w:eastAsia="zh-CN" w:bidi="ar-SA"/>
        </w:rPr>
        <w:t>7</w:t>
      </w:r>
      <w:r>
        <w:rPr>
          <w:rFonts w:hint="eastAsia" w:ascii="Times New Roman" w:hAnsi="Times New Roman" w:cs="Times New Roman" w:eastAsiaTheme="minorEastAsia"/>
          <w:b w:val="0"/>
          <w:bCs/>
          <w:color w:val="auto"/>
          <w:kern w:val="2"/>
          <w:sz w:val="21"/>
          <w:szCs w:val="21"/>
          <w:highlight w:val="none"/>
          <w:lang w:val="en-US" w:eastAsia="zh-CN" w:bidi="ar-SA"/>
        </w:rPr>
        <w:t>）</w:t>
      </w:r>
      <w:r>
        <w:rPr>
          <w:rFonts w:hint="eastAsia" w:cs="Times New Roman" w:eastAsiaTheme="minorEastAsia"/>
          <w:b w:val="0"/>
          <w:bCs/>
          <w:color w:val="auto"/>
          <w:sz w:val="21"/>
          <w:szCs w:val="21"/>
          <w:highlight w:val="none"/>
          <w:u w:val="none"/>
          <w:lang w:val="en-US" w:eastAsia="zh-CN"/>
        </w:rPr>
        <w:t xml:space="preserve">服务要求。保险公司须派驻不少于 2 名 专项服务人员至采购人办公场所联合办公。办公地点为蒙山县县城，与基本医保部门共同履行公务员补充医疗保险（医疗补助）各项职能，为参保人提供一站式服务。专项服务人员全程参与并管理政策咨询、保费征收、费用审核、医疗巡查、理赔接待、档案整理等所有环节。服务期限：2026-2028 年度蒙山县公务员补充医疗保险（医疗补助）。 </w:t>
      </w:r>
    </w:p>
    <w:p w14:paraId="5D454DFF">
      <w:pPr>
        <w:spacing w:line="360" w:lineRule="auto"/>
        <w:ind w:firstLine="420" w:firstLineChars="200"/>
        <w:rPr>
          <w:rFonts w:hint="default" w:ascii="Times New Roman" w:hAnsi="Times New Roman" w:cs="Times New Roman"/>
          <w:color w:val="auto"/>
          <w:szCs w:val="21"/>
          <w:highlight w:val="none"/>
        </w:rPr>
      </w:pPr>
      <w:r>
        <w:rPr>
          <w:rFonts w:hint="eastAsia" w:cs="Times New Roman"/>
          <w:color w:val="auto"/>
          <w:szCs w:val="21"/>
          <w:highlight w:val="none"/>
          <w:lang w:val="en-US" w:eastAsia="zh-CN"/>
        </w:rPr>
        <w:t>6</w:t>
      </w:r>
      <w:r>
        <w:rPr>
          <w:rFonts w:hint="default" w:ascii="Times New Roman" w:hAnsi="Times New Roman" w:cs="Times New Roman"/>
          <w:color w:val="auto"/>
          <w:szCs w:val="21"/>
          <w:highlight w:val="none"/>
        </w:rPr>
        <w:t>.20</w:t>
      </w:r>
      <w:r>
        <w:rPr>
          <w:rFonts w:hint="default" w:ascii="Times New Roman" w:hAnsi="Times New Roman" w:cs="Times New Roman"/>
          <w:color w:val="auto"/>
          <w:szCs w:val="21"/>
          <w:highlight w:val="none"/>
          <w:lang w:val="en-US" w:eastAsia="zh-CN"/>
        </w:rPr>
        <w:t>2</w:t>
      </w:r>
      <w:r>
        <w:rPr>
          <w:rFonts w:hint="eastAsia" w:cs="Times New Roman"/>
          <w:color w:val="auto"/>
          <w:szCs w:val="21"/>
          <w:highlight w:val="none"/>
          <w:lang w:val="en-US" w:eastAsia="zh-CN"/>
        </w:rPr>
        <w:t>6</w:t>
      </w:r>
      <w:r>
        <w:rPr>
          <w:rFonts w:hint="default" w:ascii="Times New Roman" w:hAnsi="Times New Roman" w:cs="Times New Roman"/>
          <w:color w:val="auto"/>
          <w:szCs w:val="21"/>
          <w:highlight w:val="none"/>
        </w:rPr>
        <w:t>年</w:t>
      </w:r>
      <w:r>
        <w:rPr>
          <w:rFonts w:hint="eastAsia" w:cs="Times New Roman"/>
          <w:color w:val="auto"/>
          <w:szCs w:val="21"/>
          <w:highlight w:val="none"/>
          <w:lang w:val="en-US" w:eastAsia="zh-CN"/>
        </w:rPr>
        <w:t>1月、2月</w:t>
      </w:r>
      <w:r>
        <w:rPr>
          <w:rFonts w:hint="default" w:ascii="Times New Roman" w:hAnsi="Times New Roman" w:cs="Times New Roman"/>
          <w:color w:val="auto"/>
          <w:szCs w:val="21"/>
          <w:highlight w:val="none"/>
        </w:rPr>
        <w:t>跨</w:t>
      </w:r>
      <w:r>
        <w:rPr>
          <w:rFonts w:hint="eastAsia" w:cs="Times New Roman"/>
          <w:color w:val="auto"/>
          <w:szCs w:val="21"/>
          <w:highlight w:val="none"/>
          <w:lang w:val="en-US" w:eastAsia="zh-CN"/>
        </w:rPr>
        <w:t>月</w:t>
      </w:r>
      <w:r>
        <w:rPr>
          <w:rFonts w:hint="default" w:ascii="Times New Roman" w:hAnsi="Times New Roman" w:cs="Times New Roman"/>
          <w:color w:val="auto"/>
          <w:szCs w:val="21"/>
          <w:highlight w:val="none"/>
        </w:rPr>
        <w:t>住院的被保险人在202</w:t>
      </w:r>
      <w:r>
        <w:rPr>
          <w:rFonts w:hint="default" w:ascii="Times New Roman" w:hAnsi="Times New Roman" w:cs="Times New Roman"/>
          <w:color w:val="auto"/>
          <w:szCs w:val="21"/>
          <w:highlight w:val="none"/>
          <w:lang w:val="en-US" w:eastAsia="zh-CN"/>
        </w:rPr>
        <w:t>6</w:t>
      </w:r>
      <w:r>
        <w:rPr>
          <w:rFonts w:hint="default" w:ascii="Times New Roman" w:hAnsi="Times New Roman" w:cs="Times New Roman"/>
          <w:color w:val="auto"/>
          <w:szCs w:val="21"/>
          <w:highlight w:val="none"/>
        </w:rPr>
        <w:t>年产生的医疗费用的补充医疗保险赔付责任由</w:t>
      </w:r>
      <w:r>
        <w:rPr>
          <w:rFonts w:hint="eastAsia" w:cs="Times New Roman"/>
          <w:color w:val="auto"/>
          <w:szCs w:val="21"/>
          <w:highlight w:val="none"/>
          <w:lang w:val="en-US" w:eastAsia="zh-CN"/>
        </w:rPr>
        <w:t>对应</w:t>
      </w:r>
      <w:r>
        <w:rPr>
          <w:rFonts w:hint="default" w:ascii="Times New Roman" w:hAnsi="Times New Roman" w:cs="Times New Roman"/>
          <w:color w:val="auto"/>
          <w:szCs w:val="21"/>
        </w:rPr>
        <w:t>承保公司承担并提供相应的服务</w:t>
      </w:r>
      <w:r>
        <w:rPr>
          <w:rFonts w:hint="default" w:ascii="Times New Roman" w:hAnsi="Times New Roman" w:cs="Times New Roman"/>
          <w:color w:val="auto"/>
          <w:szCs w:val="21"/>
          <w:highlight w:val="none"/>
        </w:rPr>
        <w:t>。</w:t>
      </w:r>
    </w:p>
    <w:p w14:paraId="2E5D9073">
      <w:pPr>
        <w:spacing w:line="360" w:lineRule="auto"/>
        <w:ind w:firstLine="482" w:firstLineChars="20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三、投保费用</w:t>
      </w:r>
    </w:p>
    <w:p w14:paraId="691A3A88">
      <w:pPr>
        <w:spacing w:line="360" w:lineRule="auto"/>
        <w:ind w:firstLine="420" w:firstLineChars="200"/>
        <w:rPr>
          <w:rFonts w:hint="default" w:ascii="Times New Roman" w:hAnsi="Times New Roman" w:cs="Times New Roman"/>
          <w:color w:val="auto"/>
          <w:szCs w:val="21"/>
          <w:highlight w:val="none"/>
        </w:rPr>
      </w:pPr>
      <w:r>
        <w:rPr>
          <w:rFonts w:hint="eastAsia" w:cs="Times New Roman"/>
          <w:color w:val="auto"/>
          <w:szCs w:val="21"/>
          <w:highlight w:val="none"/>
          <w:lang w:val="en-US" w:eastAsia="zh-CN"/>
        </w:rPr>
        <w:t>7</w:t>
      </w:r>
      <w:r>
        <w:rPr>
          <w:rFonts w:hint="default" w:ascii="Times New Roman" w:hAnsi="Times New Roman" w:cs="Times New Roman"/>
          <w:color w:val="auto"/>
          <w:szCs w:val="21"/>
          <w:highlight w:val="none"/>
        </w:rPr>
        <w:t>.投保费用标准为每人每年度壹佰捌拾元整(</w:t>
      </w:r>
      <w:r>
        <w:rPr>
          <w:rFonts w:hint="default" w:ascii="Times New Roman" w:hAnsi="Times New Roman" w:cs="Times New Roman"/>
          <w:color w:val="auto"/>
          <w:szCs w:val="21"/>
          <w:highlight w:val="none"/>
          <w:lang w:val="en-US" w:eastAsia="zh-CN"/>
        </w:rPr>
        <w:t>¥</w:t>
      </w:r>
      <w:r>
        <w:rPr>
          <w:rFonts w:hint="default" w:ascii="Times New Roman" w:hAnsi="Times New Roman" w:cs="Times New Roman"/>
          <w:color w:val="auto"/>
          <w:szCs w:val="21"/>
          <w:highlight w:val="none"/>
        </w:rPr>
        <w:t>180.00) ，每一年度的投保费用根据当年度参保人数及每一被保险人保险费计算。</w:t>
      </w:r>
    </w:p>
    <w:p w14:paraId="3673B3A2">
      <w:pPr>
        <w:spacing w:line="360" w:lineRule="auto"/>
        <w:ind w:firstLine="420" w:firstLineChars="200"/>
        <w:rPr>
          <w:rFonts w:hint="default" w:ascii="Times New Roman" w:hAnsi="Times New Roman" w:cs="Times New Roman"/>
          <w:color w:val="auto"/>
          <w:szCs w:val="21"/>
          <w:highlight w:val="none"/>
        </w:rPr>
      </w:pPr>
      <w:r>
        <w:rPr>
          <w:rFonts w:hint="eastAsia" w:cs="Times New Roman"/>
          <w:color w:val="auto"/>
          <w:szCs w:val="21"/>
          <w:highlight w:val="none"/>
          <w:lang w:val="en-US" w:eastAsia="zh-CN"/>
        </w:rPr>
        <w:t>8</w:t>
      </w:r>
      <w:r>
        <w:rPr>
          <w:rFonts w:hint="default" w:ascii="Times New Roman" w:hAnsi="Times New Roman" w:cs="Times New Roman"/>
          <w:color w:val="auto"/>
          <w:szCs w:val="21"/>
          <w:highlight w:val="none"/>
        </w:rPr>
        <w:t>.每一年度投保费用由甲方向</w:t>
      </w:r>
      <w:r>
        <w:rPr>
          <w:rFonts w:hint="default" w:ascii="Times New Roman" w:hAnsi="Times New Roman" w:cs="Times New Roman"/>
          <w:b w:val="0"/>
          <w:bCs w:val="0"/>
          <w:color w:val="auto"/>
          <w:szCs w:val="21"/>
          <w:highlight w:val="none"/>
        </w:rPr>
        <w:t>财政部</w:t>
      </w:r>
      <w:r>
        <w:rPr>
          <w:rFonts w:hint="eastAsia" w:cs="Times New Roman"/>
          <w:b w:val="0"/>
          <w:bCs w:val="0"/>
          <w:color w:val="auto"/>
          <w:szCs w:val="21"/>
          <w:highlight w:val="none"/>
          <w:lang w:val="en-US" w:eastAsia="zh-CN"/>
        </w:rPr>
        <w:t>门</w:t>
      </w:r>
      <w:r>
        <w:rPr>
          <w:rFonts w:hint="default" w:ascii="Times New Roman" w:hAnsi="Times New Roman" w:cs="Times New Roman"/>
          <w:color w:val="auto"/>
          <w:szCs w:val="21"/>
          <w:highlight w:val="none"/>
        </w:rPr>
        <w:t>申请，当年分两次拨付给乙方。</w:t>
      </w:r>
    </w:p>
    <w:p w14:paraId="60392809">
      <w:pPr>
        <w:spacing w:line="360" w:lineRule="auto"/>
        <w:ind w:firstLine="482" w:firstLineChars="200"/>
        <w:jc w:val="center"/>
        <w:rPr>
          <w:rFonts w:hint="default" w:ascii="Times New Roman" w:hAnsi="Times New Roman" w:cs="Times New Roman"/>
          <w:color w:val="auto"/>
          <w:szCs w:val="21"/>
          <w:highlight w:val="none"/>
        </w:rPr>
      </w:pPr>
      <w:r>
        <w:rPr>
          <w:rFonts w:hint="default" w:ascii="Times New Roman" w:hAnsi="Times New Roman" w:cs="Times New Roman"/>
          <w:b/>
          <w:bCs/>
          <w:color w:val="auto"/>
          <w:sz w:val="24"/>
          <w:szCs w:val="24"/>
          <w:highlight w:val="none"/>
        </w:rPr>
        <w:t>四、理赔处理</w:t>
      </w:r>
    </w:p>
    <w:p w14:paraId="7DE5F1F8">
      <w:pPr>
        <w:spacing w:line="360" w:lineRule="auto"/>
        <w:ind w:firstLine="420" w:firstLineChars="200"/>
        <w:rPr>
          <w:rFonts w:hint="default" w:ascii="Times New Roman" w:hAnsi="Times New Roman" w:cs="Times New Roman"/>
          <w:color w:val="auto"/>
          <w:szCs w:val="21"/>
          <w:highlight w:val="none"/>
        </w:rPr>
      </w:pPr>
      <w:r>
        <w:rPr>
          <w:rFonts w:hint="eastAsia" w:cs="Times New Roman"/>
          <w:color w:val="auto"/>
          <w:szCs w:val="21"/>
          <w:highlight w:val="none"/>
          <w:lang w:val="en-US" w:eastAsia="zh-CN"/>
        </w:rPr>
        <w:t>9</w:t>
      </w:r>
      <w:r>
        <w:rPr>
          <w:rFonts w:hint="default" w:ascii="Times New Roman" w:hAnsi="Times New Roman" w:cs="Times New Roman"/>
          <w:color w:val="auto"/>
          <w:szCs w:val="21"/>
          <w:highlight w:val="none"/>
        </w:rPr>
        <w:t>.被保险人发生的医疗费用中属于基本医疗保险支付范围，需要被保险人个人自付的部分，先由本 人与医疗机构结清，然后再凭乙方所需的各类索赔材料及证明直接向乙方提出索赔申请，乙方将按照本合同第5条规定向该被保险人支付补充医疗保险金。</w:t>
      </w:r>
    </w:p>
    <w:p w14:paraId="58380797">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eastAsia" w:cs="Times New Roman"/>
          <w:color w:val="auto"/>
          <w:szCs w:val="21"/>
          <w:highlight w:val="none"/>
          <w:lang w:val="en-US" w:eastAsia="zh-CN"/>
        </w:rPr>
        <w:t>0</w:t>
      </w:r>
      <w:r>
        <w:rPr>
          <w:rFonts w:hint="default" w:ascii="Times New Roman" w:hAnsi="Times New Roman" w:cs="Times New Roman"/>
          <w:color w:val="auto"/>
          <w:szCs w:val="21"/>
          <w:highlight w:val="none"/>
        </w:rPr>
        <w:t>.被保险人向乙方申请给付保险金时，应填写保险金给付申请书，并提交以下材料。被保险人因特殊原因不能提供</w:t>
      </w:r>
      <w:r>
        <w:rPr>
          <w:rFonts w:hint="eastAsia" w:cs="Times New Roman"/>
          <w:color w:val="auto"/>
          <w:szCs w:val="21"/>
          <w:highlight w:val="none"/>
          <w:lang w:eastAsia="zh-CN"/>
        </w:rPr>
        <w:t>以下</w:t>
      </w:r>
      <w:r>
        <w:rPr>
          <w:rFonts w:hint="default" w:ascii="Times New Roman" w:hAnsi="Times New Roman" w:cs="Times New Roman"/>
          <w:color w:val="auto"/>
          <w:szCs w:val="21"/>
          <w:highlight w:val="none"/>
        </w:rPr>
        <w:t>材料的，应提供其他合法有效的材料。若被保险人委托他人申请的，还应提供授权委托书原件、委托人和受托人的身份证明和资料不完整的，应当及时一次性通知被保险人补充提供。被保险人未能提供有关材料，导致乙方无法核实该申请的真实性的，乙方对无法核实部分不承担给付保险金的责任。</w:t>
      </w:r>
    </w:p>
    <w:p w14:paraId="012FBDEB">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 保险金给付申请书；</w:t>
      </w:r>
    </w:p>
    <w:p w14:paraId="13D5E896">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 被保险人户籍证明或者身份证明；</w:t>
      </w:r>
    </w:p>
    <w:p w14:paraId="059398A6">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 乙方认可的医疗机构出具的诊断书、病历及医疗费用原始数据；</w:t>
      </w:r>
    </w:p>
    <w:p w14:paraId="313715FB">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 基本医疗保险统筹基金管理部门报销凭据；</w:t>
      </w:r>
    </w:p>
    <w:p w14:paraId="042C8BED">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 乙方所需的其他与本项索赔相关的证明和资料。</w:t>
      </w:r>
    </w:p>
    <w:p w14:paraId="3B3EB8A5">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eastAsia" w:cs="Times New Roman"/>
          <w:color w:val="auto"/>
          <w:szCs w:val="21"/>
          <w:highlight w:val="none"/>
          <w:lang w:val="en-US" w:eastAsia="zh-CN"/>
        </w:rPr>
        <w:t>1</w:t>
      </w:r>
      <w:r>
        <w:rPr>
          <w:rFonts w:hint="default" w:ascii="Times New Roman" w:hAnsi="Times New Roman" w:cs="Times New Roman"/>
          <w:color w:val="auto"/>
          <w:szCs w:val="21"/>
          <w:highlight w:val="none"/>
        </w:rPr>
        <w:t>.若被保险人已通过任何第三方获得部分保险费用的补偿，无法提供医疗费用原始凭据时，需提供 已注明给付比例和金额的医疗费用凭证复印件，并在其上加盖支付费用单位的印章，乙方对剩下部分的医疗费用，按照本合同约定承担赔偿责任。</w:t>
      </w:r>
    </w:p>
    <w:p w14:paraId="097F2F6A">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eastAsia" w:cs="Times New Roman"/>
          <w:color w:val="auto"/>
          <w:szCs w:val="21"/>
          <w:highlight w:val="none"/>
          <w:lang w:val="en-US" w:eastAsia="zh-CN"/>
        </w:rPr>
        <w:t>2</w:t>
      </w:r>
      <w:r>
        <w:rPr>
          <w:rFonts w:hint="default" w:ascii="Times New Roman" w:hAnsi="Times New Roman" w:cs="Times New Roman"/>
          <w:color w:val="auto"/>
          <w:szCs w:val="21"/>
          <w:highlight w:val="none"/>
        </w:rPr>
        <w:t>.乙方有权对被保险人的住院病历、医疗处方、诊疗报告、费用明细及其他与医疗费用有关的一切原始资料以及社会统筹医疗基金支付范围内的医疗费用凭证进行核查。被保险人及甲方应积极配合，提供相关的资料。甲方需协助乙方协调各定点医疗机构的关系，完成补充医疗保险的核查工作。</w:t>
      </w:r>
    </w:p>
    <w:p w14:paraId="0AD25CD5">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eastAsia" w:cs="Times New Roman"/>
          <w:color w:val="auto"/>
          <w:szCs w:val="21"/>
          <w:highlight w:val="none"/>
          <w:lang w:val="en-US" w:eastAsia="zh-CN"/>
        </w:rPr>
        <w:t>3</w:t>
      </w:r>
      <w:r>
        <w:rPr>
          <w:rFonts w:hint="default" w:ascii="Times New Roman" w:hAnsi="Times New Roman" w:cs="Times New Roman"/>
          <w:color w:val="auto"/>
          <w:szCs w:val="21"/>
          <w:highlight w:val="none"/>
        </w:rPr>
        <w:t xml:space="preserve">.乙方自决定受理被保险人提交有关资料之日起，应在10个工作日内完成赔付。      </w:t>
      </w:r>
    </w:p>
    <w:p w14:paraId="275E896A">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eastAsia" w:cs="Times New Roman"/>
          <w:color w:val="auto"/>
          <w:szCs w:val="21"/>
          <w:highlight w:val="none"/>
          <w:lang w:val="en-US" w:eastAsia="zh-CN"/>
        </w:rPr>
        <w:t>4</w:t>
      </w:r>
      <w:r>
        <w:rPr>
          <w:rFonts w:hint="default" w:ascii="Times New Roman" w:hAnsi="Times New Roman" w:cs="Times New Roman"/>
          <w:color w:val="auto"/>
          <w:szCs w:val="21"/>
          <w:highlight w:val="none"/>
        </w:rPr>
        <w:t>.被保险人最迟应当在保险年度结束后的三个月内提出补偿申请，逾期乙方不再受理。</w:t>
      </w:r>
    </w:p>
    <w:p w14:paraId="231BBDF7">
      <w:pPr>
        <w:spacing w:line="360" w:lineRule="auto"/>
        <w:ind w:firstLine="482" w:firstLineChars="200"/>
        <w:jc w:val="center"/>
        <w:rPr>
          <w:rFonts w:hint="default" w:ascii="Times New Roman" w:hAnsi="Times New Roman" w:cs="Times New Roman"/>
          <w:color w:val="auto"/>
          <w:szCs w:val="21"/>
          <w:highlight w:val="none"/>
        </w:rPr>
      </w:pPr>
      <w:r>
        <w:rPr>
          <w:rFonts w:hint="default" w:ascii="Times New Roman" w:hAnsi="Times New Roman" w:cs="Times New Roman"/>
          <w:b/>
          <w:bCs/>
          <w:color w:val="auto"/>
          <w:sz w:val="24"/>
          <w:szCs w:val="24"/>
          <w:highlight w:val="none"/>
        </w:rPr>
        <w:t>五、新增人员管理</w:t>
      </w:r>
    </w:p>
    <w:p w14:paraId="73D7988E">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eastAsia" w:cs="Times New Roman"/>
          <w:color w:val="auto"/>
          <w:szCs w:val="21"/>
          <w:highlight w:val="none"/>
          <w:lang w:val="en-US" w:eastAsia="zh-CN"/>
        </w:rPr>
        <w:t>5</w:t>
      </w:r>
      <w:r>
        <w:rPr>
          <w:rFonts w:hint="default" w:ascii="Times New Roman" w:hAnsi="Times New Roman" w:cs="Times New Roman"/>
          <w:color w:val="auto"/>
          <w:szCs w:val="21"/>
          <w:highlight w:val="none"/>
        </w:rPr>
        <w:t>.对于基本医疗保险的新增人员，甲方应当自其参加基本医疗保险当月起为其办理补充医疗保险投 保手续并缴纳补充医疗保险费，被保险人自缴费当月起享受补充医疗保险待遇。</w:t>
      </w:r>
    </w:p>
    <w:p w14:paraId="13495E3C">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eastAsia" w:cs="Times New Roman"/>
          <w:color w:val="auto"/>
          <w:szCs w:val="21"/>
          <w:highlight w:val="none"/>
          <w:lang w:val="en-US" w:eastAsia="zh-CN"/>
        </w:rPr>
        <w:t>6</w:t>
      </w:r>
      <w:r>
        <w:rPr>
          <w:rFonts w:hint="default" w:ascii="Times New Roman" w:hAnsi="Times New Roman" w:cs="Times New Roman"/>
          <w:color w:val="auto"/>
          <w:szCs w:val="21"/>
          <w:highlight w:val="none"/>
        </w:rPr>
        <w:t>.新增人员保险期间的终止日期与该保险年度其他参保人员一致。</w:t>
      </w:r>
    </w:p>
    <w:p w14:paraId="79AA2BE7">
      <w:pPr>
        <w:spacing w:line="360" w:lineRule="auto"/>
        <w:ind w:firstLine="482" w:firstLineChars="20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六、信息使用管理</w:t>
      </w:r>
    </w:p>
    <w:p w14:paraId="46AB2919">
      <w:pPr>
        <w:spacing w:line="360" w:lineRule="auto"/>
        <w:ind w:firstLine="420" w:firstLineChars="200"/>
        <w:rPr>
          <w:rFonts w:hint="default" w:ascii="Times New Roman" w:hAnsi="Times New Roman" w:cs="Times New Roman"/>
          <w:color w:val="auto"/>
          <w:szCs w:val="21"/>
          <w:highlight w:val="none"/>
        </w:rPr>
      </w:pPr>
      <w:r>
        <w:rPr>
          <w:rFonts w:hint="eastAsia" w:cs="Times New Roman"/>
          <w:color w:val="auto"/>
          <w:szCs w:val="21"/>
          <w:highlight w:val="none"/>
          <w:lang w:val="en-US" w:eastAsia="zh-CN"/>
        </w:rPr>
        <w:t>17</w:t>
      </w:r>
      <w:r>
        <w:rPr>
          <w:rFonts w:hint="default" w:ascii="Times New Roman" w:hAnsi="Times New Roman" w:cs="Times New Roman"/>
          <w:color w:val="auto"/>
          <w:szCs w:val="21"/>
          <w:highlight w:val="none"/>
        </w:rPr>
        <w:t>.甲方在每次保费划缴时，须同时提供如下被保险人的信息和资历 (包括数据软盘) ：</w:t>
      </w:r>
    </w:p>
    <w:p w14:paraId="1F45E1C9">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 被保险人的姓名、性别、年龄、身份证号码及共他相关信息；</w:t>
      </w:r>
    </w:p>
    <w:p w14:paraId="3FA35760">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 如基本医疗保险承担被保险人特殊慢性病门诊费用的给付责任，还应提供经甲方审核同意的特 殊慢性病的被保险人名单，并经乙方认可。同时在保险年度内发生此类被保险人的新增或减少， 甲方有责任及时通知乙方并提供相关证明，并须经乙方的认可。</w:t>
      </w:r>
    </w:p>
    <w:p w14:paraId="3404438E">
      <w:pPr>
        <w:spacing w:line="360" w:lineRule="auto"/>
        <w:ind w:firstLine="420" w:firstLineChars="200"/>
        <w:rPr>
          <w:rFonts w:hint="default" w:ascii="Times New Roman" w:hAnsi="Times New Roman" w:cs="Times New Roman"/>
          <w:color w:val="auto"/>
          <w:szCs w:val="21"/>
          <w:highlight w:val="none"/>
        </w:rPr>
      </w:pPr>
      <w:r>
        <w:rPr>
          <w:rFonts w:hint="eastAsia" w:cs="Times New Roman"/>
          <w:color w:val="auto"/>
          <w:szCs w:val="21"/>
          <w:highlight w:val="none"/>
          <w:lang w:val="en-US" w:eastAsia="zh-CN"/>
        </w:rPr>
        <w:t>18</w:t>
      </w:r>
      <w:r>
        <w:rPr>
          <w:rFonts w:hint="default" w:ascii="Times New Roman" w:hAnsi="Times New Roman" w:cs="Times New Roman"/>
          <w:color w:val="auto"/>
          <w:szCs w:val="21"/>
          <w:highlight w:val="none"/>
        </w:rPr>
        <w:t>.甲方已在定点医疗机构和社保服务窗口建立计算机信息网络的，乙方应有使用和查询的权利，以 便双方共同管理补充医疗保险义务。</w:t>
      </w:r>
    </w:p>
    <w:p w14:paraId="35195F6D">
      <w:pPr>
        <w:spacing w:line="360" w:lineRule="auto"/>
        <w:ind w:firstLine="420" w:firstLineChars="200"/>
        <w:rPr>
          <w:rFonts w:hint="default" w:ascii="Times New Roman" w:hAnsi="Times New Roman" w:cs="Times New Roman"/>
          <w:color w:val="auto"/>
          <w:szCs w:val="21"/>
          <w:highlight w:val="none"/>
        </w:rPr>
      </w:pPr>
      <w:r>
        <w:rPr>
          <w:rFonts w:hint="eastAsia" w:cs="Times New Roman"/>
          <w:color w:val="auto"/>
          <w:szCs w:val="21"/>
          <w:highlight w:val="none"/>
          <w:lang w:val="en-US" w:eastAsia="zh-CN"/>
        </w:rPr>
        <w:t>19</w:t>
      </w:r>
      <w:r>
        <w:rPr>
          <w:rFonts w:hint="default" w:ascii="Times New Roman" w:hAnsi="Times New Roman" w:cs="Times New Roman"/>
          <w:color w:val="auto"/>
          <w:szCs w:val="21"/>
          <w:highlight w:val="none"/>
        </w:rPr>
        <w:t>.对甲方提供的被保险人相关信息，乙方不能向第三方泄露。</w:t>
      </w:r>
    </w:p>
    <w:p w14:paraId="5CB6BEFD">
      <w:pPr>
        <w:spacing w:line="360" w:lineRule="auto"/>
        <w:ind w:firstLine="482" w:firstLineChars="20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七、监督审核</w:t>
      </w:r>
    </w:p>
    <w:p w14:paraId="50303E8E">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r>
        <w:rPr>
          <w:rFonts w:hint="eastAsia" w:cs="Times New Roman"/>
          <w:color w:val="auto"/>
          <w:szCs w:val="21"/>
          <w:highlight w:val="none"/>
          <w:lang w:val="en-US" w:eastAsia="zh-CN"/>
        </w:rPr>
        <w:t>0</w:t>
      </w:r>
      <w:r>
        <w:rPr>
          <w:rFonts w:hint="default" w:ascii="Times New Roman" w:hAnsi="Times New Roman" w:cs="Times New Roman"/>
          <w:color w:val="auto"/>
          <w:szCs w:val="21"/>
          <w:highlight w:val="none"/>
        </w:rPr>
        <w:t>.甲方应恰当履行对补充医疗被保险人和定点医疗机构的管理、监督职责。乙方对甲方的监督管理 制度有相应的了解、建议的权利。</w:t>
      </w:r>
    </w:p>
    <w:p w14:paraId="28ACFE20">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r>
        <w:rPr>
          <w:rFonts w:hint="eastAsia" w:cs="Times New Roman"/>
          <w:color w:val="auto"/>
          <w:szCs w:val="21"/>
          <w:highlight w:val="none"/>
          <w:lang w:val="en-US" w:eastAsia="zh-CN"/>
        </w:rPr>
        <w:t>1</w:t>
      </w:r>
      <w:r>
        <w:rPr>
          <w:rFonts w:hint="default" w:ascii="Times New Roman" w:hAnsi="Times New Roman" w:cs="Times New Roman"/>
          <w:color w:val="auto"/>
          <w:szCs w:val="21"/>
          <w:highlight w:val="none"/>
        </w:rPr>
        <w:t>.经甲方同意，乙方可设置相应的医疗审核人员对定点医疗机构的诊疗过程或被保险人的就医进行 审核监督。甲方应协调定点医疗机构配合医疗审核人员工作。</w:t>
      </w:r>
    </w:p>
    <w:p w14:paraId="1E7AD434">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r>
        <w:rPr>
          <w:rFonts w:hint="eastAsia" w:cs="Times New Roman"/>
          <w:color w:val="auto"/>
          <w:szCs w:val="21"/>
          <w:highlight w:val="none"/>
          <w:lang w:val="en-US" w:eastAsia="zh-CN"/>
        </w:rPr>
        <w:t>2</w:t>
      </w:r>
      <w:r>
        <w:rPr>
          <w:rFonts w:hint="default" w:ascii="Times New Roman" w:hAnsi="Times New Roman" w:cs="Times New Roman"/>
          <w:color w:val="auto"/>
          <w:szCs w:val="21"/>
          <w:highlight w:val="none"/>
        </w:rPr>
        <w:t>.乙方对定点医疗机构诊疗过程中进行跟踪了解，发现医疗机构人员人员有弄虚作假现象的，应立 即向甲方报告，甲方应运用监督管理权力对定点医疗机构和医疗人员的违规违法行为进行处理。</w:t>
      </w:r>
    </w:p>
    <w:p w14:paraId="48CB287F">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r>
        <w:rPr>
          <w:rFonts w:hint="eastAsia" w:cs="Times New Roman"/>
          <w:color w:val="auto"/>
          <w:szCs w:val="21"/>
          <w:highlight w:val="none"/>
          <w:lang w:val="en-US" w:eastAsia="zh-CN"/>
        </w:rPr>
        <w:t>3</w:t>
      </w:r>
      <w:r>
        <w:rPr>
          <w:rFonts w:hint="default" w:ascii="Times New Roman" w:hAnsi="Times New Roman" w:cs="Times New Roman"/>
          <w:color w:val="auto"/>
          <w:szCs w:val="21"/>
          <w:highlight w:val="none"/>
        </w:rPr>
        <w:t xml:space="preserve">.投保人、被保险人报告的保险事故经乙方证实为虚假事故的，乙方将不承担赔付责任。  </w:t>
      </w:r>
    </w:p>
    <w:p w14:paraId="78BA1D78">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r>
        <w:rPr>
          <w:rFonts w:hint="eastAsia" w:cs="Times New Roman"/>
          <w:color w:val="auto"/>
          <w:szCs w:val="21"/>
          <w:highlight w:val="none"/>
          <w:lang w:val="en-US" w:eastAsia="zh-CN"/>
        </w:rPr>
        <w:t>4</w:t>
      </w:r>
      <w:r>
        <w:rPr>
          <w:rFonts w:hint="default" w:ascii="Times New Roman" w:hAnsi="Times New Roman" w:cs="Times New Roman"/>
          <w:color w:val="auto"/>
          <w:szCs w:val="21"/>
          <w:highlight w:val="none"/>
        </w:rPr>
        <w:t>.因定点医疗机构或被保险人的弄虚作假行为导致乙方损失的，甲方应配合乙方进行追偿。</w:t>
      </w:r>
    </w:p>
    <w:p w14:paraId="6EE31EB9">
      <w:pPr>
        <w:spacing w:line="360" w:lineRule="auto"/>
        <w:ind w:firstLine="482" w:firstLineChars="20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八、服务管理</w:t>
      </w:r>
    </w:p>
    <w:p w14:paraId="27A385A2">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r>
        <w:rPr>
          <w:rFonts w:hint="eastAsia" w:cs="Times New Roman"/>
          <w:color w:val="auto"/>
          <w:szCs w:val="21"/>
          <w:highlight w:val="none"/>
          <w:lang w:val="en-US" w:eastAsia="zh-CN"/>
        </w:rPr>
        <w:t>5</w:t>
      </w:r>
      <w:r>
        <w:rPr>
          <w:rFonts w:hint="default" w:ascii="Times New Roman" w:hAnsi="Times New Roman" w:cs="Times New Roman"/>
          <w:color w:val="auto"/>
          <w:szCs w:val="21"/>
          <w:highlight w:val="none"/>
        </w:rPr>
        <w:t>.在本合同履行期间内，乙方负责向甲方提供如下管理服务项目：</w:t>
      </w:r>
    </w:p>
    <w:p w14:paraId="166A21D5">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 乙方负责根据双方确定的保险责任及甲方以往的相关医疗消费情况核定相应的保费标准。</w:t>
      </w:r>
    </w:p>
    <w:p w14:paraId="5AEB7381">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 乙方负责按照本合同约定，代甲方向被保险人提供相应的理赔咨询服务及定点医院管理服务。</w:t>
      </w:r>
    </w:p>
    <w:p w14:paraId="3F5767B4">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 乙方负责定期向甲方提供计划管理报告服务。每季度第一个月向甲方提交上季度赔付情况及专项账户使用情况；每半年向甲方提交医疗保障计划运营报告，并提供相关咨询服务和运行建议。</w:t>
      </w:r>
    </w:p>
    <w:p w14:paraId="6B27229B">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 乙方指定专人于每月10日(如遇节假日顺延)与甲方交接赔案事宜，主要包括接收甲方提供的被保险人人索赔资料以及移交已结赔款等。</w:t>
      </w:r>
    </w:p>
    <w:p w14:paraId="2B5F4774">
      <w:pPr>
        <w:spacing w:line="360" w:lineRule="auto"/>
        <w:ind w:firstLine="482" w:firstLineChars="200"/>
        <w:jc w:val="center"/>
        <w:rPr>
          <w:rFonts w:hint="default" w:ascii="Times New Roman" w:hAnsi="Times New Roman" w:cs="Times New Roman"/>
          <w:b/>
          <w:bCs/>
          <w:color w:val="auto"/>
          <w:sz w:val="24"/>
          <w:szCs w:val="24"/>
          <w:highlight w:val="none"/>
        </w:rPr>
      </w:pPr>
      <w:bookmarkStart w:id="50" w:name="_bookmark6"/>
      <w:bookmarkEnd w:id="50"/>
      <w:r>
        <w:rPr>
          <w:rFonts w:hint="default" w:ascii="Times New Roman" w:hAnsi="Times New Roman" w:cs="Times New Roman"/>
          <w:b/>
          <w:bCs/>
          <w:color w:val="auto"/>
          <w:sz w:val="24"/>
          <w:szCs w:val="24"/>
          <w:highlight w:val="none"/>
        </w:rPr>
        <w:t>九、其他</w:t>
      </w:r>
    </w:p>
    <w:p w14:paraId="4B8314FD">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r>
        <w:rPr>
          <w:rFonts w:hint="eastAsia" w:cs="Times New Roman"/>
          <w:color w:val="auto"/>
          <w:szCs w:val="21"/>
          <w:highlight w:val="none"/>
          <w:lang w:val="en-US" w:eastAsia="zh-CN"/>
        </w:rPr>
        <w:t>6</w:t>
      </w:r>
      <w:r>
        <w:rPr>
          <w:rFonts w:hint="default" w:ascii="Times New Roman" w:hAnsi="Times New Roman" w:cs="Times New Roman"/>
          <w:color w:val="auto"/>
          <w:szCs w:val="21"/>
          <w:highlight w:val="none"/>
        </w:rPr>
        <w:t>.在保险年度内，甲方基本医疗保险药品目录、诊疗目录及医疗服务设施目录范围发生改变，本保险年度的支付标准参照本年度保险责任起始时的基本医疗保险药品目录、诊疗目录及医疗服务设施目录 的范围执行。</w:t>
      </w:r>
    </w:p>
    <w:p w14:paraId="11FE68C8">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w:t>
      </w:r>
      <w:r>
        <w:rPr>
          <w:rFonts w:hint="eastAsia" w:cs="Times New Roman"/>
          <w:color w:val="auto"/>
          <w:szCs w:val="21"/>
          <w:highlight w:val="none"/>
          <w:lang w:val="en-US" w:eastAsia="zh-CN"/>
        </w:rPr>
        <w:t>27</w:t>
      </w:r>
      <w:r>
        <w:rPr>
          <w:rFonts w:hint="default" w:ascii="Times New Roman" w:hAnsi="Times New Roman" w:cs="Times New Roman"/>
          <w:color w:val="auto"/>
          <w:szCs w:val="21"/>
          <w:highlight w:val="none"/>
        </w:rPr>
        <w:t>.由乙方派驻</w:t>
      </w:r>
      <w:r>
        <w:rPr>
          <w:rFonts w:hint="default" w:ascii="Times New Roman" w:hAnsi="Times New Roman" w:cs="Times New Roman"/>
          <w:color w:val="auto"/>
          <w:szCs w:val="21"/>
          <w:highlight w:val="none"/>
          <w:lang w:eastAsia="zh-CN"/>
        </w:rPr>
        <w:t>不少于</w:t>
      </w:r>
      <w:r>
        <w:rPr>
          <w:rFonts w:hint="default"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名员工到甲方办公场所一起办公,作为</w:t>
      </w:r>
      <w:r>
        <w:rPr>
          <w:rFonts w:hint="default" w:ascii="Times New Roman" w:hAnsi="Times New Roman" w:cs="Times New Roman"/>
          <w:b w:val="0"/>
          <w:bCs w:val="0"/>
          <w:color w:val="auto"/>
          <w:szCs w:val="21"/>
          <w:highlight w:val="none"/>
        </w:rPr>
        <w:t>202</w:t>
      </w:r>
      <w:r>
        <w:rPr>
          <w:rFonts w:hint="eastAsia" w:cs="Times New Roman"/>
          <w:b w:val="0"/>
          <w:bCs w:val="0"/>
          <w:color w:val="auto"/>
          <w:szCs w:val="21"/>
          <w:highlight w:val="none"/>
          <w:lang w:val="en-US" w:eastAsia="zh-CN"/>
        </w:rPr>
        <w:t>6</w:t>
      </w:r>
      <w:r>
        <w:rPr>
          <w:rFonts w:hint="default" w:ascii="Times New Roman" w:hAnsi="Times New Roman" w:cs="Times New Roman"/>
          <w:b w:val="0"/>
          <w:bCs w:val="0"/>
          <w:color w:val="auto"/>
          <w:szCs w:val="21"/>
          <w:highlight w:val="none"/>
        </w:rPr>
        <w:t>-202</w:t>
      </w:r>
      <w:r>
        <w:rPr>
          <w:rFonts w:hint="eastAsia" w:cs="Times New Roman"/>
          <w:b w:val="0"/>
          <w:bCs w:val="0"/>
          <w:color w:val="auto"/>
          <w:szCs w:val="21"/>
          <w:highlight w:val="none"/>
          <w:lang w:val="en-US" w:eastAsia="zh-CN"/>
        </w:rPr>
        <w:t>8</w:t>
      </w:r>
      <w:r>
        <w:rPr>
          <w:rFonts w:hint="default" w:ascii="Times New Roman" w:hAnsi="Times New Roman" w:cs="Times New Roman"/>
          <w:color w:val="auto"/>
          <w:szCs w:val="21"/>
          <w:highlight w:val="none"/>
        </w:rPr>
        <w:t>年度蒙山县公务员补充医疗保险服务项目的专项服务人员。除了处理该项目的日常工作外，协助甲方处理日常相关工作。</w:t>
      </w:r>
    </w:p>
    <w:p w14:paraId="15A8E542">
      <w:pPr>
        <w:spacing w:line="360" w:lineRule="auto"/>
        <w:ind w:firstLine="420" w:firstLineChars="200"/>
        <w:rPr>
          <w:rFonts w:hint="default" w:ascii="Times New Roman" w:hAnsi="Times New Roman" w:cs="Times New Roman"/>
          <w:color w:val="auto"/>
          <w:szCs w:val="21"/>
          <w:highlight w:val="none"/>
        </w:rPr>
      </w:pPr>
      <w:r>
        <w:rPr>
          <w:rFonts w:hint="eastAsia" w:cs="Times New Roman"/>
          <w:color w:val="auto"/>
          <w:szCs w:val="21"/>
          <w:highlight w:val="none"/>
          <w:lang w:val="en-US" w:eastAsia="zh-CN"/>
        </w:rPr>
        <w:t>28</w:t>
      </w:r>
      <w:r>
        <w:rPr>
          <w:rFonts w:hint="default" w:ascii="Times New Roman" w:hAnsi="Times New Roman" w:cs="Times New Roman"/>
          <w:color w:val="auto"/>
          <w:szCs w:val="21"/>
          <w:highlight w:val="none"/>
        </w:rPr>
        <w:t>.由甲方无偿提供在蒙山县医疗保障事业管理中心的办公场所给乙方，用于乙方处理该项目的相关工作，并用于存档相关资料。乙方派驻</w:t>
      </w:r>
      <w:r>
        <w:rPr>
          <w:rFonts w:hint="default" w:ascii="Times New Roman" w:hAnsi="Times New Roman" w:cs="Times New Roman"/>
          <w:color w:val="auto"/>
          <w:szCs w:val="21"/>
          <w:highlight w:val="none"/>
          <w:lang w:eastAsia="zh-CN"/>
        </w:rPr>
        <w:t>人员</w:t>
      </w:r>
      <w:r>
        <w:rPr>
          <w:rFonts w:hint="default" w:ascii="Times New Roman" w:hAnsi="Times New Roman" w:cs="Times New Roman"/>
          <w:color w:val="auto"/>
          <w:szCs w:val="21"/>
          <w:highlight w:val="none"/>
        </w:rPr>
        <w:t>办公用品、办公设备等其他所需物品由乙方</w:t>
      </w:r>
      <w:r>
        <w:rPr>
          <w:rFonts w:hint="default" w:ascii="Times New Roman" w:hAnsi="Times New Roman" w:cs="Times New Roman"/>
          <w:color w:val="auto"/>
          <w:szCs w:val="21"/>
          <w:highlight w:val="none"/>
          <w:lang w:eastAsia="zh-CN"/>
        </w:rPr>
        <w:t>负责</w:t>
      </w:r>
      <w:r>
        <w:rPr>
          <w:rFonts w:hint="default" w:ascii="Times New Roman" w:hAnsi="Times New Roman" w:cs="Times New Roman"/>
          <w:color w:val="auto"/>
          <w:szCs w:val="21"/>
          <w:highlight w:val="none"/>
        </w:rPr>
        <w:t>。</w:t>
      </w:r>
    </w:p>
    <w:p w14:paraId="5457E961">
      <w:pPr>
        <w:spacing w:line="360" w:lineRule="auto"/>
        <w:ind w:firstLine="420" w:firstLineChars="200"/>
        <w:rPr>
          <w:rFonts w:hint="default" w:ascii="Times New Roman" w:hAnsi="Times New Roman" w:eastAsia="宋体" w:cs="Times New Roman"/>
          <w:color w:val="auto"/>
          <w:szCs w:val="21"/>
          <w:highlight w:val="none"/>
          <w:lang w:eastAsia="zh-CN"/>
        </w:rPr>
      </w:pPr>
      <w:r>
        <w:rPr>
          <w:rFonts w:hint="eastAsia" w:cs="Times New Roman"/>
          <w:color w:val="auto"/>
          <w:szCs w:val="21"/>
          <w:highlight w:val="none"/>
          <w:lang w:val="en-US" w:eastAsia="zh-CN"/>
        </w:rPr>
        <w:t>29</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eastAsia="zh-CN"/>
        </w:rPr>
        <w:t>对于</w:t>
      </w:r>
      <w:r>
        <w:rPr>
          <w:rFonts w:hint="default" w:ascii="Times New Roman" w:hAnsi="Times New Roman" w:cs="Times New Roman"/>
          <w:color w:val="auto"/>
          <w:szCs w:val="21"/>
          <w:highlight w:val="none"/>
        </w:rPr>
        <w:t>乙方所派驻的人员</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甲方</w:t>
      </w:r>
      <w:r>
        <w:rPr>
          <w:rFonts w:hint="default" w:ascii="Times New Roman" w:hAnsi="Times New Roman" w:cs="Times New Roman"/>
          <w:color w:val="auto"/>
          <w:szCs w:val="21"/>
          <w:highlight w:val="none"/>
          <w:lang w:eastAsia="zh-CN"/>
        </w:rPr>
        <w:t>仅</w:t>
      </w:r>
      <w:r>
        <w:rPr>
          <w:rFonts w:hint="default" w:ascii="Times New Roman" w:hAnsi="Times New Roman" w:cs="Times New Roman"/>
          <w:color w:val="auto"/>
          <w:szCs w:val="21"/>
          <w:highlight w:val="none"/>
        </w:rPr>
        <w:t>为代管日常工作事宜</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其工资、福利等待遇及相关的法律责任、义务</w:t>
      </w:r>
      <w:r>
        <w:rPr>
          <w:rFonts w:hint="default" w:ascii="Times New Roman" w:hAnsi="Times New Roman" w:cs="Times New Roman"/>
          <w:color w:val="auto"/>
          <w:szCs w:val="21"/>
          <w:highlight w:val="none"/>
          <w:lang w:eastAsia="zh-CN"/>
        </w:rPr>
        <w:t>全部</w:t>
      </w:r>
      <w:r>
        <w:rPr>
          <w:rFonts w:hint="default" w:ascii="Times New Roman" w:hAnsi="Times New Roman" w:cs="Times New Roman"/>
          <w:color w:val="auto"/>
          <w:szCs w:val="21"/>
          <w:highlight w:val="none"/>
        </w:rPr>
        <w:t>由乙方承担</w:t>
      </w:r>
      <w:r>
        <w:rPr>
          <w:rFonts w:hint="default" w:ascii="Times New Roman" w:hAnsi="Times New Roman" w:cs="Times New Roman"/>
          <w:color w:val="auto"/>
          <w:szCs w:val="21"/>
          <w:highlight w:val="none"/>
          <w:lang w:eastAsia="zh-CN"/>
        </w:rPr>
        <w:t>。</w:t>
      </w:r>
    </w:p>
    <w:p w14:paraId="0B9A8A37">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r>
        <w:rPr>
          <w:rFonts w:hint="eastAsia" w:cs="Times New Roman"/>
          <w:color w:val="auto"/>
          <w:szCs w:val="21"/>
          <w:highlight w:val="none"/>
          <w:lang w:val="en-US" w:eastAsia="zh-CN"/>
        </w:rPr>
        <w:t>0</w:t>
      </w:r>
      <w:r>
        <w:rPr>
          <w:rFonts w:hint="default" w:ascii="Times New Roman" w:hAnsi="Times New Roman" w:cs="Times New Roman"/>
          <w:color w:val="auto"/>
          <w:szCs w:val="21"/>
          <w:highlight w:val="none"/>
        </w:rPr>
        <w:t>.乙方派驻的人员在开展日常工作过程中，因乙方业务产生的会议、培训等支出由乙方负责，因甲方业务安排的会议、培训、下乡等公务支出由甲方负责。</w:t>
      </w:r>
    </w:p>
    <w:p w14:paraId="59A124B9">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r>
        <w:rPr>
          <w:rFonts w:hint="eastAsia" w:cs="Times New Roman"/>
          <w:color w:val="auto"/>
          <w:szCs w:val="21"/>
          <w:highlight w:val="none"/>
          <w:lang w:val="en-US" w:eastAsia="zh-CN"/>
        </w:rPr>
        <w:t>1</w:t>
      </w:r>
      <w:r>
        <w:rPr>
          <w:rFonts w:hint="default" w:ascii="Times New Roman" w:hAnsi="Times New Roman" w:cs="Times New Roman"/>
          <w:color w:val="auto"/>
          <w:szCs w:val="21"/>
          <w:highlight w:val="none"/>
        </w:rPr>
        <w:t>.每季度至少召开一次甲、乙双方相关人员参加的联席会，具体研究解决双方合作的有关事宜。</w:t>
      </w:r>
    </w:p>
    <w:p w14:paraId="55ACB6A5">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r>
        <w:rPr>
          <w:rFonts w:hint="eastAsia" w:cs="Times New Roman"/>
          <w:color w:val="auto"/>
          <w:szCs w:val="21"/>
          <w:highlight w:val="none"/>
          <w:lang w:val="en-US" w:eastAsia="zh-CN"/>
        </w:rPr>
        <w:t>2</w:t>
      </w:r>
      <w:r>
        <w:rPr>
          <w:rFonts w:hint="default" w:ascii="Times New Roman" w:hAnsi="Times New Roman" w:cs="Times New Roman"/>
          <w:color w:val="auto"/>
          <w:szCs w:val="21"/>
          <w:highlight w:val="none"/>
        </w:rPr>
        <w:t>.一个保险年度结束，根据实际经营结果，经甲乙双方协商，可以对下一年度补充医疗保险的保险费及相关政策进行调整，上报当地政府批准后执行。</w:t>
      </w:r>
    </w:p>
    <w:p w14:paraId="7B55203F">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r>
        <w:rPr>
          <w:rFonts w:hint="eastAsia" w:cs="Times New Roman"/>
          <w:color w:val="auto"/>
          <w:szCs w:val="21"/>
          <w:highlight w:val="none"/>
          <w:lang w:val="en-US" w:eastAsia="zh-CN"/>
        </w:rPr>
        <w:t>3</w:t>
      </w:r>
      <w:r>
        <w:rPr>
          <w:rFonts w:hint="default" w:ascii="Times New Roman" w:hAnsi="Times New Roman" w:cs="Times New Roman"/>
          <w:color w:val="auto"/>
          <w:szCs w:val="21"/>
          <w:highlight w:val="none"/>
        </w:rPr>
        <w:t>.本项目不要求缴纳履约保证金。</w:t>
      </w:r>
    </w:p>
    <w:p w14:paraId="2929C9FC">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r>
        <w:rPr>
          <w:rFonts w:hint="eastAsia" w:cs="Times New Roman"/>
          <w:color w:val="auto"/>
          <w:szCs w:val="21"/>
          <w:highlight w:val="none"/>
          <w:lang w:val="en-US" w:eastAsia="zh-CN"/>
        </w:rPr>
        <w:t>4</w:t>
      </w:r>
      <w:r>
        <w:rPr>
          <w:rFonts w:hint="default" w:ascii="Times New Roman" w:hAnsi="Times New Roman" w:cs="Times New Roman"/>
          <w:color w:val="auto"/>
          <w:szCs w:val="21"/>
          <w:highlight w:val="none"/>
        </w:rPr>
        <w:t>.甲方、乙方、被保险人之间发生的有关补充医疗保险争议时，由各方根据当地基本医疗保险相关规定协商解决；协商不成的，提请当地劳工和社会保障行政管理部门进行调解，调解不成的，按有关法律法规办理。</w:t>
      </w:r>
    </w:p>
    <w:p w14:paraId="26476327">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r>
        <w:rPr>
          <w:rFonts w:hint="eastAsia" w:cs="Times New Roman"/>
          <w:color w:val="auto"/>
          <w:szCs w:val="21"/>
          <w:highlight w:val="none"/>
          <w:lang w:val="en-US" w:eastAsia="zh-CN"/>
        </w:rPr>
        <w:t>5</w:t>
      </w:r>
      <w:r>
        <w:rPr>
          <w:rFonts w:hint="default" w:ascii="Times New Roman" w:hAnsi="Times New Roman" w:cs="Times New Roman"/>
          <w:color w:val="auto"/>
          <w:szCs w:val="21"/>
          <w:highlight w:val="none"/>
        </w:rPr>
        <w:t>.对于合同的未尽事宜，需进行修改、补充和完善的，甲、乙双方必须就所修改的内容签订书面的补充合同，作为合同的附件，与本合同具有同等法律效力。</w:t>
      </w:r>
    </w:p>
    <w:p w14:paraId="4DC7553B">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r>
        <w:rPr>
          <w:rFonts w:hint="eastAsia" w:cs="Times New Roman"/>
          <w:color w:val="auto"/>
          <w:szCs w:val="21"/>
          <w:highlight w:val="none"/>
          <w:lang w:val="en-US" w:eastAsia="zh-CN"/>
        </w:rPr>
        <w:t>6</w:t>
      </w:r>
      <w:r>
        <w:rPr>
          <w:rFonts w:hint="default" w:ascii="Times New Roman" w:hAnsi="Times New Roman" w:cs="Times New Roman"/>
          <w:color w:val="auto"/>
          <w:szCs w:val="21"/>
          <w:highlight w:val="none"/>
        </w:rPr>
        <w:t>.本合同自甲、乙双方负责人或授权代表签字，并加盖公章之日起生效。</w:t>
      </w:r>
    </w:p>
    <w:p w14:paraId="7F347A44">
      <w:pPr>
        <w:spacing w:line="360" w:lineRule="auto"/>
        <w:ind w:firstLine="420" w:firstLineChars="200"/>
        <w:rPr>
          <w:rFonts w:hint="default" w:ascii="Times New Roman" w:hAnsi="Times New Roman" w:cs="Times New Roman"/>
          <w:color w:val="auto"/>
          <w:highlight w:val="none"/>
        </w:rPr>
      </w:pPr>
      <w:r>
        <w:rPr>
          <w:rFonts w:hint="eastAsia" w:cs="Times New Roman"/>
          <w:color w:val="auto"/>
          <w:szCs w:val="21"/>
          <w:highlight w:val="none"/>
          <w:lang w:val="en-US" w:eastAsia="zh-CN"/>
        </w:rPr>
        <w:t>37</w:t>
      </w:r>
      <w:r>
        <w:rPr>
          <w:rFonts w:hint="default" w:ascii="Times New Roman" w:hAnsi="Times New Roman" w:cs="Times New Roman"/>
          <w:color w:val="auto"/>
          <w:szCs w:val="21"/>
          <w:highlight w:val="none"/>
        </w:rPr>
        <w:t>.本合同一式四份， 甲乙双方、代理机构及政府采购监督管理部门各执一份，具有同等法律效力。</w:t>
      </w:r>
    </w:p>
    <w:p w14:paraId="270A38E4">
      <w:pPr>
        <w:spacing w:line="360" w:lineRule="auto"/>
        <w:ind w:firstLine="420" w:firstLineChars="200"/>
        <w:rPr>
          <w:rFonts w:hint="default" w:ascii="Times New Roman" w:hAnsi="Times New Roman" w:cs="Times New Roman"/>
          <w:color w:val="auto"/>
          <w:szCs w:val="21"/>
          <w:highlight w:val="none"/>
        </w:rPr>
      </w:pPr>
      <w:r>
        <w:rPr>
          <w:rFonts w:hint="eastAsia" w:cs="Times New Roman"/>
          <w:color w:val="auto"/>
          <w:szCs w:val="21"/>
          <w:highlight w:val="none"/>
          <w:lang w:val="en-US" w:eastAsia="zh-CN"/>
        </w:rPr>
        <w:t>38</w:t>
      </w:r>
      <w:r>
        <w:rPr>
          <w:rFonts w:hint="default" w:ascii="Times New Roman" w:hAnsi="Times New Roman" w:cs="Times New Roman"/>
          <w:color w:val="auto"/>
          <w:szCs w:val="21"/>
          <w:highlight w:val="none"/>
          <w:lang w:val="en-US" w:eastAsia="zh-CN"/>
        </w:rPr>
        <w:t>.</w:t>
      </w:r>
      <w:r>
        <w:rPr>
          <w:rFonts w:hint="default" w:ascii="Times New Roman" w:hAnsi="Times New Roman" w:cs="Times New Roman"/>
          <w:color w:val="auto"/>
          <w:szCs w:val="21"/>
          <w:highlight w:val="none"/>
        </w:rPr>
        <w:t>本合同自签订之日起</w:t>
      </w:r>
      <w:r>
        <w:rPr>
          <w:rFonts w:hint="default"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个工作日内，甲方应当将采购合同在广西壮族自治区财政厅指定的媒体上公告。</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0"/>
        <w:gridCol w:w="4927"/>
      </w:tblGrid>
      <w:tr w14:paraId="0C55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3" w:hRule="atLeast"/>
          <w:jc w:val="center"/>
        </w:trPr>
        <w:tc>
          <w:tcPr>
            <w:tcW w:w="4660" w:type="dxa"/>
          </w:tcPr>
          <w:p w14:paraId="61A5B747">
            <w:pPr>
              <w:keepNext w:val="0"/>
              <w:keepLines w:val="0"/>
              <w:suppressLineNumbers w:val="0"/>
              <w:snapToGrid w:val="0"/>
              <w:spacing w:before="0" w:beforeAutospacing="0" w:afterAutospacing="0" w:line="360" w:lineRule="exact"/>
              <w:ind w:left="0" w:right="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甲方（章）           </w:t>
            </w:r>
          </w:p>
          <w:p w14:paraId="4BE784C4">
            <w:pPr>
              <w:keepNext w:val="0"/>
              <w:keepLines w:val="0"/>
              <w:suppressLineNumbers w:val="0"/>
              <w:snapToGrid w:val="0"/>
              <w:spacing w:before="0" w:beforeAutospacing="0" w:afterAutospacing="0" w:line="360" w:lineRule="exact"/>
              <w:ind w:left="0" w:right="0"/>
              <w:rPr>
                <w:rFonts w:hint="default" w:ascii="Times New Roman" w:hAnsi="Times New Roman" w:eastAsia="宋体" w:cs="Times New Roman"/>
                <w:color w:val="auto"/>
                <w:szCs w:val="21"/>
                <w:highlight w:val="none"/>
              </w:rPr>
            </w:pPr>
          </w:p>
          <w:p w14:paraId="5E3E0EA9">
            <w:pPr>
              <w:keepNext w:val="0"/>
              <w:keepLines w:val="0"/>
              <w:suppressLineNumbers w:val="0"/>
              <w:snapToGrid w:val="0"/>
              <w:spacing w:before="0" w:beforeAutospacing="0" w:afterAutospacing="0" w:line="360" w:lineRule="exact"/>
              <w:ind w:left="0" w:right="0"/>
              <w:rPr>
                <w:rFonts w:hint="default" w:ascii="Times New Roman" w:hAnsi="Times New Roman" w:eastAsia="宋体" w:cs="Times New Roman"/>
                <w:color w:val="auto"/>
                <w:szCs w:val="21"/>
                <w:highlight w:val="none"/>
              </w:rPr>
            </w:pPr>
          </w:p>
          <w:p w14:paraId="0C73F01D">
            <w:pPr>
              <w:keepNext w:val="0"/>
              <w:keepLines w:val="0"/>
              <w:suppressLineNumbers w:val="0"/>
              <w:snapToGrid w:val="0"/>
              <w:spacing w:before="0" w:beforeAutospacing="0" w:afterAutospacing="0" w:line="360" w:lineRule="exact"/>
              <w:ind w:left="0" w:right="0"/>
              <w:rPr>
                <w:rFonts w:hint="default" w:ascii="Times New Roman" w:hAnsi="Times New Roman" w:eastAsia="宋体" w:cs="Times New Roman"/>
                <w:color w:val="auto"/>
                <w:szCs w:val="21"/>
                <w:highlight w:val="none"/>
              </w:rPr>
            </w:pPr>
          </w:p>
          <w:p w14:paraId="5460AD93">
            <w:pPr>
              <w:keepNext w:val="0"/>
              <w:keepLines w:val="0"/>
              <w:suppressLineNumbers w:val="0"/>
              <w:snapToGrid w:val="0"/>
              <w:spacing w:before="0" w:beforeAutospacing="0" w:afterAutospacing="0" w:line="360" w:lineRule="exact"/>
              <w:ind w:left="0" w:right="0" w:firstLine="945" w:firstLineChars="45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                 年   月   日</w:t>
            </w:r>
          </w:p>
        </w:tc>
        <w:tc>
          <w:tcPr>
            <w:tcW w:w="4927" w:type="dxa"/>
          </w:tcPr>
          <w:p w14:paraId="088139AF">
            <w:pPr>
              <w:keepNext w:val="0"/>
              <w:keepLines w:val="0"/>
              <w:suppressLineNumbers w:val="0"/>
              <w:snapToGrid w:val="0"/>
              <w:spacing w:before="0" w:beforeAutospacing="0" w:afterAutospacing="0" w:line="360" w:lineRule="exact"/>
              <w:ind w:left="0" w:right="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乙方（章）              </w:t>
            </w:r>
          </w:p>
          <w:p w14:paraId="75CEC68C">
            <w:pPr>
              <w:keepNext w:val="0"/>
              <w:keepLines w:val="0"/>
              <w:suppressLineNumbers w:val="0"/>
              <w:snapToGrid w:val="0"/>
              <w:spacing w:before="0" w:beforeAutospacing="0" w:afterAutospacing="0" w:line="360" w:lineRule="exact"/>
              <w:ind w:left="0" w:right="0"/>
              <w:rPr>
                <w:rFonts w:hint="default" w:ascii="Times New Roman" w:hAnsi="Times New Roman" w:eastAsia="宋体" w:cs="Times New Roman"/>
                <w:color w:val="auto"/>
                <w:szCs w:val="21"/>
                <w:highlight w:val="none"/>
              </w:rPr>
            </w:pPr>
          </w:p>
          <w:p w14:paraId="334AD03D">
            <w:pPr>
              <w:keepNext w:val="0"/>
              <w:keepLines w:val="0"/>
              <w:suppressLineNumbers w:val="0"/>
              <w:snapToGrid w:val="0"/>
              <w:spacing w:before="0" w:beforeAutospacing="0" w:afterAutospacing="0" w:line="360" w:lineRule="exact"/>
              <w:ind w:left="0" w:right="0"/>
              <w:rPr>
                <w:rFonts w:hint="default" w:ascii="Times New Roman" w:hAnsi="Times New Roman" w:eastAsia="宋体" w:cs="Times New Roman"/>
                <w:color w:val="auto"/>
                <w:szCs w:val="21"/>
                <w:highlight w:val="none"/>
              </w:rPr>
            </w:pPr>
          </w:p>
          <w:p w14:paraId="0E7A3430">
            <w:pPr>
              <w:keepNext w:val="0"/>
              <w:keepLines w:val="0"/>
              <w:suppressLineNumbers w:val="0"/>
              <w:snapToGrid w:val="0"/>
              <w:spacing w:before="0" w:beforeAutospacing="0" w:afterAutospacing="0" w:line="360" w:lineRule="exact"/>
              <w:ind w:left="0" w:right="0"/>
              <w:rPr>
                <w:rFonts w:hint="default" w:ascii="Times New Roman" w:hAnsi="Times New Roman" w:eastAsia="宋体" w:cs="Times New Roman"/>
                <w:color w:val="auto"/>
                <w:szCs w:val="21"/>
                <w:highlight w:val="none"/>
              </w:rPr>
            </w:pPr>
          </w:p>
          <w:p w14:paraId="549E9C29">
            <w:pPr>
              <w:keepNext w:val="0"/>
              <w:keepLines w:val="0"/>
              <w:suppressLineNumbers w:val="0"/>
              <w:snapToGrid w:val="0"/>
              <w:spacing w:before="0" w:beforeAutospacing="0" w:afterAutospacing="0" w:line="360" w:lineRule="exact"/>
              <w:ind w:left="0" w:right="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                             年   月   日</w:t>
            </w:r>
          </w:p>
        </w:tc>
      </w:tr>
      <w:tr w14:paraId="42EE2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4660" w:type="dxa"/>
          </w:tcPr>
          <w:p w14:paraId="7AF01188">
            <w:pPr>
              <w:keepNext w:val="0"/>
              <w:keepLines w:val="0"/>
              <w:suppressLineNumbers w:val="0"/>
              <w:snapToGrid w:val="0"/>
              <w:spacing w:before="0" w:beforeAutospacing="0" w:afterAutospacing="0" w:line="360" w:lineRule="exact"/>
              <w:ind w:left="0" w:right="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单位地址：</w:t>
            </w:r>
          </w:p>
        </w:tc>
        <w:tc>
          <w:tcPr>
            <w:tcW w:w="4927" w:type="dxa"/>
          </w:tcPr>
          <w:p w14:paraId="3F5C5999">
            <w:pPr>
              <w:keepNext w:val="0"/>
              <w:keepLines w:val="0"/>
              <w:suppressLineNumbers w:val="0"/>
              <w:snapToGrid w:val="0"/>
              <w:spacing w:before="0" w:beforeAutospacing="0" w:afterAutospacing="0" w:line="360" w:lineRule="exact"/>
              <w:ind w:left="0" w:right="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单位地址：</w:t>
            </w:r>
          </w:p>
        </w:tc>
      </w:tr>
      <w:tr w14:paraId="67E8D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4660" w:type="dxa"/>
          </w:tcPr>
          <w:p w14:paraId="655C74DC">
            <w:pPr>
              <w:keepNext w:val="0"/>
              <w:keepLines w:val="0"/>
              <w:suppressLineNumbers w:val="0"/>
              <w:snapToGrid w:val="0"/>
              <w:spacing w:before="0" w:beforeAutospacing="0" w:afterAutospacing="0" w:line="360" w:lineRule="exact"/>
              <w:ind w:left="0" w:right="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法定代表人(负责人)：</w:t>
            </w:r>
          </w:p>
        </w:tc>
        <w:tc>
          <w:tcPr>
            <w:tcW w:w="4927" w:type="dxa"/>
          </w:tcPr>
          <w:p w14:paraId="41BBAC05">
            <w:pPr>
              <w:keepNext w:val="0"/>
              <w:keepLines w:val="0"/>
              <w:suppressLineNumbers w:val="0"/>
              <w:snapToGrid w:val="0"/>
              <w:spacing w:before="0" w:beforeAutospacing="0" w:afterAutospacing="0" w:line="360" w:lineRule="exact"/>
              <w:ind w:left="0" w:right="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法定代表人(负责人)：</w:t>
            </w:r>
          </w:p>
        </w:tc>
      </w:tr>
      <w:tr w14:paraId="29262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4660" w:type="dxa"/>
          </w:tcPr>
          <w:p w14:paraId="09188860">
            <w:pPr>
              <w:keepNext w:val="0"/>
              <w:keepLines w:val="0"/>
              <w:suppressLineNumbers w:val="0"/>
              <w:snapToGrid w:val="0"/>
              <w:spacing w:before="0" w:beforeAutospacing="0" w:afterAutospacing="0" w:line="360" w:lineRule="exact"/>
              <w:ind w:left="0" w:right="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委托代理人：</w:t>
            </w:r>
          </w:p>
        </w:tc>
        <w:tc>
          <w:tcPr>
            <w:tcW w:w="4927" w:type="dxa"/>
          </w:tcPr>
          <w:p w14:paraId="083D1C43">
            <w:pPr>
              <w:keepNext w:val="0"/>
              <w:keepLines w:val="0"/>
              <w:suppressLineNumbers w:val="0"/>
              <w:snapToGrid w:val="0"/>
              <w:spacing w:before="0" w:beforeAutospacing="0" w:afterAutospacing="0" w:line="360" w:lineRule="exact"/>
              <w:ind w:left="0" w:right="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委托代理人：</w:t>
            </w:r>
          </w:p>
        </w:tc>
      </w:tr>
      <w:tr w14:paraId="7808F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4660" w:type="dxa"/>
          </w:tcPr>
          <w:p w14:paraId="03E8057F">
            <w:pPr>
              <w:keepNext w:val="0"/>
              <w:keepLines w:val="0"/>
              <w:suppressLineNumbers w:val="0"/>
              <w:snapToGrid w:val="0"/>
              <w:spacing w:before="0" w:beforeAutospacing="0" w:afterAutospacing="0" w:line="360" w:lineRule="exact"/>
              <w:ind w:left="0" w:right="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电话：</w:t>
            </w:r>
          </w:p>
        </w:tc>
        <w:tc>
          <w:tcPr>
            <w:tcW w:w="4927" w:type="dxa"/>
          </w:tcPr>
          <w:p w14:paraId="69FC0D24">
            <w:pPr>
              <w:keepNext w:val="0"/>
              <w:keepLines w:val="0"/>
              <w:suppressLineNumbers w:val="0"/>
              <w:snapToGrid w:val="0"/>
              <w:spacing w:before="0" w:beforeAutospacing="0" w:afterAutospacing="0" w:line="360" w:lineRule="exact"/>
              <w:ind w:left="0" w:right="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电话：</w:t>
            </w:r>
          </w:p>
        </w:tc>
      </w:tr>
      <w:tr w14:paraId="4703C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4660" w:type="dxa"/>
          </w:tcPr>
          <w:p w14:paraId="2B7BBCB4">
            <w:pPr>
              <w:keepNext w:val="0"/>
              <w:keepLines w:val="0"/>
              <w:suppressLineNumbers w:val="0"/>
              <w:snapToGrid w:val="0"/>
              <w:spacing w:before="0" w:beforeAutospacing="0" w:afterAutospacing="0" w:line="360" w:lineRule="exact"/>
              <w:ind w:left="0" w:right="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电子邮箱：</w:t>
            </w:r>
          </w:p>
        </w:tc>
        <w:tc>
          <w:tcPr>
            <w:tcW w:w="4927" w:type="dxa"/>
          </w:tcPr>
          <w:p w14:paraId="2E4355F6">
            <w:pPr>
              <w:keepNext w:val="0"/>
              <w:keepLines w:val="0"/>
              <w:suppressLineNumbers w:val="0"/>
              <w:snapToGrid w:val="0"/>
              <w:spacing w:before="0" w:beforeAutospacing="0" w:afterAutospacing="0" w:line="360" w:lineRule="exact"/>
              <w:ind w:left="0" w:right="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电子邮箱：</w:t>
            </w:r>
          </w:p>
        </w:tc>
      </w:tr>
      <w:tr w14:paraId="0C1DD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4660" w:type="dxa"/>
          </w:tcPr>
          <w:p w14:paraId="01821E64">
            <w:pPr>
              <w:keepNext w:val="0"/>
              <w:keepLines w:val="0"/>
              <w:suppressLineNumbers w:val="0"/>
              <w:snapToGrid w:val="0"/>
              <w:spacing w:before="0" w:beforeAutospacing="0" w:afterAutospacing="0" w:line="360" w:lineRule="exact"/>
              <w:ind w:left="0" w:right="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开户银行：</w:t>
            </w:r>
          </w:p>
        </w:tc>
        <w:tc>
          <w:tcPr>
            <w:tcW w:w="4927" w:type="dxa"/>
          </w:tcPr>
          <w:p w14:paraId="706F1D24">
            <w:pPr>
              <w:keepNext w:val="0"/>
              <w:keepLines w:val="0"/>
              <w:suppressLineNumbers w:val="0"/>
              <w:snapToGrid w:val="0"/>
              <w:spacing w:before="0" w:beforeAutospacing="0" w:afterAutospacing="0" w:line="360" w:lineRule="exact"/>
              <w:ind w:left="0" w:right="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开户银行：</w:t>
            </w:r>
          </w:p>
        </w:tc>
      </w:tr>
      <w:tr w14:paraId="10EDB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4660" w:type="dxa"/>
          </w:tcPr>
          <w:p w14:paraId="135B397B">
            <w:pPr>
              <w:keepNext w:val="0"/>
              <w:keepLines w:val="0"/>
              <w:suppressLineNumbers w:val="0"/>
              <w:snapToGrid w:val="0"/>
              <w:spacing w:before="0" w:beforeAutospacing="0" w:afterAutospacing="0" w:line="360" w:lineRule="exact"/>
              <w:ind w:left="0" w:right="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账号：</w:t>
            </w:r>
          </w:p>
        </w:tc>
        <w:tc>
          <w:tcPr>
            <w:tcW w:w="4927" w:type="dxa"/>
          </w:tcPr>
          <w:p w14:paraId="382793F9">
            <w:pPr>
              <w:keepNext w:val="0"/>
              <w:keepLines w:val="0"/>
              <w:suppressLineNumbers w:val="0"/>
              <w:snapToGrid w:val="0"/>
              <w:spacing w:before="0" w:beforeAutospacing="0" w:afterAutospacing="0" w:line="360" w:lineRule="exact"/>
              <w:ind w:left="0" w:right="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账号：</w:t>
            </w:r>
          </w:p>
        </w:tc>
      </w:tr>
      <w:tr w14:paraId="73DE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4660" w:type="dxa"/>
          </w:tcPr>
          <w:p w14:paraId="20D3562B">
            <w:pPr>
              <w:keepNext w:val="0"/>
              <w:keepLines w:val="0"/>
              <w:suppressLineNumbers w:val="0"/>
              <w:snapToGrid w:val="0"/>
              <w:spacing w:before="0" w:beforeAutospacing="0" w:afterAutospacing="0" w:line="360" w:lineRule="exact"/>
              <w:ind w:left="0" w:right="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邮政编码：</w:t>
            </w:r>
          </w:p>
        </w:tc>
        <w:tc>
          <w:tcPr>
            <w:tcW w:w="4927" w:type="dxa"/>
          </w:tcPr>
          <w:p w14:paraId="6EAF057E">
            <w:pPr>
              <w:keepNext w:val="0"/>
              <w:keepLines w:val="0"/>
              <w:suppressLineNumbers w:val="0"/>
              <w:snapToGrid w:val="0"/>
              <w:spacing w:before="0" w:beforeAutospacing="0" w:afterAutospacing="0" w:line="360" w:lineRule="exact"/>
              <w:ind w:left="0" w:right="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邮政编码：</w:t>
            </w:r>
          </w:p>
        </w:tc>
      </w:tr>
      <w:tr w14:paraId="2F801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9587" w:type="dxa"/>
            <w:gridSpan w:val="2"/>
          </w:tcPr>
          <w:p w14:paraId="414B670B">
            <w:pPr>
              <w:keepNext w:val="0"/>
              <w:keepLines w:val="0"/>
              <w:suppressLineNumbers w:val="0"/>
              <w:snapToGrid w:val="0"/>
              <w:spacing w:before="0" w:beforeAutospacing="0" w:afterAutospacing="0" w:line="360" w:lineRule="exact"/>
              <w:ind w:left="0" w:right="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经办人：</w:t>
            </w:r>
          </w:p>
          <w:p w14:paraId="3F0078D8">
            <w:pPr>
              <w:keepNext w:val="0"/>
              <w:keepLines w:val="0"/>
              <w:suppressLineNumbers w:val="0"/>
              <w:snapToGrid w:val="0"/>
              <w:spacing w:before="0" w:beforeAutospacing="0" w:afterAutospacing="0" w:line="360" w:lineRule="exact"/>
              <w:ind w:left="0" w:right="0" w:firstLine="630" w:firstLineChars="300"/>
              <w:jc w:val="righ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年    月    日</w:t>
            </w:r>
          </w:p>
        </w:tc>
      </w:tr>
    </w:tbl>
    <w:p w14:paraId="58522F7A">
      <w:pPr>
        <w:pStyle w:val="3"/>
        <w:jc w:val="center"/>
        <w:rPr>
          <w:rFonts w:hint="eastAsia" w:ascii="Times New Roman" w:hAnsi="Times New Roman"/>
          <w:color w:val="auto"/>
          <w:highlight w:val="none"/>
          <w:lang w:eastAsia="zh-CN"/>
        </w:rPr>
      </w:pPr>
    </w:p>
    <w:p w14:paraId="63028AEA">
      <w:pPr>
        <w:pStyle w:val="3"/>
        <w:jc w:val="center"/>
        <w:rPr>
          <w:rFonts w:hint="eastAsia" w:ascii="Times New Roman" w:hAnsi="Times New Roman"/>
          <w:color w:val="auto"/>
          <w:highlight w:val="none"/>
          <w:lang w:eastAsia="zh-CN"/>
        </w:rPr>
      </w:pPr>
    </w:p>
    <w:p w14:paraId="1955C123">
      <w:pPr>
        <w:pStyle w:val="3"/>
        <w:jc w:val="center"/>
        <w:rPr>
          <w:rFonts w:hint="eastAsia" w:ascii="Times New Roman" w:hAnsi="Times New Roman"/>
          <w:color w:val="auto"/>
          <w:highlight w:val="none"/>
          <w:lang w:eastAsia="zh-CN"/>
        </w:rPr>
      </w:pPr>
    </w:p>
    <w:p w14:paraId="4E82E35F">
      <w:pPr>
        <w:rPr>
          <w:rFonts w:hint="eastAsia" w:ascii="Times New Roman" w:hAnsi="Times New Roman"/>
          <w:color w:val="auto"/>
          <w:highlight w:val="none"/>
          <w:lang w:eastAsia="zh-CN"/>
        </w:rPr>
      </w:pPr>
      <w:r>
        <w:rPr>
          <w:rFonts w:hint="eastAsia" w:ascii="Times New Roman" w:hAnsi="Times New Roman"/>
          <w:color w:val="auto"/>
          <w:highlight w:val="none"/>
          <w:lang w:eastAsia="zh-CN"/>
        </w:rPr>
        <w:br w:type="page"/>
      </w:r>
    </w:p>
    <w:p w14:paraId="543A8B99">
      <w:pPr>
        <w:pStyle w:val="3"/>
        <w:jc w:val="center"/>
        <w:rPr>
          <w:rFonts w:ascii="Times New Roman" w:hAnsi="Times New Roman"/>
          <w:color w:val="auto"/>
          <w:highlight w:val="none"/>
        </w:rPr>
      </w:pPr>
      <w:r>
        <w:rPr>
          <w:rFonts w:hint="eastAsia" w:ascii="Times New Roman" w:hAnsi="Times New Roman"/>
          <w:color w:val="auto"/>
          <w:highlight w:val="none"/>
          <w:lang w:eastAsia="zh-CN"/>
        </w:rPr>
        <w:t>第六章</w:t>
      </w:r>
      <w:r>
        <w:rPr>
          <w:rFonts w:hint="eastAsia" w:ascii="Times New Roman" w:hAnsi="Times New Roman"/>
          <w:color w:val="auto"/>
          <w:highlight w:val="none"/>
          <w:lang w:val="en-US" w:eastAsia="zh-CN"/>
        </w:rPr>
        <w:t xml:space="preserve">  投标</w:t>
      </w:r>
      <w:r>
        <w:rPr>
          <w:rFonts w:ascii="Times New Roman" w:hAnsi="Times New Roman"/>
          <w:color w:val="auto"/>
          <w:highlight w:val="none"/>
        </w:rPr>
        <w:t>文件格式</w:t>
      </w:r>
      <w:bookmarkEnd w:id="49"/>
    </w:p>
    <w:p w14:paraId="2B4D6E74">
      <w:pPr>
        <w:spacing w:line="240" w:lineRule="atLeast"/>
        <w:rPr>
          <w:b/>
          <w:color w:val="auto"/>
          <w:sz w:val="32"/>
          <w:szCs w:val="32"/>
          <w:highlight w:val="none"/>
        </w:rPr>
      </w:pPr>
    </w:p>
    <w:p w14:paraId="5F27AAD4">
      <w:pPr>
        <w:pStyle w:val="31"/>
        <w:ind w:firstLine="643"/>
        <w:rPr>
          <w:rFonts w:ascii="Times New Roman" w:eastAsia="宋体"/>
          <w:b/>
          <w:color w:val="auto"/>
          <w:szCs w:val="32"/>
          <w:highlight w:val="none"/>
        </w:rPr>
      </w:pPr>
    </w:p>
    <w:p w14:paraId="0BA1494B">
      <w:pPr>
        <w:pStyle w:val="31"/>
        <w:ind w:firstLine="643"/>
        <w:rPr>
          <w:rFonts w:ascii="Times New Roman" w:eastAsia="宋体"/>
          <w:b/>
          <w:color w:val="auto"/>
          <w:szCs w:val="32"/>
          <w:highlight w:val="none"/>
        </w:rPr>
      </w:pPr>
    </w:p>
    <w:p w14:paraId="3A9B1077">
      <w:pPr>
        <w:spacing w:line="240" w:lineRule="atLeast"/>
        <w:rPr>
          <w:bCs/>
          <w:color w:val="auto"/>
          <w:sz w:val="24"/>
          <w:highlight w:val="none"/>
        </w:rPr>
      </w:pPr>
      <w:r>
        <w:rPr>
          <w:bCs/>
          <w:color w:val="auto"/>
          <w:sz w:val="24"/>
          <w:highlight w:val="none"/>
        </w:rPr>
        <w:br w:type="page"/>
      </w:r>
    </w:p>
    <w:p w14:paraId="567423A9">
      <w:pPr>
        <w:spacing w:line="240" w:lineRule="atLeast"/>
        <w:rPr>
          <w:bCs/>
          <w:color w:val="auto"/>
          <w:sz w:val="24"/>
          <w:highlight w:val="none"/>
        </w:rPr>
      </w:pPr>
    </w:p>
    <w:p w14:paraId="358370C4">
      <w:pPr>
        <w:spacing w:line="240" w:lineRule="atLeast"/>
        <w:jc w:val="left"/>
        <w:outlineLvl w:val="1"/>
        <w:rPr>
          <w:bCs/>
          <w:color w:val="auto"/>
          <w:sz w:val="32"/>
          <w:szCs w:val="32"/>
          <w:highlight w:val="none"/>
        </w:rPr>
      </w:pPr>
      <w:r>
        <w:rPr>
          <w:b/>
          <w:bCs/>
          <w:color w:val="auto"/>
          <w:sz w:val="32"/>
          <w:szCs w:val="32"/>
          <w:highlight w:val="none"/>
        </w:rPr>
        <w:t>（</w:t>
      </w:r>
      <w:r>
        <w:rPr>
          <w:rFonts w:hint="eastAsia"/>
          <w:b/>
          <w:bCs/>
          <w:color w:val="auto"/>
          <w:sz w:val="32"/>
          <w:szCs w:val="32"/>
          <w:highlight w:val="none"/>
          <w:lang w:eastAsia="zh-CN"/>
        </w:rPr>
        <w:t>投标</w:t>
      </w:r>
      <w:r>
        <w:rPr>
          <w:b/>
          <w:bCs/>
          <w:color w:val="auto"/>
          <w:sz w:val="32"/>
          <w:szCs w:val="32"/>
          <w:highlight w:val="none"/>
        </w:rPr>
        <w:t>文件封面格式）</w:t>
      </w:r>
    </w:p>
    <w:p w14:paraId="4DDA9847">
      <w:pPr>
        <w:spacing w:line="240" w:lineRule="atLeast"/>
        <w:jc w:val="center"/>
        <w:rPr>
          <w:bCs/>
          <w:color w:val="auto"/>
          <w:sz w:val="24"/>
          <w:highlight w:val="none"/>
        </w:rPr>
      </w:pPr>
    </w:p>
    <w:p w14:paraId="74541C40">
      <w:pPr>
        <w:spacing w:line="240" w:lineRule="atLeast"/>
        <w:jc w:val="center"/>
        <w:rPr>
          <w:bCs/>
          <w:color w:val="auto"/>
          <w:sz w:val="24"/>
          <w:highlight w:val="none"/>
        </w:rPr>
      </w:pPr>
    </w:p>
    <w:p w14:paraId="13468783">
      <w:pPr>
        <w:spacing w:line="240" w:lineRule="atLeast"/>
        <w:jc w:val="center"/>
        <w:rPr>
          <w:bCs/>
          <w:color w:val="auto"/>
          <w:sz w:val="24"/>
          <w:highlight w:val="none"/>
        </w:rPr>
      </w:pPr>
    </w:p>
    <w:p w14:paraId="389DE944">
      <w:pPr>
        <w:pStyle w:val="31"/>
        <w:ind w:firstLine="880"/>
        <w:rPr>
          <w:rFonts w:ascii="Times New Roman" w:eastAsia="宋体"/>
          <w:bCs/>
          <w:color w:val="auto"/>
          <w:sz w:val="44"/>
          <w:szCs w:val="44"/>
          <w:highlight w:val="none"/>
        </w:rPr>
      </w:pPr>
    </w:p>
    <w:p w14:paraId="71228B64">
      <w:pPr>
        <w:pStyle w:val="7"/>
        <w:rPr>
          <w:color w:val="auto"/>
          <w:highlight w:val="none"/>
        </w:rPr>
      </w:pPr>
    </w:p>
    <w:p w14:paraId="68AB9981">
      <w:pPr>
        <w:pStyle w:val="31"/>
        <w:ind w:firstLine="880"/>
        <w:rPr>
          <w:rFonts w:ascii="Times New Roman" w:eastAsia="宋体"/>
          <w:bCs/>
          <w:color w:val="auto"/>
          <w:sz w:val="44"/>
          <w:szCs w:val="44"/>
          <w:highlight w:val="none"/>
        </w:rPr>
      </w:pPr>
    </w:p>
    <w:p w14:paraId="71AF04AD">
      <w:pPr>
        <w:spacing w:line="240" w:lineRule="atLeast"/>
        <w:jc w:val="center"/>
        <w:rPr>
          <w:bCs/>
          <w:color w:val="auto"/>
          <w:sz w:val="44"/>
          <w:szCs w:val="44"/>
          <w:highlight w:val="none"/>
        </w:rPr>
      </w:pPr>
    </w:p>
    <w:p w14:paraId="7524578C">
      <w:pPr>
        <w:spacing w:line="240" w:lineRule="atLeast"/>
        <w:jc w:val="center"/>
        <w:outlineLvl w:val="1"/>
        <w:rPr>
          <w:b/>
          <w:color w:val="auto"/>
          <w:sz w:val="84"/>
          <w:szCs w:val="84"/>
          <w:highlight w:val="none"/>
        </w:rPr>
      </w:pPr>
      <w:r>
        <w:rPr>
          <w:rFonts w:hint="eastAsia"/>
          <w:b/>
          <w:color w:val="auto"/>
          <w:sz w:val="84"/>
          <w:szCs w:val="84"/>
          <w:highlight w:val="none"/>
          <w:lang w:eastAsia="zh-CN"/>
        </w:rPr>
        <w:t>投标</w:t>
      </w:r>
      <w:r>
        <w:rPr>
          <w:b/>
          <w:color w:val="auto"/>
          <w:sz w:val="84"/>
          <w:szCs w:val="84"/>
          <w:highlight w:val="none"/>
        </w:rPr>
        <w:t>文件</w:t>
      </w:r>
    </w:p>
    <w:p w14:paraId="70B663BB">
      <w:pPr>
        <w:spacing w:line="360" w:lineRule="auto"/>
        <w:jc w:val="center"/>
        <w:rPr>
          <w:color w:val="auto"/>
          <w:szCs w:val="21"/>
          <w:highlight w:val="none"/>
        </w:rPr>
      </w:pPr>
    </w:p>
    <w:p w14:paraId="785FFA45">
      <w:pPr>
        <w:spacing w:line="360" w:lineRule="auto"/>
        <w:jc w:val="center"/>
        <w:rPr>
          <w:color w:val="auto"/>
          <w:szCs w:val="21"/>
          <w:highlight w:val="none"/>
        </w:rPr>
      </w:pPr>
    </w:p>
    <w:p w14:paraId="3F63BE50">
      <w:pPr>
        <w:spacing w:line="360" w:lineRule="auto"/>
        <w:jc w:val="center"/>
        <w:rPr>
          <w:color w:val="auto"/>
          <w:szCs w:val="21"/>
          <w:highlight w:val="none"/>
        </w:rPr>
      </w:pPr>
    </w:p>
    <w:p w14:paraId="782F65EC">
      <w:pPr>
        <w:pStyle w:val="31"/>
        <w:ind w:firstLine="640"/>
        <w:rPr>
          <w:color w:val="auto"/>
          <w:highlight w:val="none"/>
        </w:rPr>
      </w:pPr>
    </w:p>
    <w:p w14:paraId="53F2EB94">
      <w:pPr>
        <w:rPr>
          <w:color w:val="auto"/>
          <w:highlight w:val="none"/>
        </w:rPr>
      </w:pPr>
    </w:p>
    <w:p w14:paraId="57A58440">
      <w:pPr>
        <w:spacing w:line="360" w:lineRule="auto"/>
        <w:jc w:val="left"/>
        <w:rPr>
          <w:color w:val="auto"/>
          <w:sz w:val="32"/>
          <w:szCs w:val="32"/>
          <w:highlight w:val="none"/>
        </w:rPr>
      </w:pPr>
    </w:p>
    <w:p w14:paraId="36919F09">
      <w:pPr>
        <w:spacing w:line="360" w:lineRule="auto"/>
        <w:jc w:val="left"/>
        <w:rPr>
          <w:color w:val="auto"/>
          <w:sz w:val="32"/>
          <w:szCs w:val="32"/>
          <w:highlight w:val="none"/>
        </w:rPr>
      </w:pPr>
      <w:r>
        <w:rPr>
          <w:color w:val="auto"/>
          <w:sz w:val="32"/>
          <w:szCs w:val="32"/>
          <w:highlight w:val="none"/>
        </w:rPr>
        <w:t>项目编号：</w:t>
      </w:r>
    </w:p>
    <w:p w14:paraId="0CE9C0E5">
      <w:pPr>
        <w:spacing w:line="360" w:lineRule="auto"/>
        <w:ind w:firstLine="640" w:firstLineChars="200"/>
        <w:jc w:val="left"/>
        <w:rPr>
          <w:color w:val="auto"/>
          <w:sz w:val="32"/>
          <w:szCs w:val="32"/>
          <w:highlight w:val="none"/>
          <w:u w:val="single"/>
        </w:rPr>
      </w:pPr>
    </w:p>
    <w:p w14:paraId="71F90E2C">
      <w:pPr>
        <w:tabs>
          <w:tab w:val="left" w:pos="3240"/>
        </w:tabs>
        <w:spacing w:line="360" w:lineRule="auto"/>
        <w:jc w:val="left"/>
        <w:rPr>
          <w:color w:val="auto"/>
          <w:sz w:val="32"/>
          <w:szCs w:val="32"/>
          <w:highlight w:val="none"/>
        </w:rPr>
      </w:pPr>
      <w:r>
        <w:rPr>
          <w:color w:val="auto"/>
          <w:sz w:val="32"/>
          <w:szCs w:val="32"/>
          <w:highlight w:val="none"/>
        </w:rPr>
        <w:t>项目名称：</w:t>
      </w:r>
    </w:p>
    <w:p w14:paraId="2F390B09">
      <w:pPr>
        <w:spacing w:line="360" w:lineRule="auto"/>
        <w:ind w:firstLine="640" w:firstLineChars="200"/>
        <w:jc w:val="left"/>
        <w:rPr>
          <w:color w:val="auto"/>
          <w:sz w:val="32"/>
          <w:szCs w:val="32"/>
          <w:highlight w:val="none"/>
          <w:u w:val="single"/>
        </w:rPr>
      </w:pPr>
    </w:p>
    <w:p w14:paraId="1D71D083">
      <w:pPr>
        <w:spacing w:line="360" w:lineRule="auto"/>
        <w:jc w:val="left"/>
        <w:rPr>
          <w:color w:val="auto"/>
          <w:sz w:val="32"/>
          <w:szCs w:val="32"/>
          <w:highlight w:val="none"/>
          <w:u w:val="single"/>
        </w:rPr>
      </w:pPr>
      <w:r>
        <w:rPr>
          <w:rFonts w:hint="eastAsia"/>
          <w:color w:val="auto"/>
          <w:sz w:val="32"/>
          <w:szCs w:val="32"/>
          <w:highlight w:val="none"/>
          <w:lang w:eastAsia="zh-CN"/>
        </w:rPr>
        <w:t>投标人</w:t>
      </w:r>
      <w:r>
        <w:rPr>
          <w:color w:val="auto"/>
          <w:sz w:val="32"/>
          <w:szCs w:val="32"/>
          <w:highlight w:val="none"/>
        </w:rPr>
        <w:t>名称：</w:t>
      </w:r>
    </w:p>
    <w:p w14:paraId="725848B1">
      <w:pPr>
        <w:snapToGrid w:val="0"/>
        <w:spacing w:before="156" w:beforeLines="50" w:after="50"/>
        <w:rPr>
          <w:color w:val="auto"/>
          <w:sz w:val="32"/>
          <w:szCs w:val="32"/>
          <w:highlight w:val="none"/>
        </w:rPr>
      </w:pPr>
    </w:p>
    <w:p w14:paraId="71B23766">
      <w:pPr>
        <w:snapToGrid w:val="0"/>
        <w:spacing w:before="156" w:beforeLines="50" w:after="50"/>
        <w:rPr>
          <w:rFonts w:hint="eastAsia" w:eastAsia="宋体"/>
          <w:color w:val="auto"/>
          <w:sz w:val="32"/>
          <w:szCs w:val="32"/>
          <w:highlight w:val="none"/>
          <w:lang w:eastAsia="zh-CN"/>
        </w:rPr>
      </w:pPr>
      <w:r>
        <w:rPr>
          <w:rFonts w:hint="eastAsia"/>
          <w:color w:val="auto"/>
          <w:sz w:val="32"/>
          <w:szCs w:val="32"/>
          <w:highlight w:val="none"/>
          <w:lang w:eastAsia="zh-CN"/>
        </w:rPr>
        <w:t>投标人地址：</w:t>
      </w:r>
    </w:p>
    <w:p w14:paraId="72E388CF">
      <w:pPr>
        <w:snapToGrid w:val="0"/>
        <w:spacing w:before="156" w:beforeLines="50" w:after="50"/>
        <w:jc w:val="center"/>
        <w:rPr>
          <w:color w:val="auto"/>
          <w:sz w:val="32"/>
          <w:szCs w:val="32"/>
          <w:highlight w:val="none"/>
        </w:rPr>
      </w:pPr>
    </w:p>
    <w:p w14:paraId="47F64C83">
      <w:pPr>
        <w:snapToGrid w:val="0"/>
        <w:spacing w:before="156" w:beforeLines="50" w:after="50"/>
        <w:jc w:val="center"/>
        <w:rPr>
          <w:color w:val="auto"/>
          <w:sz w:val="32"/>
          <w:szCs w:val="32"/>
          <w:highlight w:val="none"/>
        </w:rPr>
      </w:pPr>
    </w:p>
    <w:p w14:paraId="59E7BBC5">
      <w:pPr>
        <w:snapToGrid w:val="0"/>
        <w:spacing w:before="156" w:beforeLines="50" w:after="50"/>
        <w:jc w:val="center"/>
        <w:rPr>
          <w:color w:val="auto"/>
          <w:sz w:val="32"/>
          <w:szCs w:val="32"/>
          <w:highlight w:val="none"/>
        </w:rPr>
      </w:pPr>
      <w:r>
        <w:rPr>
          <w:color w:val="auto"/>
          <w:sz w:val="32"/>
          <w:szCs w:val="32"/>
          <w:highlight w:val="none"/>
        </w:rPr>
        <w:t>年    月    日</w:t>
      </w:r>
    </w:p>
    <w:p w14:paraId="5C74DCEB">
      <w:pPr>
        <w:snapToGrid w:val="0"/>
        <w:spacing w:before="156" w:beforeLines="50" w:after="50"/>
        <w:jc w:val="center"/>
        <w:rPr>
          <w:color w:val="auto"/>
          <w:sz w:val="32"/>
          <w:szCs w:val="32"/>
          <w:highlight w:val="none"/>
        </w:rPr>
      </w:pPr>
      <w:r>
        <w:rPr>
          <w:color w:val="auto"/>
          <w:sz w:val="32"/>
          <w:szCs w:val="32"/>
          <w:highlight w:val="none"/>
        </w:rPr>
        <w:br w:type="page"/>
      </w:r>
      <w:bookmarkStart w:id="51" w:name="_Toc31723070"/>
      <w:bookmarkStart w:id="52" w:name="_Toc31728084"/>
      <w:bookmarkStart w:id="53" w:name="_Toc44229899"/>
      <w:bookmarkStart w:id="54" w:name="_Toc35611438"/>
      <w:bookmarkStart w:id="55" w:name="_Toc35611516"/>
    </w:p>
    <w:p w14:paraId="78D27B2C">
      <w:pPr>
        <w:snapToGrid w:val="0"/>
        <w:spacing w:before="156" w:beforeLines="50" w:after="50"/>
        <w:jc w:val="center"/>
        <w:outlineLvl w:val="1"/>
        <w:rPr>
          <w:b/>
          <w:bCs/>
          <w:color w:val="auto"/>
          <w:sz w:val="32"/>
          <w:szCs w:val="32"/>
          <w:highlight w:val="none"/>
        </w:rPr>
      </w:pPr>
    </w:p>
    <w:p w14:paraId="37AFB168">
      <w:pPr>
        <w:snapToGrid w:val="0"/>
        <w:spacing w:before="156" w:beforeLines="50" w:after="50"/>
        <w:jc w:val="center"/>
        <w:outlineLvl w:val="1"/>
        <w:rPr>
          <w:b/>
          <w:bCs/>
          <w:color w:val="auto"/>
          <w:sz w:val="32"/>
          <w:szCs w:val="32"/>
          <w:highlight w:val="none"/>
        </w:rPr>
      </w:pPr>
      <w:r>
        <w:rPr>
          <w:b/>
          <w:bCs/>
          <w:color w:val="auto"/>
          <w:sz w:val="32"/>
          <w:szCs w:val="32"/>
          <w:highlight w:val="none"/>
        </w:rPr>
        <w:t>一、资格证明文件格式</w:t>
      </w:r>
      <w:bookmarkEnd w:id="51"/>
      <w:bookmarkEnd w:id="52"/>
      <w:bookmarkEnd w:id="53"/>
      <w:bookmarkEnd w:id="54"/>
      <w:bookmarkEnd w:id="55"/>
    </w:p>
    <w:p w14:paraId="044BAB12">
      <w:pPr>
        <w:snapToGrid w:val="0"/>
        <w:spacing w:before="156" w:beforeLines="50" w:after="50" w:line="360" w:lineRule="auto"/>
        <w:jc w:val="left"/>
        <w:rPr>
          <w:b/>
          <w:color w:val="auto"/>
          <w:sz w:val="28"/>
          <w:szCs w:val="28"/>
          <w:highlight w:val="none"/>
        </w:rPr>
      </w:pPr>
    </w:p>
    <w:p w14:paraId="6CD7CCDA">
      <w:pPr>
        <w:snapToGrid w:val="0"/>
        <w:spacing w:before="156" w:beforeLines="50" w:after="50" w:line="360" w:lineRule="auto"/>
        <w:jc w:val="left"/>
        <w:rPr>
          <w:b/>
          <w:color w:val="auto"/>
          <w:sz w:val="28"/>
          <w:szCs w:val="28"/>
          <w:highlight w:val="none"/>
        </w:rPr>
      </w:pPr>
      <w:r>
        <w:rPr>
          <w:b/>
          <w:color w:val="auto"/>
          <w:sz w:val="28"/>
          <w:szCs w:val="28"/>
          <w:highlight w:val="none"/>
        </w:rPr>
        <w:t>1</w:t>
      </w:r>
      <w:r>
        <w:rPr>
          <w:b/>
          <w:bCs/>
          <w:color w:val="auto"/>
          <w:sz w:val="28"/>
          <w:szCs w:val="28"/>
          <w:highlight w:val="none"/>
        </w:rPr>
        <w:t>．</w:t>
      </w:r>
      <w:r>
        <w:rPr>
          <w:b/>
          <w:color w:val="auto"/>
          <w:sz w:val="28"/>
          <w:szCs w:val="28"/>
          <w:highlight w:val="none"/>
        </w:rPr>
        <w:t xml:space="preserve">资格证明文件封面格式 </w:t>
      </w:r>
    </w:p>
    <w:p w14:paraId="6B7A06CA">
      <w:pPr>
        <w:pStyle w:val="31"/>
        <w:ind w:firstLine="640"/>
        <w:rPr>
          <w:color w:val="auto"/>
          <w:highlight w:val="none"/>
        </w:rPr>
      </w:pPr>
    </w:p>
    <w:p w14:paraId="7DA7E168">
      <w:pPr>
        <w:snapToGrid w:val="0"/>
        <w:spacing w:before="156" w:beforeLines="50" w:after="50"/>
        <w:rPr>
          <w:color w:val="auto"/>
          <w:sz w:val="24"/>
          <w:highlight w:val="none"/>
        </w:rPr>
      </w:pPr>
      <w:r>
        <w:rPr>
          <w:color w:val="auto"/>
          <w:sz w:val="24"/>
          <w:highlight w:val="none"/>
        </w:rPr>
        <w:t xml:space="preserve">                                                 </w:t>
      </w:r>
      <w:r>
        <w:rPr>
          <w:rFonts w:hint="eastAsia"/>
          <w:color w:val="auto"/>
          <w:sz w:val="24"/>
          <w:highlight w:val="none"/>
        </w:rPr>
        <w:t xml:space="preserve">            </w:t>
      </w:r>
      <w:r>
        <w:rPr>
          <w:color w:val="auto"/>
          <w:sz w:val="24"/>
          <w:highlight w:val="none"/>
        </w:rPr>
        <w:t xml:space="preserve">  </w:t>
      </w:r>
    </w:p>
    <w:p w14:paraId="0CB43306">
      <w:pPr>
        <w:pStyle w:val="31"/>
        <w:ind w:firstLine="480"/>
        <w:rPr>
          <w:rFonts w:ascii="Times New Roman" w:eastAsia="宋体"/>
          <w:color w:val="auto"/>
          <w:sz w:val="24"/>
          <w:highlight w:val="none"/>
        </w:rPr>
      </w:pPr>
    </w:p>
    <w:p w14:paraId="621D4EBA">
      <w:pPr>
        <w:pStyle w:val="31"/>
        <w:ind w:firstLine="480"/>
        <w:rPr>
          <w:rFonts w:ascii="Times New Roman" w:eastAsia="宋体"/>
          <w:color w:val="auto"/>
          <w:sz w:val="24"/>
          <w:highlight w:val="none"/>
        </w:rPr>
      </w:pPr>
    </w:p>
    <w:p w14:paraId="0E6A9BED">
      <w:pPr>
        <w:pStyle w:val="31"/>
        <w:ind w:firstLine="480"/>
        <w:rPr>
          <w:rFonts w:ascii="Times New Roman" w:eastAsia="宋体"/>
          <w:color w:val="auto"/>
          <w:sz w:val="24"/>
          <w:highlight w:val="none"/>
        </w:rPr>
      </w:pPr>
    </w:p>
    <w:p w14:paraId="5ACF159D">
      <w:pPr>
        <w:snapToGrid w:val="0"/>
        <w:spacing w:before="156" w:beforeLines="50" w:after="50"/>
        <w:rPr>
          <w:color w:val="auto"/>
          <w:sz w:val="24"/>
          <w:szCs w:val="20"/>
          <w:highlight w:val="none"/>
        </w:rPr>
      </w:pPr>
    </w:p>
    <w:p w14:paraId="7D872EB7">
      <w:pPr>
        <w:snapToGrid w:val="0"/>
        <w:spacing w:before="156" w:beforeLines="50" w:after="50"/>
        <w:jc w:val="center"/>
        <w:rPr>
          <w:b/>
          <w:color w:val="auto"/>
          <w:sz w:val="48"/>
          <w:szCs w:val="48"/>
          <w:highlight w:val="none"/>
        </w:rPr>
      </w:pPr>
      <w:r>
        <w:rPr>
          <w:b/>
          <w:color w:val="auto"/>
          <w:sz w:val="48"/>
          <w:szCs w:val="48"/>
          <w:highlight w:val="none"/>
        </w:rPr>
        <w:t>资格证明文件</w:t>
      </w:r>
    </w:p>
    <w:p w14:paraId="3D9CF794">
      <w:pPr>
        <w:snapToGrid w:val="0"/>
        <w:spacing w:before="156" w:beforeLines="50" w:after="50"/>
        <w:rPr>
          <w:bCs/>
          <w:color w:val="auto"/>
          <w:sz w:val="24"/>
          <w:szCs w:val="20"/>
          <w:highlight w:val="none"/>
        </w:rPr>
      </w:pPr>
    </w:p>
    <w:p w14:paraId="57337F36">
      <w:pPr>
        <w:snapToGrid w:val="0"/>
        <w:spacing w:before="156" w:beforeLines="50" w:after="50"/>
        <w:rPr>
          <w:bCs/>
          <w:color w:val="auto"/>
          <w:sz w:val="24"/>
          <w:szCs w:val="20"/>
          <w:highlight w:val="none"/>
        </w:rPr>
      </w:pPr>
    </w:p>
    <w:p w14:paraId="091C7449">
      <w:pPr>
        <w:snapToGrid w:val="0"/>
        <w:spacing w:before="156" w:beforeLines="50" w:after="50"/>
        <w:rPr>
          <w:bCs/>
          <w:color w:val="auto"/>
          <w:sz w:val="24"/>
          <w:szCs w:val="20"/>
          <w:highlight w:val="none"/>
        </w:rPr>
      </w:pPr>
    </w:p>
    <w:p w14:paraId="24FE431C">
      <w:pPr>
        <w:snapToGrid w:val="0"/>
        <w:spacing w:before="156" w:beforeLines="50" w:after="50"/>
        <w:rPr>
          <w:bCs/>
          <w:color w:val="auto"/>
          <w:sz w:val="24"/>
          <w:szCs w:val="20"/>
          <w:highlight w:val="none"/>
        </w:rPr>
      </w:pPr>
    </w:p>
    <w:p w14:paraId="28BB1742">
      <w:pPr>
        <w:snapToGrid w:val="0"/>
        <w:spacing w:before="156" w:beforeLines="50" w:after="50"/>
        <w:rPr>
          <w:bCs/>
          <w:color w:val="auto"/>
          <w:sz w:val="24"/>
          <w:szCs w:val="20"/>
          <w:highlight w:val="none"/>
        </w:rPr>
      </w:pPr>
    </w:p>
    <w:p w14:paraId="464726A5">
      <w:pPr>
        <w:keepNext w:val="0"/>
        <w:keepLines w:val="0"/>
        <w:pageBreakBefore w:val="0"/>
        <w:widowControl w:val="0"/>
        <w:kinsoku/>
        <w:wordWrap/>
        <w:overflowPunct/>
        <w:topLinePunct w:val="0"/>
        <w:autoSpaceDE/>
        <w:autoSpaceDN/>
        <w:bidi w:val="0"/>
        <w:adjustRightInd/>
        <w:snapToGrid w:val="0"/>
        <w:spacing w:before="156" w:beforeLines="50" w:after="50" w:line="720" w:lineRule="auto"/>
        <w:ind w:firstLine="560" w:firstLineChars="200"/>
        <w:textAlignment w:val="auto"/>
        <w:rPr>
          <w:bCs/>
          <w:color w:val="auto"/>
          <w:sz w:val="28"/>
          <w:szCs w:val="28"/>
          <w:highlight w:val="none"/>
        </w:rPr>
      </w:pPr>
      <w:r>
        <w:rPr>
          <w:bCs/>
          <w:color w:val="auto"/>
          <w:sz w:val="28"/>
          <w:szCs w:val="28"/>
          <w:highlight w:val="none"/>
        </w:rPr>
        <w:t>项目名称：</w:t>
      </w:r>
    </w:p>
    <w:p w14:paraId="58DC7F56">
      <w:pPr>
        <w:keepNext w:val="0"/>
        <w:keepLines w:val="0"/>
        <w:pageBreakBefore w:val="0"/>
        <w:widowControl w:val="0"/>
        <w:kinsoku/>
        <w:wordWrap/>
        <w:overflowPunct/>
        <w:topLinePunct w:val="0"/>
        <w:autoSpaceDE/>
        <w:autoSpaceDN/>
        <w:bidi w:val="0"/>
        <w:adjustRightInd/>
        <w:snapToGrid w:val="0"/>
        <w:spacing w:before="156" w:beforeLines="50" w:after="50" w:line="720" w:lineRule="auto"/>
        <w:ind w:firstLine="560" w:firstLineChars="200"/>
        <w:textAlignment w:val="auto"/>
        <w:rPr>
          <w:bCs/>
          <w:color w:val="auto"/>
          <w:sz w:val="28"/>
          <w:szCs w:val="28"/>
          <w:highlight w:val="none"/>
        </w:rPr>
      </w:pPr>
      <w:r>
        <w:rPr>
          <w:bCs/>
          <w:color w:val="auto"/>
          <w:sz w:val="28"/>
          <w:szCs w:val="28"/>
          <w:highlight w:val="none"/>
        </w:rPr>
        <w:t>项目编号：</w:t>
      </w:r>
    </w:p>
    <w:p w14:paraId="51E4047B">
      <w:pPr>
        <w:keepNext w:val="0"/>
        <w:keepLines w:val="0"/>
        <w:pageBreakBefore w:val="0"/>
        <w:widowControl w:val="0"/>
        <w:kinsoku/>
        <w:wordWrap/>
        <w:overflowPunct/>
        <w:topLinePunct w:val="0"/>
        <w:autoSpaceDE/>
        <w:autoSpaceDN/>
        <w:bidi w:val="0"/>
        <w:adjustRightInd/>
        <w:snapToGrid w:val="0"/>
        <w:spacing w:before="156" w:beforeLines="50" w:after="50" w:line="720" w:lineRule="auto"/>
        <w:ind w:firstLine="560" w:firstLineChars="200"/>
        <w:textAlignment w:val="auto"/>
        <w:rPr>
          <w:bCs/>
          <w:color w:val="auto"/>
          <w:sz w:val="28"/>
          <w:szCs w:val="28"/>
          <w:highlight w:val="none"/>
        </w:rPr>
      </w:pPr>
      <w:r>
        <w:rPr>
          <w:rFonts w:hint="eastAsia"/>
          <w:bCs/>
          <w:color w:val="auto"/>
          <w:sz w:val="28"/>
          <w:szCs w:val="28"/>
          <w:highlight w:val="none"/>
          <w:lang w:eastAsia="zh-CN"/>
        </w:rPr>
        <w:t>投标人</w:t>
      </w:r>
      <w:r>
        <w:rPr>
          <w:bCs/>
          <w:color w:val="auto"/>
          <w:sz w:val="28"/>
          <w:szCs w:val="28"/>
          <w:highlight w:val="none"/>
        </w:rPr>
        <w:t>名称：</w:t>
      </w:r>
    </w:p>
    <w:p w14:paraId="4E70D112">
      <w:pPr>
        <w:keepNext w:val="0"/>
        <w:keepLines w:val="0"/>
        <w:pageBreakBefore w:val="0"/>
        <w:widowControl w:val="0"/>
        <w:kinsoku/>
        <w:wordWrap/>
        <w:overflowPunct/>
        <w:topLinePunct w:val="0"/>
        <w:autoSpaceDE/>
        <w:autoSpaceDN/>
        <w:bidi w:val="0"/>
        <w:adjustRightInd/>
        <w:snapToGrid w:val="0"/>
        <w:spacing w:before="156" w:beforeLines="50" w:after="50" w:line="720" w:lineRule="auto"/>
        <w:ind w:firstLine="560" w:firstLineChars="200"/>
        <w:textAlignment w:val="auto"/>
        <w:rPr>
          <w:rFonts w:hint="eastAsia" w:eastAsia="宋体"/>
          <w:bCs/>
          <w:color w:val="auto"/>
          <w:sz w:val="28"/>
          <w:szCs w:val="28"/>
          <w:highlight w:val="none"/>
          <w:lang w:eastAsia="zh-CN"/>
        </w:rPr>
      </w:pPr>
      <w:r>
        <w:rPr>
          <w:rFonts w:hint="eastAsia"/>
          <w:bCs/>
          <w:color w:val="auto"/>
          <w:sz w:val="28"/>
          <w:szCs w:val="28"/>
          <w:highlight w:val="none"/>
          <w:lang w:eastAsia="zh-CN"/>
        </w:rPr>
        <w:t>投标人地址：</w:t>
      </w:r>
    </w:p>
    <w:p w14:paraId="64EAEC75">
      <w:pPr>
        <w:pStyle w:val="7"/>
        <w:snapToGrid w:val="0"/>
        <w:spacing w:before="50" w:after="50"/>
        <w:ind w:firstLine="1280" w:firstLineChars="400"/>
        <w:rPr>
          <w:bCs/>
          <w:color w:val="auto"/>
          <w:sz w:val="32"/>
          <w:szCs w:val="32"/>
          <w:highlight w:val="none"/>
        </w:rPr>
      </w:pPr>
    </w:p>
    <w:p w14:paraId="72F0B577">
      <w:pPr>
        <w:snapToGrid w:val="0"/>
        <w:spacing w:before="156" w:beforeLines="50" w:after="50"/>
        <w:jc w:val="center"/>
        <w:rPr>
          <w:color w:val="auto"/>
          <w:sz w:val="32"/>
          <w:szCs w:val="32"/>
          <w:highlight w:val="none"/>
        </w:rPr>
      </w:pPr>
      <w:r>
        <w:rPr>
          <w:color w:val="auto"/>
          <w:sz w:val="32"/>
          <w:szCs w:val="32"/>
          <w:highlight w:val="none"/>
        </w:rPr>
        <w:t>年    月    日</w:t>
      </w:r>
    </w:p>
    <w:p w14:paraId="72038700">
      <w:pPr>
        <w:snapToGrid w:val="0"/>
        <w:spacing w:before="156" w:beforeLines="50" w:after="50" w:line="360" w:lineRule="auto"/>
        <w:ind w:left="142"/>
        <w:jc w:val="left"/>
        <w:rPr>
          <w:b/>
          <w:bCs/>
          <w:color w:val="auto"/>
          <w:sz w:val="28"/>
          <w:szCs w:val="28"/>
          <w:highlight w:val="none"/>
        </w:rPr>
      </w:pPr>
      <w:r>
        <w:rPr>
          <w:color w:val="auto"/>
          <w:sz w:val="24"/>
          <w:highlight w:val="none"/>
        </w:rPr>
        <w:br w:type="page"/>
      </w:r>
      <w:r>
        <w:rPr>
          <w:b/>
          <w:bCs/>
          <w:color w:val="auto"/>
          <w:sz w:val="28"/>
          <w:szCs w:val="28"/>
          <w:highlight w:val="none"/>
        </w:rPr>
        <w:t>2．资格证明文件目录</w:t>
      </w:r>
    </w:p>
    <w:p w14:paraId="63E75E77">
      <w:pPr>
        <w:snapToGrid w:val="0"/>
        <w:spacing w:before="156" w:beforeLines="50" w:after="50" w:line="360" w:lineRule="auto"/>
        <w:jc w:val="center"/>
        <w:rPr>
          <w:color w:val="auto"/>
          <w:sz w:val="28"/>
          <w:szCs w:val="28"/>
          <w:highlight w:val="none"/>
        </w:rPr>
      </w:pPr>
      <w:r>
        <w:rPr>
          <w:color w:val="auto"/>
          <w:sz w:val="28"/>
          <w:szCs w:val="28"/>
          <w:highlight w:val="none"/>
        </w:rPr>
        <w:t>根据</w:t>
      </w:r>
      <w:r>
        <w:rPr>
          <w:rFonts w:hint="eastAsia"/>
          <w:color w:val="auto"/>
          <w:sz w:val="28"/>
          <w:szCs w:val="28"/>
          <w:highlight w:val="none"/>
          <w:lang w:eastAsia="zh-CN"/>
        </w:rPr>
        <w:t>招标</w:t>
      </w:r>
      <w:r>
        <w:rPr>
          <w:color w:val="auto"/>
          <w:sz w:val="28"/>
          <w:szCs w:val="28"/>
          <w:highlight w:val="none"/>
        </w:rPr>
        <w:t>文件规定及</w:t>
      </w:r>
      <w:r>
        <w:rPr>
          <w:rFonts w:hint="eastAsia"/>
          <w:color w:val="auto"/>
          <w:sz w:val="28"/>
          <w:szCs w:val="28"/>
          <w:highlight w:val="none"/>
          <w:lang w:eastAsia="zh-CN"/>
        </w:rPr>
        <w:t>投标人</w:t>
      </w:r>
      <w:r>
        <w:rPr>
          <w:color w:val="auto"/>
          <w:sz w:val="28"/>
          <w:szCs w:val="28"/>
          <w:highlight w:val="none"/>
        </w:rPr>
        <w:t>提供的材料自行编写目录（部分格式后附）</w:t>
      </w:r>
    </w:p>
    <w:p w14:paraId="591AAEDB">
      <w:pPr>
        <w:snapToGrid w:val="0"/>
        <w:spacing w:before="156" w:beforeLines="50" w:after="50"/>
        <w:rPr>
          <w:color w:val="auto"/>
          <w:sz w:val="24"/>
          <w:szCs w:val="20"/>
          <w:highlight w:val="none"/>
        </w:rPr>
      </w:pPr>
      <w:r>
        <w:rPr>
          <w:color w:val="auto"/>
          <w:sz w:val="24"/>
          <w:szCs w:val="20"/>
          <w:highlight w:val="none"/>
        </w:rPr>
        <w:t xml:space="preserve"> </w:t>
      </w:r>
    </w:p>
    <w:p w14:paraId="6B1CC651">
      <w:pPr>
        <w:spacing w:line="300" w:lineRule="auto"/>
        <w:rPr>
          <w:color w:val="auto"/>
          <w:szCs w:val="21"/>
          <w:highlight w:val="none"/>
        </w:rPr>
      </w:pPr>
    </w:p>
    <w:p w14:paraId="3716BE45">
      <w:pPr>
        <w:spacing w:line="300" w:lineRule="auto"/>
        <w:rPr>
          <w:color w:val="auto"/>
          <w:szCs w:val="21"/>
          <w:highlight w:val="none"/>
        </w:rPr>
      </w:pPr>
    </w:p>
    <w:p w14:paraId="0F13A2F4">
      <w:pPr>
        <w:spacing w:line="300" w:lineRule="auto"/>
        <w:rPr>
          <w:color w:val="auto"/>
          <w:szCs w:val="21"/>
          <w:highlight w:val="none"/>
        </w:rPr>
      </w:pPr>
    </w:p>
    <w:p w14:paraId="495AA16A">
      <w:pPr>
        <w:spacing w:line="300" w:lineRule="auto"/>
        <w:rPr>
          <w:color w:val="auto"/>
          <w:szCs w:val="21"/>
          <w:highlight w:val="none"/>
        </w:rPr>
      </w:pPr>
    </w:p>
    <w:p w14:paraId="198293E7">
      <w:pPr>
        <w:spacing w:line="300" w:lineRule="auto"/>
        <w:rPr>
          <w:color w:val="auto"/>
          <w:szCs w:val="21"/>
          <w:highlight w:val="none"/>
        </w:rPr>
      </w:pPr>
    </w:p>
    <w:p w14:paraId="6DAC34D7">
      <w:pPr>
        <w:spacing w:line="300" w:lineRule="auto"/>
        <w:rPr>
          <w:color w:val="auto"/>
          <w:szCs w:val="21"/>
          <w:highlight w:val="none"/>
        </w:rPr>
      </w:pPr>
    </w:p>
    <w:p w14:paraId="3B0DD7AF">
      <w:pPr>
        <w:spacing w:line="300" w:lineRule="auto"/>
        <w:rPr>
          <w:color w:val="auto"/>
          <w:szCs w:val="21"/>
          <w:highlight w:val="none"/>
        </w:rPr>
      </w:pPr>
    </w:p>
    <w:p w14:paraId="2F8AFCD9">
      <w:pPr>
        <w:spacing w:line="300" w:lineRule="auto"/>
        <w:rPr>
          <w:color w:val="auto"/>
          <w:szCs w:val="21"/>
          <w:highlight w:val="none"/>
        </w:rPr>
      </w:pPr>
    </w:p>
    <w:p w14:paraId="318C1FC6">
      <w:pPr>
        <w:spacing w:line="300" w:lineRule="auto"/>
        <w:rPr>
          <w:color w:val="auto"/>
          <w:szCs w:val="21"/>
          <w:highlight w:val="none"/>
        </w:rPr>
      </w:pPr>
    </w:p>
    <w:p w14:paraId="65DF6C0B">
      <w:pPr>
        <w:spacing w:line="300" w:lineRule="auto"/>
        <w:rPr>
          <w:color w:val="auto"/>
          <w:szCs w:val="21"/>
          <w:highlight w:val="none"/>
        </w:rPr>
      </w:pPr>
    </w:p>
    <w:p w14:paraId="2F99229C">
      <w:pPr>
        <w:spacing w:line="300" w:lineRule="auto"/>
        <w:rPr>
          <w:color w:val="auto"/>
          <w:szCs w:val="21"/>
          <w:highlight w:val="none"/>
        </w:rPr>
      </w:pPr>
    </w:p>
    <w:p w14:paraId="1F0AFB72">
      <w:pPr>
        <w:spacing w:line="300" w:lineRule="auto"/>
        <w:rPr>
          <w:color w:val="auto"/>
          <w:szCs w:val="21"/>
          <w:highlight w:val="none"/>
        </w:rPr>
      </w:pPr>
    </w:p>
    <w:p w14:paraId="3DAB3E97">
      <w:pPr>
        <w:spacing w:line="300" w:lineRule="auto"/>
        <w:rPr>
          <w:color w:val="auto"/>
          <w:szCs w:val="21"/>
          <w:highlight w:val="none"/>
        </w:rPr>
      </w:pPr>
    </w:p>
    <w:p w14:paraId="582D136B">
      <w:pPr>
        <w:spacing w:line="300" w:lineRule="auto"/>
        <w:rPr>
          <w:color w:val="auto"/>
          <w:szCs w:val="21"/>
          <w:highlight w:val="none"/>
        </w:rPr>
      </w:pPr>
    </w:p>
    <w:p w14:paraId="6CABE7EF">
      <w:pPr>
        <w:spacing w:line="300" w:lineRule="auto"/>
        <w:rPr>
          <w:color w:val="auto"/>
          <w:szCs w:val="21"/>
          <w:highlight w:val="none"/>
        </w:rPr>
      </w:pPr>
    </w:p>
    <w:p w14:paraId="160857E4">
      <w:pPr>
        <w:spacing w:line="320" w:lineRule="exact"/>
        <w:jc w:val="left"/>
        <w:rPr>
          <w:rFonts w:ascii="宋体" w:hAnsi="宋体"/>
          <w:color w:val="auto"/>
          <w:szCs w:val="21"/>
          <w:highlight w:val="none"/>
        </w:rPr>
      </w:pPr>
      <w:r>
        <w:rPr>
          <w:color w:val="auto"/>
          <w:szCs w:val="21"/>
          <w:highlight w:val="none"/>
        </w:rPr>
        <w:br w:type="page"/>
      </w:r>
      <w:r>
        <w:rPr>
          <w:rFonts w:hint="eastAsia" w:ascii="宋体" w:hAnsi="宋体"/>
          <w:color w:val="auto"/>
          <w:szCs w:val="21"/>
          <w:highlight w:val="none"/>
        </w:rPr>
        <w:t xml:space="preserve"> </w:t>
      </w:r>
    </w:p>
    <w:p w14:paraId="4C5560C7">
      <w:pPr>
        <w:wordWrap w:val="0"/>
        <w:spacing w:before="156" w:beforeLines="50" w:after="50" w:line="320" w:lineRule="exact"/>
        <w:ind w:right="482" w:firstLine="280" w:firstLineChars="100"/>
        <w:contextualSpacing/>
        <w:jc w:val="center"/>
        <w:rPr>
          <w:color w:val="auto"/>
          <w:sz w:val="28"/>
          <w:szCs w:val="28"/>
          <w:highlight w:val="none"/>
        </w:rPr>
      </w:pPr>
    </w:p>
    <w:p w14:paraId="4F2A2E52">
      <w:pPr>
        <w:spacing w:line="320" w:lineRule="exact"/>
        <w:jc w:val="center"/>
        <w:outlineLvl w:val="2"/>
        <w:rPr>
          <w:b/>
          <w:color w:val="auto"/>
          <w:sz w:val="28"/>
          <w:szCs w:val="28"/>
          <w:highlight w:val="none"/>
        </w:rPr>
      </w:pPr>
      <w:r>
        <w:rPr>
          <w:rFonts w:hint="eastAsia"/>
          <w:b/>
          <w:color w:val="auto"/>
          <w:sz w:val="28"/>
          <w:szCs w:val="28"/>
          <w:highlight w:val="none"/>
          <w:lang w:eastAsia="zh-CN"/>
        </w:rPr>
        <w:t>投标人</w:t>
      </w:r>
      <w:r>
        <w:rPr>
          <w:b/>
          <w:color w:val="auto"/>
          <w:sz w:val="28"/>
          <w:szCs w:val="28"/>
          <w:highlight w:val="none"/>
        </w:rPr>
        <w:t>直接控股、管理关系信息表</w:t>
      </w:r>
    </w:p>
    <w:p w14:paraId="62C376A7">
      <w:pPr>
        <w:snapToGrid w:val="0"/>
        <w:spacing w:before="156" w:beforeLines="50" w:after="50" w:line="360" w:lineRule="auto"/>
        <w:jc w:val="center"/>
        <w:rPr>
          <w:b/>
          <w:color w:val="auto"/>
          <w:sz w:val="28"/>
          <w:szCs w:val="28"/>
          <w:highlight w:val="none"/>
        </w:rPr>
      </w:pPr>
    </w:p>
    <w:p w14:paraId="741642F4">
      <w:pPr>
        <w:spacing w:line="360" w:lineRule="auto"/>
        <w:contextualSpacing/>
        <w:jc w:val="center"/>
        <w:rPr>
          <w:b/>
          <w:color w:val="auto"/>
          <w:sz w:val="28"/>
          <w:szCs w:val="28"/>
          <w:highlight w:val="none"/>
        </w:rPr>
      </w:pPr>
      <w:r>
        <w:rPr>
          <w:rFonts w:hint="eastAsia"/>
          <w:b/>
          <w:color w:val="auto"/>
          <w:sz w:val="28"/>
          <w:szCs w:val="28"/>
          <w:highlight w:val="none"/>
          <w:lang w:eastAsia="zh-CN"/>
        </w:rPr>
        <w:t>投标人</w:t>
      </w:r>
      <w:r>
        <w:rPr>
          <w:b/>
          <w:color w:val="auto"/>
          <w:sz w:val="28"/>
          <w:szCs w:val="28"/>
          <w:highlight w:val="none"/>
        </w:rPr>
        <w:t>直接控股股东信息表</w:t>
      </w:r>
    </w:p>
    <w:tbl>
      <w:tblPr>
        <w:tblStyle w:val="32"/>
        <w:tblpPr w:leftFromText="180" w:rightFromText="180" w:vertAnchor="text" w:horzAnchor="page" w:tblpXSpec="center" w:tblpY="254"/>
        <w:tblOverlap w:val="never"/>
        <w:tblW w:w="9349" w:type="dxa"/>
        <w:jc w:val="center"/>
        <w:shd w:val="clear" w:color="auto" w:fill="FBFBFB"/>
        <w:tblLayout w:type="fixed"/>
        <w:tblCellMar>
          <w:top w:w="0" w:type="dxa"/>
          <w:left w:w="0" w:type="dxa"/>
          <w:bottom w:w="0" w:type="dxa"/>
          <w:right w:w="0" w:type="dxa"/>
        </w:tblCellMar>
      </w:tblPr>
      <w:tblGrid>
        <w:gridCol w:w="855"/>
        <w:gridCol w:w="2089"/>
        <w:gridCol w:w="1620"/>
        <w:gridCol w:w="3630"/>
        <w:gridCol w:w="1155"/>
      </w:tblGrid>
      <w:tr w14:paraId="32276B1C">
        <w:tblPrEx>
          <w:shd w:val="clear" w:color="auto" w:fill="FBFBFB"/>
          <w:tblCellMar>
            <w:top w:w="0" w:type="dxa"/>
            <w:left w:w="0" w:type="dxa"/>
            <w:bottom w:w="0" w:type="dxa"/>
            <w:right w:w="0" w:type="dxa"/>
          </w:tblCellMar>
        </w:tblPrEx>
        <w:trPr>
          <w:tblHeader/>
          <w:jc w:val="center"/>
        </w:trPr>
        <w:tc>
          <w:tcPr>
            <w:tcW w:w="8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EF12CB4">
            <w:pPr>
              <w:widowControl/>
              <w:spacing w:line="360" w:lineRule="exact"/>
              <w:contextualSpacing/>
              <w:jc w:val="center"/>
              <w:rPr>
                <w:b/>
                <w:bCs/>
                <w:color w:val="auto"/>
                <w:kern w:val="0"/>
                <w:szCs w:val="21"/>
                <w:highlight w:val="none"/>
              </w:rPr>
            </w:pPr>
            <w:r>
              <w:rPr>
                <w:b/>
                <w:bCs/>
                <w:color w:val="auto"/>
                <w:kern w:val="0"/>
                <w:szCs w:val="21"/>
                <w:highlight w:val="none"/>
              </w:rPr>
              <w:t>序号</w:t>
            </w:r>
          </w:p>
        </w:tc>
        <w:tc>
          <w:tcPr>
            <w:tcW w:w="20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E64535C">
            <w:pPr>
              <w:widowControl/>
              <w:spacing w:line="360" w:lineRule="exact"/>
              <w:contextualSpacing/>
              <w:jc w:val="center"/>
              <w:rPr>
                <w:b/>
                <w:bCs/>
                <w:color w:val="auto"/>
                <w:kern w:val="0"/>
                <w:szCs w:val="21"/>
                <w:highlight w:val="none"/>
              </w:rPr>
            </w:pPr>
            <w:r>
              <w:rPr>
                <w:b/>
                <w:bCs/>
                <w:color w:val="auto"/>
                <w:kern w:val="0"/>
                <w:szCs w:val="21"/>
                <w:highlight w:val="none"/>
              </w:rPr>
              <w:t>直接控股股东名称</w:t>
            </w:r>
          </w:p>
        </w:tc>
        <w:tc>
          <w:tcPr>
            <w:tcW w:w="162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1D5851B">
            <w:pPr>
              <w:widowControl/>
              <w:spacing w:line="360" w:lineRule="exact"/>
              <w:contextualSpacing/>
              <w:jc w:val="center"/>
              <w:rPr>
                <w:b/>
                <w:bCs/>
                <w:color w:val="auto"/>
                <w:kern w:val="0"/>
                <w:szCs w:val="21"/>
                <w:highlight w:val="none"/>
              </w:rPr>
            </w:pPr>
            <w:r>
              <w:rPr>
                <w:b/>
                <w:bCs/>
                <w:color w:val="auto"/>
                <w:kern w:val="0"/>
                <w:szCs w:val="21"/>
                <w:highlight w:val="none"/>
              </w:rPr>
              <w:t>出资比例</w:t>
            </w:r>
          </w:p>
        </w:tc>
        <w:tc>
          <w:tcPr>
            <w:tcW w:w="363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3BEF6B7">
            <w:pPr>
              <w:widowControl/>
              <w:spacing w:line="360" w:lineRule="exact"/>
              <w:contextualSpacing/>
              <w:jc w:val="center"/>
              <w:rPr>
                <w:b/>
                <w:bCs/>
                <w:color w:val="auto"/>
                <w:kern w:val="0"/>
                <w:szCs w:val="21"/>
                <w:highlight w:val="none"/>
              </w:rPr>
            </w:pPr>
            <w:r>
              <w:rPr>
                <w:b/>
                <w:bCs/>
                <w:color w:val="auto"/>
                <w:kern w:val="0"/>
                <w:szCs w:val="21"/>
                <w:highlight w:val="none"/>
              </w:rPr>
              <w:t>身份证号码或者统一社会信用代码</w:t>
            </w:r>
          </w:p>
        </w:tc>
        <w:tc>
          <w:tcPr>
            <w:tcW w:w="11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B53D0DD">
            <w:pPr>
              <w:widowControl/>
              <w:spacing w:line="360" w:lineRule="exact"/>
              <w:contextualSpacing/>
              <w:jc w:val="center"/>
              <w:rPr>
                <w:b/>
                <w:bCs/>
                <w:color w:val="auto"/>
                <w:kern w:val="0"/>
                <w:szCs w:val="21"/>
                <w:highlight w:val="none"/>
              </w:rPr>
            </w:pPr>
            <w:r>
              <w:rPr>
                <w:b/>
                <w:bCs/>
                <w:color w:val="auto"/>
                <w:kern w:val="0"/>
                <w:szCs w:val="21"/>
                <w:highlight w:val="none"/>
              </w:rPr>
              <w:t>备注</w:t>
            </w:r>
          </w:p>
        </w:tc>
      </w:tr>
      <w:tr w14:paraId="2E3102FF">
        <w:tblPrEx>
          <w:shd w:val="clear" w:color="auto" w:fill="FBFBFB"/>
          <w:tblCellMar>
            <w:top w:w="0" w:type="dxa"/>
            <w:left w:w="0" w:type="dxa"/>
            <w:bottom w:w="0" w:type="dxa"/>
            <w:right w:w="0" w:type="dxa"/>
          </w:tblCellMar>
        </w:tblPrEx>
        <w:trPr>
          <w:jc w:val="center"/>
        </w:trPr>
        <w:tc>
          <w:tcPr>
            <w:tcW w:w="8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6DEDCC2">
            <w:pPr>
              <w:widowControl/>
              <w:spacing w:line="360" w:lineRule="exact"/>
              <w:contextualSpacing/>
              <w:jc w:val="center"/>
              <w:rPr>
                <w:color w:val="auto"/>
                <w:kern w:val="0"/>
                <w:szCs w:val="21"/>
                <w:highlight w:val="none"/>
              </w:rPr>
            </w:pPr>
            <w:r>
              <w:rPr>
                <w:color w:val="auto"/>
                <w:kern w:val="0"/>
                <w:szCs w:val="21"/>
                <w:highlight w:val="none"/>
              </w:rPr>
              <w:t>1</w:t>
            </w:r>
          </w:p>
        </w:tc>
        <w:tc>
          <w:tcPr>
            <w:tcW w:w="20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994D4D8">
            <w:pPr>
              <w:widowControl/>
              <w:spacing w:line="360" w:lineRule="exact"/>
              <w:contextualSpacing/>
              <w:jc w:val="center"/>
              <w:rPr>
                <w:color w:val="auto"/>
                <w:kern w:val="0"/>
                <w:szCs w:val="21"/>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E64B22E">
            <w:pPr>
              <w:widowControl/>
              <w:spacing w:line="360" w:lineRule="exact"/>
              <w:contextualSpacing/>
              <w:jc w:val="center"/>
              <w:rPr>
                <w:color w:val="auto"/>
                <w:kern w:val="0"/>
                <w:szCs w:val="21"/>
                <w:highlight w:val="none"/>
              </w:rPr>
            </w:pPr>
          </w:p>
        </w:tc>
        <w:tc>
          <w:tcPr>
            <w:tcW w:w="363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A573447">
            <w:pPr>
              <w:widowControl/>
              <w:spacing w:line="360" w:lineRule="exact"/>
              <w:contextualSpacing/>
              <w:jc w:val="center"/>
              <w:rPr>
                <w:color w:val="auto"/>
                <w:kern w:val="0"/>
                <w:szCs w:val="21"/>
                <w:highlight w:val="none"/>
              </w:rPr>
            </w:pPr>
          </w:p>
        </w:tc>
        <w:tc>
          <w:tcPr>
            <w:tcW w:w="11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271227F">
            <w:pPr>
              <w:widowControl/>
              <w:spacing w:line="360" w:lineRule="exact"/>
              <w:contextualSpacing/>
              <w:jc w:val="center"/>
              <w:rPr>
                <w:color w:val="auto"/>
                <w:kern w:val="0"/>
                <w:szCs w:val="21"/>
                <w:highlight w:val="none"/>
              </w:rPr>
            </w:pPr>
          </w:p>
        </w:tc>
      </w:tr>
      <w:tr w14:paraId="5B48D3F2">
        <w:tblPrEx>
          <w:shd w:val="clear" w:color="auto" w:fill="FBFBFB"/>
          <w:tblCellMar>
            <w:top w:w="0" w:type="dxa"/>
            <w:left w:w="0" w:type="dxa"/>
            <w:bottom w:w="0" w:type="dxa"/>
            <w:right w:w="0" w:type="dxa"/>
          </w:tblCellMar>
        </w:tblPrEx>
        <w:trPr>
          <w:jc w:val="center"/>
        </w:trPr>
        <w:tc>
          <w:tcPr>
            <w:tcW w:w="8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44A8ED7">
            <w:pPr>
              <w:widowControl/>
              <w:spacing w:line="360" w:lineRule="exact"/>
              <w:contextualSpacing/>
              <w:jc w:val="center"/>
              <w:rPr>
                <w:color w:val="auto"/>
                <w:kern w:val="0"/>
                <w:szCs w:val="21"/>
                <w:highlight w:val="none"/>
              </w:rPr>
            </w:pPr>
            <w:r>
              <w:rPr>
                <w:color w:val="auto"/>
                <w:kern w:val="0"/>
                <w:szCs w:val="21"/>
                <w:highlight w:val="none"/>
              </w:rPr>
              <w:t>2</w:t>
            </w:r>
          </w:p>
        </w:tc>
        <w:tc>
          <w:tcPr>
            <w:tcW w:w="20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8C0259D">
            <w:pPr>
              <w:widowControl/>
              <w:spacing w:line="360" w:lineRule="exact"/>
              <w:contextualSpacing/>
              <w:jc w:val="center"/>
              <w:rPr>
                <w:color w:val="auto"/>
                <w:kern w:val="0"/>
                <w:szCs w:val="21"/>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CE66096">
            <w:pPr>
              <w:widowControl/>
              <w:spacing w:line="360" w:lineRule="exact"/>
              <w:contextualSpacing/>
              <w:jc w:val="center"/>
              <w:rPr>
                <w:color w:val="auto"/>
                <w:kern w:val="0"/>
                <w:szCs w:val="21"/>
                <w:highlight w:val="none"/>
              </w:rPr>
            </w:pPr>
          </w:p>
        </w:tc>
        <w:tc>
          <w:tcPr>
            <w:tcW w:w="363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ABE5DE1">
            <w:pPr>
              <w:widowControl/>
              <w:spacing w:line="360" w:lineRule="exact"/>
              <w:contextualSpacing/>
              <w:jc w:val="center"/>
              <w:rPr>
                <w:color w:val="auto"/>
                <w:kern w:val="0"/>
                <w:szCs w:val="21"/>
                <w:highlight w:val="none"/>
              </w:rPr>
            </w:pPr>
          </w:p>
        </w:tc>
        <w:tc>
          <w:tcPr>
            <w:tcW w:w="11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E50D21B">
            <w:pPr>
              <w:widowControl/>
              <w:spacing w:line="360" w:lineRule="exact"/>
              <w:contextualSpacing/>
              <w:jc w:val="center"/>
              <w:rPr>
                <w:color w:val="auto"/>
                <w:kern w:val="0"/>
                <w:szCs w:val="21"/>
                <w:highlight w:val="none"/>
              </w:rPr>
            </w:pPr>
          </w:p>
        </w:tc>
      </w:tr>
      <w:tr w14:paraId="51D2E956">
        <w:tblPrEx>
          <w:shd w:val="clear" w:color="auto" w:fill="FBFBFB"/>
          <w:tblCellMar>
            <w:top w:w="0" w:type="dxa"/>
            <w:left w:w="0" w:type="dxa"/>
            <w:bottom w:w="0" w:type="dxa"/>
            <w:right w:w="0" w:type="dxa"/>
          </w:tblCellMar>
        </w:tblPrEx>
        <w:trPr>
          <w:jc w:val="center"/>
        </w:trPr>
        <w:tc>
          <w:tcPr>
            <w:tcW w:w="8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0095F65">
            <w:pPr>
              <w:widowControl/>
              <w:spacing w:line="360" w:lineRule="exact"/>
              <w:contextualSpacing/>
              <w:jc w:val="center"/>
              <w:rPr>
                <w:color w:val="auto"/>
                <w:kern w:val="0"/>
                <w:szCs w:val="21"/>
                <w:highlight w:val="none"/>
              </w:rPr>
            </w:pPr>
            <w:r>
              <w:rPr>
                <w:color w:val="auto"/>
                <w:kern w:val="0"/>
                <w:szCs w:val="21"/>
                <w:highlight w:val="none"/>
              </w:rPr>
              <w:t>3</w:t>
            </w:r>
          </w:p>
        </w:tc>
        <w:tc>
          <w:tcPr>
            <w:tcW w:w="20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2D58D9">
            <w:pPr>
              <w:widowControl/>
              <w:spacing w:line="360" w:lineRule="exact"/>
              <w:contextualSpacing/>
              <w:jc w:val="center"/>
              <w:rPr>
                <w:color w:val="auto"/>
                <w:kern w:val="0"/>
                <w:szCs w:val="21"/>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B1CA8AD">
            <w:pPr>
              <w:widowControl/>
              <w:spacing w:line="360" w:lineRule="exact"/>
              <w:contextualSpacing/>
              <w:jc w:val="center"/>
              <w:rPr>
                <w:color w:val="auto"/>
                <w:kern w:val="0"/>
                <w:szCs w:val="21"/>
                <w:highlight w:val="none"/>
              </w:rPr>
            </w:pPr>
          </w:p>
        </w:tc>
        <w:tc>
          <w:tcPr>
            <w:tcW w:w="363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5B2130">
            <w:pPr>
              <w:widowControl/>
              <w:spacing w:line="360" w:lineRule="exact"/>
              <w:contextualSpacing/>
              <w:jc w:val="center"/>
              <w:rPr>
                <w:color w:val="auto"/>
                <w:kern w:val="0"/>
                <w:szCs w:val="21"/>
                <w:highlight w:val="none"/>
              </w:rPr>
            </w:pPr>
          </w:p>
        </w:tc>
        <w:tc>
          <w:tcPr>
            <w:tcW w:w="11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73DA80">
            <w:pPr>
              <w:widowControl/>
              <w:spacing w:line="360" w:lineRule="exact"/>
              <w:contextualSpacing/>
              <w:jc w:val="center"/>
              <w:rPr>
                <w:color w:val="auto"/>
                <w:kern w:val="0"/>
                <w:szCs w:val="21"/>
                <w:highlight w:val="none"/>
              </w:rPr>
            </w:pPr>
          </w:p>
        </w:tc>
      </w:tr>
      <w:tr w14:paraId="608C172C">
        <w:tblPrEx>
          <w:shd w:val="clear" w:color="auto" w:fill="FBFBFB"/>
          <w:tblCellMar>
            <w:top w:w="0" w:type="dxa"/>
            <w:left w:w="0" w:type="dxa"/>
            <w:bottom w:w="0" w:type="dxa"/>
            <w:right w:w="0" w:type="dxa"/>
          </w:tblCellMar>
        </w:tblPrEx>
        <w:trPr>
          <w:jc w:val="center"/>
        </w:trPr>
        <w:tc>
          <w:tcPr>
            <w:tcW w:w="8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914A9B">
            <w:pPr>
              <w:widowControl/>
              <w:spacing w:line="360" w:lineRule="exact"/>
              <w:contextualSpacing/>
              <w:jc w:val="center"/>
              <w:rPr>
                <w:color w:val="auto"/>
                <w:kern w:val="0"/>
                <w:szCs w:val="21"/>
                <w:highlight w:val="none"/>
              </w:rPr>
            </w:pPr>
            <w:r>
              <w:rPr>
                <w:color w:val="auto"/>
                <w:kern w:val="0"/>
                <w:szCs w:val="21"/>
                <w:highlight w:val="none"/>
              </w:rPr>
              <w:t>……</w:t>
            </w:r>
          </w:p>
        </w:tc>
        <w:tc>
          <w:tcPr>
            <w:tcW w:w="20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AFDBB84">
            <w:pPr>
              <w:widowControl/>
              <w:spacing w:line="360" w:lineRule="exact"/>
              <w:contextualSpacing/>
              <w:jc w:val="center"/>
              <w:rPr>
                <w:color w:val="auto"/>
                <w:kern w:val="0"/>
                <w:szCs w:val="21"/>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2EC8386">
            <w:pPr>
              <w:widowControl/>
              <w:spacing w:line="360" w:lineRule="exact"/>
              <w:contextualSpacing/>
              <w:jc w:val="center"/>
              <w:rPr>
                <w:color w:val="auto"/>
                <w:kern w:val="0"/>
                <w:szCs w:val="21"/>
                <w:highlight w:val="none"/>
              </w:rPr>
            </w:pPr>
          </w:p>
        </w:tc>
        <w:tc>
          <w:tcPr>
            <w:tcW w:w="363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1026907">
            <w:pPr>
              <w:widowControl/>
              <w:spacing w:line="360" w:lineRule="exact"/>
              <w:contextualSpacing/>
              <w:jc w:val="center"/>
              <w:rPr>
                <w:color w:val="auto"/>
                <w:kern w:val="0"/>
                <w:szCs w:val="21"/>
                <w:highlight w:val="none"/>
              </w:rPr>
            </w:pPr>
          </w:p>
        </w:tc>
        <w:tc>
          <w:tcPr>
            <w:tcW w:w="11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97B3B6F">
            <w:pPr>
              <w:widowControl/>
              <w:spacing w:line="360" w:lineRule="exact"/>
              <w:contextualSpacing/>
              <w:jc w:val="center"/>
              <w:rPr>
                <w:color w:val="auto"/>
                <w:kern w:val="0"/>
                <w:szCs w:val="21"/>
                <w:highlight w:val="none"/>
              </w:rPr>
            </w:pPr>
          </w:p>
        </w:tc>
      </w:tr>
    </w:tbl>
    <w:p w14:paraId="7E3965D9">
      <w:pPr>
        <w:spacing w:line="360" w:lineRule="auto"/>
        <w:contextualSpacing/>
        <w:jc w:val="center"/>
        <w:rPr>
          <w:b/>
          <w:color w:val="auto"/>
          <w:sz w:val="24"/>
          <w:highlight w:val="none"/>
        </w:rPr>
      </w:pPr>
    </w:p>
    <w:p w14:paraId="5013A2D5">
      <w:pPr>
        <w:spacing w:line="360" w:lineRule="auto"/>
        <w:contextualSpacing/>
        <w:jc w:val="left"/>
        <w:rPr>
          <w:color w:val="auto"/>
          <w:szCs w:val="21"/>
          <w:highlight w:val="none"/>
        </w:rPr>
      </w:pPr>
    </w:p>
    <w:p w14:paraId="0BE5007E">
      <w:pPr>
        <w:spacing w:line="360" w:lineRule="auto"/>
        <w:contextualSpacing/>
        <w:jc w:val="left"/>
        <w:rPr>
          <w:color w:val="auto"/>
          <w:szCs w:val="21"/>
          <w:highlight w:val="none"/>
        </w:rPr>
      </w:pPr>
      <w:r>
        <w:rPr>
          <w:color w:val="auto"/>
          <w:szCs w:val="21"/>
          <w:highlight w:val="none"/>
        </w:rPr>
        <w:t>注：</w:t>
      </w:r>
    </w:p>
    <w:p w14:paraId="5D1CCE13">
      <w:pPr>
        <w:spacing w:line="360" w:lineRule="auto"/>
        <w:ind w:firstLine="420" w:firstLineChars="200"/>
        <w:contextualSpacing/>
        <w:jc w:val="left"/>
        <w:rPr>
          <w:color w:val="auto"/>
          <w:szCs w:val="21"/>
          <w:highlight w:val="none"/>
        </w:rPr>
      </w:pPr>
      <w:r>
        <w:rPr>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7173825">
      <w:pPr>
        <w:spacing w:line="360" w:lineRule="auto"/>
        <w:ind w:firstLine="420" w:firstLineChars="200"/>
        <w:contextualSpacing/>
        <w:jc w:val="left"/>
        <w:rPr>
          <w:color w:val="auto"/>
          <w:szCs w:val="21"/>
          <w:highlight w:val="none"/>
        </w:rPr>
      </w:pPr>
      <w:r>
        <w:rPr>
          <w:color w:val="auto"/>
          <w:szCs w:val="21"/>
          <w:highlight w:val="none"/>
        </w:rPr>
        <w:t>2．本表所指的控股关系仅限于直接控股关系，不包括间接的控股关系。公司实际控制人与公司之间的关系不属于本表所指的直接控股关系。</w:t>
      </w:r>
    </w:p>
    <w:p w14:paraId="245509A8">
      <w:pPr>
        <w:spacing w:line="360" w:lineRule="auto"/>
        <w:ind w:firstLine="420" w:firstLineChars="200"/>
        <w:contextualSpacing/>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r>
        <w:rPr>
          <w:rFonts w:hint="default" w:ascii="Times New Roman" w:hAnsi="Times New Roman" w:cs="Times New Roman"/>
          <w:color w:val="auto"/>
          <w:sz w:val="21"/>
          <w:szCs w:val="21"/>
          <w:highlight w:val="none"/>
          <w:lang w:eastAsia="zh-CN"/>
        </w:rPr>
        <w:t>投标人</w:t>
      </w:r>
      <w:r>
        <w:rPr>
          <w:rFonts w:hint="default" w:ascii="Times New Roman" w:hAnsi="Times New Roman" w:cs="Times New Roman"/>
          <w:color w:val="auto"/>
          <w:sz w:val="21"/>
          <w:szCs w:val="21"/>
          <w:highlight w:val="none"/>
        </w:rPr>
        <w:t>不存在直接控股股东的，则</w:t>
      </w:r>
      <w:r>
        <w:rPr>
          <w:rFonts w:hint="default" w:ascii="Times New Roman" w:hAnsi="Times New Roman" w:cs="Times New Roman"/>
          <w:color w:val="auto"/>
          <w:sz w:val="21"/>
          <w:szCs w:val="21"/>
          <w:highlight w:val="none"/>
          <w:lang w:eastAsia="zh-CN"/>
        </w:rPr>
        <w:t>在</w:t>
      </w:r>
      <w:r>
        <w:rPr>
          <w:rFonts w:hint="default" w:ascii="Times New Roman" w:hAnsi="Times New Roman" w:cs="Times New Roman"/>
          <w:color w:val="auto"/>
          <w:sz w:val="21"/>
          <w:szCs w:val="21"/>
          <w:highlight w:val="none"/>
        </w:rPr>
        <w:t>“</w:t>
      </w:r>
      <w:r>
        <w:rPr>
          <w:rFonts w:hint="default" w:ascii="Times New Roman" w:hAnsi="Times New Roman" w:cs="Times New Roman"/>
          <w:b/>
          <w:bCs/>
          <w:color w:val="auto"/>
          <w:kern w:val="0"/>
          <w:sz w:val="21"/>
          <w:szCs w:val="21"/>
          <w:highlight w:val="none"/>
        </w:rPr>
        <w:t>直接控股股东名称</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eastAsia="zh-CN"/>
        </w:rPr>
        <w:t>中</w:t>
      </w:r>
      <w:r>
        <w:rPr>
          <w:rFonts w:hint="default" w:ascii="Times New Roman" w:hAnsi="Times New Roman" w:cs="Times New Roman"/>
          <w:color w:val="auto"/>
          <w:sz w:val="21"/>
          <w:szCs w:val="21"/>
          <w:highlight w:val="none"/>
        </w:rPr>
        <w:t>填“无”。</w:t>
      </w:r>
    </w:p>
    <w:p w14:paraId="54473316">
      <w:pPr>
        <w:snapToGrid w:val="0"/>
        <w:spacing w:line="360" w:lineRule="auto"/>
        <w:jc w:val="left"/>
        <w:rPr>
          <w:rFonts w:ascii="宋体" w:hAnsi="宋体" w:cs="宋体"/>
          <w:color w:val="auto"/>
          <w:sz w:val="24"/>
          <w:highlight w:val="none"/>
        </w:rPr>
      </w:pPr>
    </w:p>
    <w:p w14:paraId="323249AE">
      <w:pPr>
        <w:snapToGrid w:val="0"/>
        <w:spacing w:line="360" w:lineRule="auto"/>
        <w:jc w:val="left"/>
        <w:rPr>
          <w:rFonts w:ascii="宋体" w:hAnsi="宋体" w:cs="宋体"/>
          <w:color w:val="auto"/>
          <w:sz w:val="24"/>
          <w:highlight w:val="none"/>
        </w:rPr>
      </w:pPr>
    </w:p>
    <w:p w14:paraId="20CA593C">
      <w:pPr>
        <w:snapToGrid w:val="0"/>
        <w:spacing w:line="360" w:lineRule="auto"/>
        <w:jc w:val="left"/>
        <w:rPr>
          <w:rFonts w:ascii="宋体" w:hAnsi="宋体" w:cs="宋体"/>
          <w:color w:val="auto"/>
          <w:sz w:val="24"/>
          <w:highlight w:val="none"/>
        </w:rPr>
      </w:pPr>
    </w:p>
    <w:p w14:paraId="2D985AEC">
      <w:pPr>
        <w:snapToGrid w:val="0"/>
        <w:spacing w:before="156" w:beforeLines="50" w:line="360" w:lineRule="auto"/>
        <w:ind w:right="480" w:firstLine="2940" w:firstLineChars="1400"/>
        <w:rPr>
          <w:rFonts w:ascii="宋体" w:hAnsi="宋体" w:cs="宋体"/>
          <w:color w:val="auto"/>
          <w:szCs w:val="21"/>
          <w:highlight w:val="none"/>
          <w:u w:val="single"/>
        </w:rPr>
      </w:pPr>
      <w:r>
        <w:rPr>
          <w:rFonts w:hint="eastAsia" w:ascii="宋体" w:hAnsi="宋体" w:cs="宋体"/>
          <w:color w:val="auto"/>
          <w:szCs w:val="21"/>
          <w:highlight w:val="none"/>
        </w:rPr>
        <w:t>法定代表人或者委托代理人（</w:t>
      </w:r>
      <w:r>
        <w:rPr>
          <w:color w:val="auto"/>
          <w:szCs w:val="21"/>
          <w:highlight w:val="none"/>
        </w:rPr>
        <w:t>签字或电子签名</w:t>
      </w:r>
      <w:r>
        <w:rPr>
          <w:rFonts w:hint="eastAsia"/>
          <w:color w:val="auto"/>
          <w:szCs w:val="21"/>
          <w:highlight w:val="none"/>
        </w:rPr>
        <w:t>）</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7E7737BD">
      <w:pPr>
        <w:snapToGrid w:val="0"/>
        <w:spacing w:before="156" w:beforeLines="50" w:after="50" w:line="360" w:lineRule="auto"/>
        <w:ind w:right="480" w:firstLine="3045" w:firstLineChars="1450"/>
        <w:rPr>
          <w:rFonts w:ascii="宋体" w:hAnsi="宋体" w:cs="宋体"/>
          <w:color w:val="auto"/>
          <w:szCs w:val="21"/>
          <w:highlight w:val="none"/>
          <w:u w:val="singl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w:t>
      </w:r>
      <w:r>
        <w:rPr>
          <w:color w:val="auto"/>
          <w:szCs w:val="21"/>
          <w:highlight w:val="none"/>
        </w:rPr>
        <w:t>电子</w:t>
      </w:r>
      <w:r>
        <w:rPr>
          <w:rFonts w:hint="eastAsia"/>
          <w:color w:val="auto"/>
          <w:szCs w:val="21"/>
          <w:highlight w:val="none"/>
          <w:lang w:eastAsia="zh-CN"/>
        </w:rPr>
        <w:t>签</w:t>
      </w:r>
      <w:r>
        <w:rPr>
          <w:color w:val="auto"/>
          <w:szCs w:val="21"/>
          <w:highlight w:val="none"/>
        </w:rPr>
        <w:t>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77DC6251">
      <w:pPr>
        <w:snapToGrid w:val="0"/>
        <w:spacing w:before="156" w:beforeLines="50" w:after="50" w:line="360" w:lineRule="auto"/>
        <w:ind w:right="480" w:firstLine="5040" w:firstLineChars="2400"/>
        <w:rPr>
          <w:rFonts w:ascii="宋体" w:hAnsi="宋体" w:cs="宋体"/>
          <w:color w:val="auto"/>
          <w:szCs w:val="21"/>
          <w:highlight w:val="none"/>
        </w:rPr>
      </w:pPr>
      <w:r>
        <w:rPr>
          <w:rFonts w:hint="eastAsia" w:ascii="宋体" w:hAnsi="宋体" w:cs="宋体"/>
          <w:color w:val="auto"/>
          <w:szCs w:val="21"/>
          <w:highlight w:val="none"/>
        </w:rPr>
        <w:t>年     月     日</w:t>
      </w:r>
    </w:p>
    <w:p w14:paraId="693E29A7">
      <w:pPr>
        <w:snapToGrid w:val="0"/>
        <w:jc w:val="center"/>
        <w:rPr>
          <w:rFonts w:ascii="宋体" w:hAnsi="宋体"/>
          <w:b/>
          <w:color w:val="auto"/>
          <w:sz w:val="28"/>
          <w:szCs w:val="28"/>
          <w:highlight w:val="none"/>
        </w:rPr>
      </w:pPr>
      <w:r>
        <w:rPr>
          <w:rFonts w:ascii="宋体" w:hAnsi="宋体"/>
          <w:b/>
          <w:color w:val="auto"/>
          <w:sz w:val="28"/>
          <w:szCs w:val="28"/>
          <w:highlight w:val="none"/>
        </w:rPr>
        <w:br w:type="page"/>
      </w:r>
    </w:p>
    <w:p w14:paraId="7E0A5F5A">
      <w:pPr>
        <w:spacing w:line="320" w:lineRule="exact"/>
        <w:jc w:val="center"/>
        <w:outlineLvl w:val="2"/>
        <w:rPr>
          <w:rFonts w:ascii="宋体" w:hAnsi="宋体"/>
          <w:b/>
          <w:color w:val="auto"/>
          <w:sz w:val="28"/>
          <w:szCs w:val="28"/>
          <w:highlight w:val="none"/>
        </w:rPr>
      </w:pPr>
    </w:p>
    <w:p w14:paraId="7B6AD790">
      <w:pPr>
        <w:spacing w:line="320" w:lineRule="exact"/>
        <w:jc w:val="center"/>
        <w:outlineLvl w:val="2"/>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lang w:eastAsia="zh-CN"/>
        </w:rPr>
        <w:t>投标人</w:t>
      </w:r>
      <w:r>
        <w:rPr>
          <w:rFonts w:hint="default" w:ascii="Times New Roman" w:hAnsi="Times New Roman" w:cs="Times New Roman"/>
          <w:b/>
          <w:color w:val="auto"/>
          <w:sz w:val="28"/>
          <w:szCs w:val="28"/>
          <w:highlight w:val="none"/>
        </w:rPr>
        <w:t>直接管理关系信息表</w:t>
      </w:r>
    </w:p>
    <w:p w14:paraId="71D5E178">
      <w:pPr>
        <w:snapToGrid w:val="0"/>
        <w:spacing w:line="360" w:lineRule="auto"/>
        <w:jc w:val="center"/>
        <w:rPr>
          <w:rFonts w:hint="default" w:ascii="Times New Roman" w:hAnsi="Times New Roman" w:cs="Times New Roman"/>
          <w:b/>
          <w:color w:val="auto"/>
          <w:sz w:val="24"/>
          <w:highlight w:val="none"/>
        </w:rPr>
      </w:pPr>
    </w:p>
    <w:tbl>
      <w:tblPr>
        <w:tblStyle w:val="32"/>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E788CA2">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100F2E4">
            <w:pPr>
              <w:widowControl/>
              <w:spacing w:line="360" w:lineRule="auto"/>
              <w:contextualSpacing/>
              <w:jc w:val="center"/>
              <w:rPr>
                <w:rFonts w:hint="default" w:ascii="Times New Roman" w:hAnsi="Times New Roman" w:cs="Times New Roman"/>
                <w:b/>
                <w:bCs/>
                <w:color w:val="auto"/>
                <w:kern w:val="0"/>
                <w:szCs w:val="21"/>
                <w:highlight w:val="none"/>
              </w:rPr>
            </w:pPr>
            <w:r>
              <w:rPr>
                <w:rFonts w:hint="default" w:ascii="Times New Roman" w:hAnsi="Times New Roman" w:cs="Times New Roman"/>
                <w:b/>
                <w:bCs/>
                <w:color w:val="auto"/>
                <w:kern w:val="0"/>
                <w:szCs w:val="21"/>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7ABD6C1">
            <w:pPr>
              <w:widowControl/>
              <w:spacing w:line="360" w:lineRule="auto"/>
              <w:contextualSpacing/>
              <w:jc w:val="center"/>
              <w:rPr>
                <w:rFonts w:hint="default" w:ascii="Times New Roman" w:hAnsi="Times New Roman" w:cs="Times New Roman"/>
                <w:b/>
                <w:bCs/>
                <w:color w:val="auto"/>
                <w:kern w:val="0"/>
                <w:szCs w:val="21"/>
                <w:highlight w:val="none"/>
              </w:rPr>
            </w:pPr>
            <w:r>
              <w:rPr>
                <w:rFonts w:hint="default" w:ascii="Times New Roman" w:hAnsi="Times New Roman" w:cs="Times New Roman"/>
                <w:b/>
                <w:bCs/>
                <w:color w:val="auto"/>
                <w:kern w:val="0"/>
                <w:szCs w:val="21"/>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B2F76FA">
            <w:pPr>
              <w:widowControl/>
              <w:spacing w:line="360" w:lineRule="auto"/>
              <w:contextualSpacing/>
              <w:jc w:val="center"/>
              <w:rPr>
                <w:rFonts w:hint="default" w:ascii="Times New Roman" w:hAnsi="Times New Roman" w:cs="Times New Roman"/>
                <w:b/>
                <w:bCs/>
                <w:color w:val="auto"/>
                <w:kern w:val="0"/>
                <w:szCs w:val="21"/>
                <w:highlight w:val="none"/>
              </w:rPr>
            </w:pPr>
            <w:r>
              <w:rPr>
                <w:rFonts w:hint="default" w:ascii="Times New Roman" w:hAnsi="Times New Roman" w:cs="Times New Roman"/>
                <w:b/>
                <w:bCs/>
                <w:color w:val="auto"/>
                <w:kern w:val="0"/>
                <w:szCs w:val="21"/>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6FC9A4B">
            <w:pPr>
              <w:widowControl/>
              <w:spacing w:line="360" w:lineRule="auto"/>
              <w:contextualSpacing/>
              <w:jc w:val="center"/>
              <w:rPr>
                <w:rFonts w:hint="default" w:ascii="Times New Roman" w:hAnsi="Times New Roman" w:cs="Times New Roman"/>
                <w:b/>
                <w:bCs/>
                <w:color w:val="auto"/>
                <w:kern w:val="0"/>
                <w:szCs w:val="21"/>
                <w:highlight w:val="none"/>
              </w:rPr>
            </w:pPr>
            <w:r>
              <w:rPr>
                <w:rFonts w:hint="default" w:ascii="Times New Roman" w:hAnsi="Times New Roman" w:cs="Times New Roman"/>
                <w:b/>
                <w:bCs/>
                <w:color w:val="auto"/>
                <w:kern w:val="0"/>
                <w:szCs w:val="21"/>
                <w:highlight w:val="none"/>
              </w:rPr>
              <w:t>备注</w:t>
            </w:r>
          </w:p>
        </w:tc>
      </w:tr>
      <w:tr w14:paraId="3DEBF36A">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948FBA6">
            <w:pPr>
              <w:widowControl/>
              <w:spacing w:line="360" w:lineRule="auto"/>
              <w:contextualSpacing/>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37DDD4A">
            <w:pPr>
              <w:widowControl/>
              <w:spacing w:line="360" w:lineRule="auto"/>
              <w:contextualSpacing/>
              <w:jc w:val="center"/>
              <w:rPr>
                <w:rFonts w:hint="default" w:ascii="Times New Roman" w:hAnsi="Times New Roman" w:cs="Times New Roman"/>
                <w:color w:val="auto"/>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9D207F3">
            <w:pPr>
              <w:widowControl/>
              <w:spacing w:line="360" w:lineRule="auto"/>
              <w:contextualSpacing/>
              <w:jc w:val="center"/>
              <w:rPr>
                <w:rFonts w:hint="default" w:ascii="Times New Roman" w:hAnsi="Times New Roman" w:cs="Times New Roman"/>
                <w:color w:val="auto"/>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38C177D">
            <w:pPr>
              <w:widowControl/>
              <w:spacing w:line="360" w:lineRule="auto"/>
              <w:contextualSpacing/>
              <w:jc w:val="center"/>
              <w:rPr>
                <w:rFonts w:hint="default" w:ascii="Times New Roman" w:hAnsi="Times New Roman" w:cs="Times New Roman"/>
                <w:color w:val="auto"/>
                <w:kern w:val="0"/>
                <w:szCs w:val="21"/>
                <w:highlight w:val="none"/>
              </w:rPr>
            </w:pPr>
          </w:p>
        </w:tc>
      </w:tr>
      <w:tr w14:paraId="3D75F545">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0560D19">
            <w:pPr>
              <w:widowControl/>
              <w:spacing w:line="360" w:lineRule="auto"/>
              <w:contextualSpacing/>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DF96D8">
            <w:pPr>
              <w:widowControl/>
              <w:spacing w:line="360" w:lineRule="auto"/>
              <w:contextualSpacing/>
              <w:jc w:val="center"/>
              <w:rPr>
                <w:rFonts w:hint="default" w:ascii="Times New Roman" w:hAnsi="Times New Roman" w:cs="Times New Roman"/>
                <w:color w:val="auto"/>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8EC1EBA">
            <w:pPr>
              <w:widowControl/>
              <w:spacing w:line="360" w:lineRule="auto"/>
              <w:contextualSpacing/>
              <w:jc w:val="center"/>
              <w:rPr>
                <w:rFonts w:hint="default" w:ascii="Times New Roman" w:hAnsi="Times New Roman" w:cs="Times New Roman"/>
                <w:color w:val="auto"/>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083E2C7">
            <w:pPr>
              <w:widowControl/>
              <w:spacing w:line="360" w:lineRule="auto"/>
              <w:contextualSpacing/>
              <w:jc w:val="center"/>
              <w:rPr>
                <w:rFonts w:hint="default" w:ascii="Times New Roman" w:hAnsi="Times New Roman" w:cs="Times New Roman"/>
                <w:color w:val="auto"/>
                <w:kern w:val="0"/>
                <w:szCs w:val="21"/>
                <w:highlight w:val="none"/>
              </w:rPr>
            </w:pPr>
          </w:p>
        </w:tc>
      </w:tr>
      <w:tr w14:paraId="5275E46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56000C5">
            <w:pPr>
              <w:widowControl/>
              <w:spacing w:line="360" w:lineRule="auto"/>
              <w:contextualSpacing/>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2FBDA1">
            <w:pPr>
              <w:widowControl/>
              <w:spacing w:line="360" w:lineRule="auto"/>
              <w:contextualSpacing/>
              <w:jc w:val="center"/>
              <w:rPr>
                <w:rFonts w:hint="default" w:ascii="Times New Roman" w:hAnsi="Times New Roman" w:cs="Times New Roman"/>
                <w:color w:val="auto"/>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D12FA06">
            <w:pPr>
              <w:widowControl/>
              <w:spacing w:line="360" w:lineRule="auto"/>
              <w:contextualSpacing/>
              <w:jc w:val="center"/>
              <w:rPr>
                <w:rFonts w:hint="default" w:ascii="Times New Roman" w:hAnsi="Times New Roman" w:cs="Times New Roman"/>
                <w:color w:val="auto"/>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50430C">
            <w:pPr>
              <w:widowControl/>
              <w:spacing w:line="360" w:lineRule="auto"/>
              <w:contextualSpacing/>
              <w:jc w:val="center"/>
              <w:rPr>
                <w:rFonts w:hint="default" w:ascii="Times New Roman" w:hAnsi="Times New Roman" w:cs="Times New Roman"/>
                <w:color w:val="auto"/>
                <w:kern w:val="0"/>
                <w:szCs w:val="21"/>
                <w:highlight w:val="none"/>
              </w:rPr>
            </w:pPr>
          </w:p>
        </w:tc>
      </w:tr>
      <w:tr w14:paraId="6A1A7DA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9BEB0F">
            <w:pPr>
              <w:widowControl/>
              <w:spacing w:line="360" w:lineRule="auto"/>
              <w:contextualSpacing/>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C5923BF">
            <w:pPr>
              <w:widowControl/>
              <w:spacing w:line="360" w:lineRule="auto"/>
              <w:contextualSpacing/>
              <w:jc w:val="center"/>
              <w:rPr>
                <w:rFonts w:hint="default" w:ascii="Times New Roman" w:hAnsi="Times New Roman" w:cs="Times New Roman"/>
                <w:color w:val="auto"/>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86E0BF2">
            <w:pPr>
              <w:widowControl/>
              <w:spacing w:line="360" w:lineRule="auto"/>
              <w:contextualSpacing/>
              <w:jc w:val="center"/>
              <w:rPr>
                <w:rFonts w:hint="default" w:ascii="Times New Roman" w:hAnsi="Times New Roman" w:cs="Times New Roman"/>
                <w:color w:val="auto"/>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F2038C5">
            <w:pPr>
              <w:widowControl/>
              <w:spacing w:line="360" w:lineRule="auto"/>
              <w:contextualSpacing/>
              <w:jc w:val="center"/>
              <w:rPr>
                <w:rFonts w:hint="default" w:ascii="Times New Roman" w:hAnsi="Times New Roman" w:cs="Times New Roman"/>
                <w:color w:val="auto"/>
                <w:kern w:val="0"/>
                <w:szCs w:val="21"/>
                <w:highlight w:val="none"/>
              </w:rPr>
            </w:pPr>
          </w:p>
        </w:tc>
      </w:tr>
    </w:tbl>
    <w:p w14:paraId="32AD588A">
      <w:pPr>
        <w:spacing w:line="360" w:lineRule="auto"/>
        <w:contextualSpacing/>
        <w:jc w:val="left"/>
        <w:rPr>
          <w:rFonts w:hint="default" w:ascii="Times New Roman" w:hAnsi="Times New Roman" w:cs="Times New Roman"/>
          <w:color w:val="auto"/>
          <w:szCs w:val="21"/>
          <w:highlight w:val="none"/>
        </w:rPr>
      </w:pPr>
    </w:p>
    <w:p w14:paraId="65560E16">
      <w:pPr>
        <w:spacing w:line="360" w:lineRule="auto"/>
        <w:contextualSpacing/>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w:t>
      </w:r>
    </w:p>
    <w:p w14:paraId="79452A68">
      <w:pPr>
        <w:spacing w:line="360" w:lineRule="auto"/>
        <w:ind w:firstLine="420" w:firstLineChars="200"/>
        <w:contextualSpacing/>
        <w:jc w:val="left"/>
        <w:rPr>
          <w:color w:val="auto"/>
          <w:szCs w:val="21"/>
          <w:highlight w:val="none"/>
        </w:rPr>
      </w:pPr>
      <w:r>
        <w:rPr>
          <w:rFonts w:hint="default" w:ascii="Times New Roman" w:hAnsi="Times New Roman" w:cs="Times New Roman"/>
          <w:color w:val="auto"/>
          <w:szCs w:val="21"/>
          <w:highlight w:val="none"/>
        </w:rPr>
        <w:t>1．管理关系：是指不具有出资持股关系的其他单位之间存在的管理与被管理关系，如一些上下级关</w:t>
      </w:r>
      <w:r>
        <w:rPr>
          <w:rFonts w:hint="eastAsia"/>
          <w:color w:val="auto"/>
          <w:szCs w:val="21"/>
          <w:highlight w:val="none"/>
        </w:rPr>
        <w:t>系的事业单位和团体组织。</w:t>
      </w:r>
    </w:p>
    <w:p w14:paraId="472246F4">
      <w:pPr>
        <w:spacing w:line="360" w:lineRule="auto"/>
        <w:ind w:firstLine="420" w:firstLineChars="200"/>
        <w:contextualSpacing/>
        <w:jc w:val="left"/>
        <w:rPr>
          <w:color w:val="auto"/>
          <w:szCs w:val="21"/>
          <w:highlight w:val="none"/>
        </w:rPr>
      </w:pPr>
      <w:r>
        <w:rPr>
          <w:rFonts w:hint="eastAsia"/>
          <w:color w:val="auto"/>
          <w:szCs w:val="21"/>
          <w:highlight w:val="none"/>
        </w:rPr>
        <w:t>2</w:t>
      </w:r>
      <w:r>
        <w:rPr>
          <w:color w:val="auto"/>
          <w:szCs w:val="21"/>
          <w:highlight w:val="none"/>
        </w:rPr>
        <w:t>．</w:t>
      </w:r>
      <w:r>
        <w:rPr>
          <w:rFonts w:hint="eastAsia"/>
          <w:color w:val="auto"/>
          <w:szCs w:val="21"/>
          <w:highlight w:val="none"/>
        </w:rPr>
        <w:t>本表所指的管理关系仅限于直接管理关系，不包括间接的管理关系。</w:t>
      </w:r>
    </w:p>
    <w:p w14:paraId="3A2F7DF7">
      <w:pPr>
        <w:spacing w:line="360" w:lineRule="auto"/>
        <w:ind w:firstLine="420" w:firstLineChars="200"/>
        <w:contextualSpacing/>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r>
        <w:rPr>
          <w:rFonts w:hint="default" w:ascii="Times New Roman" w:hAnsi="Times New Roman" w:cs="Times New Roman"/>
          <w:color w:val="auto"/>
          <w:szCs w:val="21"/>
          <w:highlight w:val="none"/>
          <w:lang w:eastAsia="zh-CN"/>
        </w:rPr>
        <w:t>投标人</w:t>
      </w:r>
      <w:r>
        <w:rPr>
          <w:rFonts w:hint="default" w:ascii="Times New Roman" w:hAnsi="Times New Roman" w:cs="Times New Roman"/>
          <w:color w:val="auto"/>
          <w:szCs w:val="21"/>
          <w:highlight w:val="none"/>
        </w:rPr>
        <w:t>不存在直接管理关系的，则</w:t>
      </w:r>
      <w:r>
        <w:rPr>
          <w:rFonts w:hint="default" w:ascii="Times New Roman" w:hAnsi="Times New Roman" w:cs="Times New Roman"/>
          <w:color w:val="auto"/>
          <w:szCs w:val="21"/>
          <w:highlight w:val="none"/>
          <w:lang w:eastAsia="zh-CN"/>
        </w:rPr>
        <w:t>在</w:t>
      </w:r>
      <w:r>
        <w:rPr>
          <w:rFonts w:hint="default" w:ascii="Times New Roman" w:hAnsi="Times New Roman" w:cs="Times New Roman"/>
          <w:color w:val="auto"/>
          <w:sz w:val="21"/>
          <w:szCs w:val="21"/>
          <w:highlight w:val="none"/>
        </w:rPr>
        <w:t>“</w:t>
      </w:r>
      <w:r>
        <w:rPr>
          <w:rFonts w:hint="default" w:ascii="Times New Roman" w:hAnsi="Times New Roman" w:cs="Times New Roman"/>
          <w:b/>
          <w:bCs/>
          <w:color w:val="auto"/>
          <w:kern w:val="0"/>
          <w:szCs w:val="21"/>
          <w:highlight w:val="none"/>
        </w:rPr>
        <w:t>直接管理关系单位名称</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eastAsia="zh-CN"/>
        </w:rPr>
        <w:t>中</w:t>
      </w:r>
      <w:r>
        <w:rPr>
          <w:rFonts w:hint="default" w:ascii="Times New Roman" w:hAnsi="Times New Roman" w:cs="Times New Roman"/>
          <w:color w:val="auto"/>
          <w:sz w:val="21"/>
          <w:szCs w:val="21"/>
          <w:highlight w:val="none"/>
        </w:rPr>
        <w:t>填“无”</w:t>
      </w:r>
      <w:r>
        <w:rPr>
          <w:rFonts w:hint="default" w:ascii="Times New Roman" w:hAnsi="Times New Roman" w:cs="Times New Roman"/>
          <w:color w:val="auto"/>
          <w:szCs w:val="21"/>
          <w:highlight w:val="none"/>
        </w:rPr>
        <w:t>。</w:t>
      </w:r>
    </w:p>
    <w:p w14:paraId="22E2FDC4">
      <w:pPr>
        <w:spacing w:line="360" w:lineRule="auto"/>
        <w:contextualSpacing/>
        <w:jc w:val="left"/>
        <w:rPr>
          <w:rFonts w:ascii="宋体" w:hAnsi="宋体"/>
          <w:color w:val="auto"/>
          <w:sz w:val="24"/>
          <w:highlight w:val="none"/>
        </w:rPr>
      </w:pPr>
    </w:p>
    <w:p w14:paraId="4FB99A60">
      <w:pPr>
        <w:spacing w:line="360" w:lineRule="auto"/>
        <w:contextualSpacing/>
        <w:jc w:val="left"/>
        <w:rPr>
          <w:rFonts w:ascii="宋体" w:hAnsi="宋体"/>
          <w:color w:val="auto"/>
          <w:sz w:val="24"/>
          <w:highlight w:val="none"/>
        </w:rPr>
      </w:pPr>
    </w:p>
    <w:p w14:paraId="2CA9F239">
      <w:pPr>
        <w:spacing w:line="360" w:lineRule="auto"/>
        <w:contextualSpacing/>
        <w:jc w:val="left"/>
        <w:rPr>
          <w:color w:val="auto"/>
          <w:sz w:val="24"/>
          <w:highlight w:val="none"/>
        </w:rPr>
      </w:pPr>
    </w:p>
    <w:p w14:paraId="6C787AEC">
      <w:pPr>
        <w:snapToGrid w:val="0"/>
        <w:spacing w:before="156" w:beforeLines="50" w:line="360" w:lineRule="auto"/>
        <w:ind w:right="480" w:firstLine="2940" w:firstLineChars="1400"/>
        <w:rPr>
          <w:rFonts w:ascii="宋体" w:hAnsi="宋体" w:cs="宋体"/>
          <w:color w:val="auto"/>
          <w:szCs w:val="21"/>
          <w:highlight w:val="none"/>
          <w:u w:val="single"/>
        </w:rPr>
      </w:pPr>
      <w:r>
        <w:rPr>
          <w:rFonts w:hint="eastAsia" w:ascii="宋体" w:hAnsi="宋体" w:cs="宋体"/>
          <w:color w:val="auto"/>
          <w:szCs w:val="21"/>
          <w:highlight w:val="none"/>
        </w:rPr>
        <w:t>法定代表人或者委托代理人（</w:t>
      </w:r>
      <w:r>
        <w:rPr>
          <w:color w:val="auto"/>
          <w:szCs w:val="21"/>
          <w:highlight w:val="none"/>
        </w:rPr>
        <w:t>签字或电子签名</w:t>
      </w:r>
      <w:r>
        <w:rPr>
          <w:rFonts w:hint="eastAsia"/>
          <w:color w:val="auto"/>
          <w:szCs w:val="21"/>
          <w:highlight w:val="none"/>
        </w:rPr>
        <w:t>）</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50C07E1B">
      <w:pPr>
        <w:snapToGrid w:val="0"/>
        <w:spacing w:before="156" w:beforeLines="50" w:after="50" w:line="360" w:lineRule="auto"/>
        <w:ind w:right="480" w:firstLine="3255" w:firstLineChars="1550"/>
        <w:rPr>
          <w:rFonts w:ascii="宋体" w:hAnsi="宋体" w:cs="宋体"/>
          <w:color w:val="auto"/>
          <w:szCs w:val="21"/>
          <w:highlight w:val="none"/>
          <w:u w:val="singl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w:t>
      </w:r>
      <w:r>
        <w:rPr>
          <w:color w:val="auto"/>
          <w:szCs w:val="21"/>
          <w:highlight w:val="none"/>
        </w:rPr>
        <w:t>电子</w:t>
      </w:r>
      <w:r>
        <w:rPr>
          <w:rFonts w:hint="eastAsia"/>
          <w:color w:val="auto"/>
          <w:szCs w:val="21"/>
          <w:highlight w:val="none"/>
          <w:lang w:eastAsia="zh-CN"/>
        </w:rPr>
        <w:t>签</w:t>
      </w:r>
      <w:r>
        <w:rPr>
          <w:color w:val="auto"/>
          <w:szCs w:val="21"/>
          <w:highlight w:val="none"/>
        </w:rPr>
        <w:t>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16BEF190">
      <w:pPr>
        <w:snapToGrid w:val="0"/>
        <w:spacing w:before="156" w:beforeLines="50" w:after="50" w:line="360" w:lineRule="auto"/>
        <w:ind w:right="480" w:firstLine="5040" w:firstLineChars="2400"/>
        <w:rPr>
          <w:rFonts w:ascii="宋体" w:hAnsi="宋体" w:cs="宋体"/>
          <w:color w:val="auto"/>
          <w:szCs w:val="21"/>
          <w:highlight w:val="none"/>
        </w:rPr>
      </w:pPr>
      <w:r>
        <w:rPr>
          <w:rFonts w:hint="eastAsia" w:ascii="宋体" w:hAnsi="宋体" w:cs="宋体"/>
          <w:color w:val="auto"/>
          <w:szCs w:val="21"/>
          <w:highlight w:val="none"/>
        </w:rPr>
        <w:t>年     月     日</w:t>
      </w:r>
    </w:p>
    <w:p w14:paraId="1D4F750D">
      <w:pPr>
        <w:spacing w:line="360" w:lineRule="auto"/>
        <w:contextualSpacing/>
        <w:jc w:val="left"/>
        <w:rPr>
          <w:color w:val="auto"/>
          <w:sz w:val="24"/>
          <w:highlight w:val="none"/>
        </w:rPr>
      </w:pPr>
    </w:p>
    <w:p w14:paraId="47771DA1">
      <w:pPr>
        <w:spacing w:line="360" w:lineRule="auto"/>
        <w:contextualSpacing/>
        <w:jc w:val="left"/>
        <w:rPr>
          <w:color w:val="auto"/>
          <w:sz w:val="24"/>
          <w:highlight w:val="none"/>
        </w:rPr>
      </w:pPr>
    </w:p>
    <w:p w14:paraId="63B0F2E8">
      <w:pPr>
        <w:spacing w:line="360" w:lineRule="auto"/>
        <w:contextualSpacing/>
        <w:jc w:val="left"/>
        <w:rPr>
          <w:rFonts w:ascii="宋体" w:hAnsi="宋体"/>
          <w:color w:val="auto"/>
          <w:sz w:val="24"/>
          <w:highlight w:val="none"/>
        </w:rPr>
      </w:pPr>
    </w:p>
    <w:p w14:paraId="63E89760">
      <w:pPr>
        <w:keepNext w:val="0"/>
        <w:keepLines w:val="0"/>
        <w:pageBreakBefore w:val="0"/>
        <w:widowControl w:val="0"/>
        <w:kinsoku/>
        <w:wordWrap/>
        <w:overflowPunct/>
        <w:topLinePunct w:val="0"/>
        <w:autoSpaceDE/>
        <w:autoSpaceDN/>
        <w:bidi w:val="0"/>
        <w:adjustRightInd/>
        <w:snapToGrid/>
        <w:spacing w:before="469" w:beforeLines="150" w:after="469" w:afterLines="150" w:line="320" w:lineRule="exact"/>
        <w:jc w:val="center"/>
        <w:textAlignment w:val="auto"/>
        <w:outlineLvl w:val="2"/>
        <w:rPr>
          <w:rFonts w:hint="eastAsia" w:ascii="宋体" w:hAnsi="宋体" w:eastAsia="宋体"/>
          <w:b/>
          <w:color w:val="auto"/>
          <w:sz w:val="30"/>
          <w:szCs w:val="30"/>
          <w:highlight w:val="none"/>
          <w:lang w:eastAsia="zh-CN"/>
        </w:rPr>
      </w:pPr>
      <w:r>
        <w:rPr>
          <w:rFonts w:hint="eastAsia" w:ascii="宋体" w:hAnsi="宋体"/>
          <w:b/>
          <w:color w:val="auto"/>
          <w:sz w:val="32"/>
          <w:szCs w:val="32"/>
          <w:highlight w:val="none"/>
        </w:rPr>
        <w:br w:type="page"/>
      </w:r>
      <w:r>
        <w:rPr>
          <w:rFonts w:hint="eastAsia" w:ascii="宋体" w:hAnsi="宋体"/>
          <w:b/>
          <w:color w:val="auto"/>
          <w:sz w:val="30"/>
          <w:szCs w:val="30"/>
          <w:highlight w:val="none"/>
          <w:lang w:eastAsia="zh-CN"/>
        </w:rPr>
        <w:t>投标声明</w:t>
      </w:r>
    </w:p>
    <w:p w14:paraId="267F6A82">
      <w:pPr>
        <w:pStyle w:val="16"/>
        <w:tabs>
          <w:tab w:val="left" w:pos="939"/>
        </w:tabs>
        <w:spacing w:line="360" w:lineRule="auto"/>
        <w:ind w:left="0" w:leftChars="0" w:firstLine="0" w:firstLineChars="0"/>
        <w:rPr>
          <w:rFonts w:hint="eastAsia"/>
          <w:b/>
          <w:bCs/>
          <w:color w:val="auto"/>
          <w:szCs w:val="21"/>
          <w:highlight w:val="none"/>
        </w:rPr>
      </w:pPr>
      <w:r>
        <w:rPr>
          <w:rFonts w:hint="eastAsia"/>
          <w:b/>
          <w:bCs/>
          <w:color w:val="auto"/>
          <w:szCs w:val="21"/>
          <w:highlight w:val="none"/>
          <w:u w:val="single"/>
          <w:lang w:eastAsia="zh-CN"/>
        </w:rPr>
        <w:t>（</w:t>
      </w:r>
      <w:r>
        <w:rPr>
          <w:rFonts w:hint="eastAsia"/>
          <w:b/>
          <w:bCs/>
          <w:color w:val="auto"/>
          <w:szCs w:val="21"/>
          <w:highlight w:val="none"/>
          <w:u w:val="single"/>
        </w:rPr>
        <w:t>采购人名称</w:t>
      </w:r>
      <w:r>
        <w:rPr>
          <w:rFonts w:hint="eastAsia"/>
          <w:b/>
          <w:bCs/>
          <w:color w:val="auto"/>
          <w:szCs w:val="21"/>
          <w:highlight w:val="none"/>
          <w:u w:val="single"/>
          <w:lang w:eastAsia="zh-CN"/>
        </w:rPr>
        <w:t>）</w:t>
      </w:r>
      <w:r>
        <w:rPr>
          <w:rFonts w:hint="eastAsia"/>
          <w:b/>
          <w:bCs/>
          <w:color w:val="auto"/>
          <w:szCs w:val="21"/>
          <w:highlight w:val="none"/>
          <w:u w:val="single"/>
        </w:rPr>
        <w:t>：</w:t>
      </w:r>
    </w:p>
    <w:p w14:paraId="14130A83">
      <w:pPr>
        <w:pStyle w:val="16"/>
        <w:tabs>
          <w:tab w:val="left" w:pos="939"/>
        </w:tabs>
        <w:spacing w:line="360" w:lineRule="auto"/>
        <w:ind w:left="141" w:leftChars="67" w:firstLine="315" w:firstLineChars="150"/>
        <w:rPr>
          <w:rFonts w:hint="eastAsia"/>
          <w:color w:val="auto"/>
          <w:szCs w:val="21"/>
          <w:highlight w:val="none"/>
        </w:rPr>
      </w:pPr>
      <w:r>
        <w:rPr>
          <w:rFonts w:hint="eastAsia"/>
          <w:color w:val="auto"/>
          <w:szCs w:val="21"/>
          <w:highlight w:val="none"/>
        </w:rPr>
        <w:t>我方参加贵单位组织</w:t>
      </w:r>
      <w:r>
        <w:rPr>
          <w:rFonts w:hint="eastAsia"/>
          <w:color w:val="auto"/>
          <w:szCs w:val="21"/>
          <w:highlight w:val="none"/>
          <w:u w:val="single"/>
          <w:lang w:val="en-US" w:eastAsia="zh-CN"/>
        </w:rPr>
        <w:t xml:space="preserve">                          </w:t>
      </w:r>
      <w:r>
        <w:rPr>
          <w:rFonts w:hint="eastAsia"/>
          <w:color w:val="auto"/>
          <w:szCs w:val="21"/>
          <w:highlight w:val="none"/>
        </w:rPr>
        <w:t>项目（项目编号：</w:t>
      </w:r>
      <w:r>
        <w:rPr>
          <w:rFonts w:hint="eastAsia"/>
          <w:color w:val="auto"/>
          <w:szCs w:val="21"/>
          <w:highlight w:val="none"/>
          <w:u w:val="single"/>
          <w:lang w:val="en-US" w:eastAsia="zh-CN"/>
        </w:rPr>
        <w:t xml:space="preserve">               </w:t>
      </w:r>
      <w:r>
        <w:rPr>
          <w:rFonts w:hint="eastAsia"/>
          <w:color w:val="auto"/>
          <w:szCs w:val="21"/>
          <w:highlight w:val="none"/>
          <w:lang w:eastAsia="zh-CN"/>
        </w:rPr>
        <w:t>）</w:t>
      </w:r>
      <w:r>
        <w:rPr>
          <w:rFonts w:hint="eastAsia"/>
          <w:color w:val="auto"/>
          <w:szCs w:val="21"/>
          <w:highlight w:val="none"/>
        </w:rPr>
        <w:t>的政府采购活动。我方在此郑重声明：</w:t>
      </w:r>
    </w:p>
    <w:p w14:paraId="19C54A61">
      <w:pPr>
        <w:pStyle w:val="16"/>
        <w:tabs>
          <w:tab w:val="left" w:pos="939"/>
        </w:tabs>
        <w:spacing w:line="360" w:lineRule="auto"/>
        <w:ind w:left="141" w:leftChars="67" w:firstLine="315" w:firstLineChars="150"/>
        <w:rPr>
          <w:rFonts w:hint="eastAsia"/>
          <w:color w:val="auto"/>
          <w:szCs w:val="21"/>
          <w:highlight w:val="none"/>
        </w:rPr>
      </w:pPr>
      <w:r>
        <w:rPr>
          <w:rFonts w:hint="eastAsia"/>
          <w:color w:val="auto"/>
          <w:szCs w:val="21"/>
          <w:highlight w:val="none"/>
        </w:rPr>
        <w:t>1</w:t>
      </w:r>
      <w:r>
        <w:rPr>
          <w:rFonts w:hint="eastAsia" w:ascii="Times New Roman" w:hAnsi="Times New Roman" w:eastAsia="宋体" w:cs="Times New Roman"/>
          <w:b w:val="0"/>
          <w:color w:val="auto"/>
          <w:kern w:val="2"/>
          <w:sz w:val="21"/>
          <w:szCs w:val="21"/>
          <w:highlight w:val="none"/>
          <w:lang w:val="en-US" w:eastAsia="zh-CN" w:bidi="ar-SA"/>
        </w:rPr>
        <w:t>．</w:t>
      </w:r>
      <w:r>
        <w:rPr>
          <w:rFonts w:hint="eastAsia"/>
          <w:color w:val="auto"/>
          <w:szCs w:val="21"/>
          <w:highlight w:val="none"/>
        </w:rPr>
        <w:t>我方参加本项目的政府采购活动前三年内在经营活动中没有重大违法记录（重大违法记录是指供应商因违法经营受到刑事处罚或者责令停产停业、吊销许可证或者执照、较大数额罚款等行政处罚</w:t>
      </w:r>
      <w:r>
        <w:rPr>
          <w:rFonts w:hint="eastAsia"/>
          <w:color w:val="auto"/>
          <w:szCs w:val="21"/>
          <w:highlight w:val="none"/>
          <w:lang w:eastAsia="zh-CN"/>
        </w:rPr>
        <w:t>）</w:t>
      </w:r>
      <w:r>
        <w:rPr>
          <w:rFonts w:hint="eastAsia"/>
          <w:color w:val="auto"/>
          <w:szCs w:val="21"/>
          <w:highlight w:val="none"/>
        </w:rPr>
        <w:t>，未被列入失信被执行人、重大税收违法失信主体、政府采购严重违法失信行为记录名单，完全符合《中华人民共和国政府采购法》第二十二条规定的供应商资格条件，我方对此声明负全部法律责任。</w:t>
      </w:r>
    </w:p>
    <w:p w14:paraId="79F2A247">
      <w:pPr>
        <w:pStyle w:val="16"/>
        <w:tabs>
          <w:tab w:val="left" w:pos="939"/>
        </w:tabs>
        <w:spacing w:line="360" w:lineRule="auto"/>
        <w:ind w:left="141" w:leftChars="67" w:firstLine="315" w:firstLineChars="150"/>
        <w:rPr>
          <w:rFonts w:hint="eastAsia"/>
          <w:color w:val="auto"/>
          <w:szCs w:val="21"/>
          <w:highlight w:val="none"/>
        </w:rPr>
      </w:pPr>
      <w:r>
        <w:rPr>
          <w:rFonts w:hint="eastAsia"/>
          <w:color w:val="auto"/>
          <w:szCs w:val="21"/>
          <w:highlight w:val="none"/>
        </w:rPr>
        <w:t>2</w:t>
      </w:r>
      <w:r>
        <w:rPr>
          <w:rFonts w:hint="eastAsia" w:ascii="Times New Roman" w:hAnsi="Times New Roman" w:eastAsia="宋体" w:cs="Times New Roman"/>
          <w:b w:val="0"/>
          <w:color w:val="auto"/>
          <w:kern w:val="2"/>
          <w:sz w:val="21"/>
          <w:szCs w:val="21"/>
          <w:highlight w:val="none"/>
          <w:lang w:val="en-US" w:eastAsia="zh-CN" w:bidi="ar-SA"/>
        </w:rPr>
        <w:t>．</w:t>
      </w:r>
      <w:r>
        <w:rPr>
          <w:rFonts w:hint="eastAsia"/>
          <w:color w:val="auto"/>
          <w:szCs w:val="21"/>
          <w:highlight w:val="none"/>
        </w:rPr>
        <w:t>我方不是为本次采购项目提供整体设计、规范编制或者项目管理、监理、检测等服务的供应商。</w:t>
      </w:r>
    </w:p>
    <w:p w14:paraId="1939D192">
      <w:pPr>
        <w:pStyle w:val="16"/>
        <w:tabs>
          <w:tab w:val="left" w:pos="939"/>
        </w:tabs>
        <w:spacing w:line="360" w:lineRule="auto"/>
        <w:ind w:left="141" w:leftChars="67" w:firstLine="315" w:firstLineChars="150"/>
        <w:rPr>
          <w:rFonts w:hint="eastAsia"/>
          <w:color w:val="auto"/>
          <w:szCs w:val="21"/>
          <w:highlight w:val="none"/>
        </w:rPr>
      </w:pPr>
      <w:r>
        <w:rPr>
          <w:rFonts w:hint="eastAsia"/>
          <w:color w:val="auto"/>
          <w:szCs w:val="21"/>
          <w:highlight w:val="none"/>
        </w:rPr>
        <w:t>3</w:t>
      </w:r>
      <w:r>
        <w:rPr>
          <w:rFonts w:hint="eastAsia" w:ascii="Times New Roman" w:hAnsi="Times New Roman" w:eastAsia="宋体" w:cs="Times New Roman"/>
          <w:b w:val="0"/>
          <w:color w:val="auto"/>
          <w:kern w:val="2"/>
          <w:sz w:val="21"/>
          <w:szCs w:val="21"/>
          <w:highlight w:val="none"/>
          <w:lang w:val="en-US" w:eastAsia="zh-CN" w:bidi="ar-SA"/>
        </w:rPr>
        <w:t>．</w:t>
      </w:r>
      <w:r>
        <w:rPr>
          <w:rFonts w:hint="eastAsia"/>
          <w:color w:val="auto"/>
          <w:szCs w:val="21"/>
          <w:highlight w:val="none"/>
        </w:rPr>
        <w:t>我方承诺符合《中华人民共和国政府采购法》第二十二条规定：</w:t>
      </w:r>
    </w:p>
    <w:p w14:paraId="789DD656">
      <w:pPr>
        <w:pStyle w:val="16"/>
        <w:tabs>
          <w:tab w:val="left" w:pos="939"/>
        </w:tabs>
        <w:spacing w:line="360" w:lineRule="auto"/>
        <w:ind w:left="141" w:leftChars="67" w:firstLine="315" w:firstLineChars="150"/>
        <w:rPr>
          <w:rFonts w:hint="eastAsia"/>
          <w:color w:val="auto"/>
          <w:szCs w:val="21"/>
          <w:highlight w:val="none"/>
        </w:rPr>
      </w:pPr>
      <w:r>
        <w:rPr>
          <w:rFonts w:hint="eastAsia" w:cs="Times New Roman"/>
          <w:b w:val="0"/>
          <w:color w:val="auto"/>
          <w:kern w:val="2"/>
          <w:sz w:val="21"/>
          <w:szCs w:val="21"/>
          <w:highlight w:val="none"/>
          <w:lang w:val="en-US" w:eastAsia="zh-CN" w:bidi="ar-SA"/>
        </w:rPr>
        <w:t>（一）</w:t>
      </w:r>
      <w:r>
        <w:rPr>
          <w:rFonts w:hint="eastAsia"/>
          <w:color w:val="auto"/>
          <w:szCs w:val="21"/>
          <w:highlight w:val="none"/>
        </w:rPr>
        <w:t>具有独立承担民事责任的能力；</w:t>
      </w:r>
    </w:p>
    <w:p w14:paraId="33848CB1">
      <w:pPr>
        <w:pStyle w:val="16"/>
        <w:tabs>
          <w:tab w:val="left" w:pos="939"/>
        </w:tabs>
        <w:spacing w:line="360" w:lineRule="auto"/>
        <w:ind w:left="141" w:leftChars="67" w:firstLine="315" w:firstLineChars="150"/>
        <w:rPr>
          <w:rFonts w:hint="eastAsia"/>
          <w:color w:val="auto"/>
          <w:szCs w:val="21"/>
          <w:highlight w:val="none"/>
        </w:rPr>
      </w:pPr>
      <w:r>
        <w:rPr>
          <w:rFonts w:hint="eastAsia" w:cs="Times New Roman"/>
          <w:b w:val="0"/>
          <w:color w:val="auto"/>
          <w:kern w:val="2"/>
          <w:sz w:val="21"/>
          <w:szCs w:val="21"/>
          <w:highlight w:val="none"/>
          <w:lang w:val="en-US" w:eastAsia="zh-CN" w:bidi="ar-SA"/>
        </w:rPr>
        <w:t>（二）</w:t>
      </w:r>
      <w:r>
        <w:rPr>
          <w:rFonts w:hint="eastAsia"/>
          <w:color w:val="auto"/>
          <w:szCs w:val="21"/>
          <w:highlight w:val="none"/>
        </w:rPr>
        <w:t>具有良好的商业信誉和健全的财务会计制度；</w:t>
      </w:r>
    </w:p>
    <w:p w14:paraId="2E4BC2AB">
      <w:pPr>
        <w:pStyle w:val="16"/>
        <w:tabs>
          <w:tab w:val="left" w:pos="939"/>
        </w:tabs>
        <w:spacing w:line="360" w:lineRule="auto"/>
        <w:ind w:left="141" w:leftChars="67" w:firstLine="315" w:firstLineChars="150"/>
        <w:rPr>
          <w:rFonts w:hint="eastAsia"/>
          <w:color w:val="auto"/>
          <w:szCs w:val="21"/>
          <w:highlight w:val="none"/>
        </w:rPr>
      </w:pPr>
      <w:r>
        <w:rPr>
          <w:rFonts w:hint="eastAsia" w:cs="Times New Roman"/>
          <w:b w:val="0"/>
          <w:color w:val="auto"/>
          <w:kern w:val="2"/>
          <w:sz w:val="21"/>
          <w:szCs w:val="21"/>
          <w:highlight w:val="none"/>
          <w:lang w:val="en-US" w:eastAsia="zh-CN" w:bidi="ar-SA"/>
        </w:rPr>
        <w:t>（三）</w:t>
      </w:r>
      <w:r>
        <w:rPr>
          <w:rFonts w:hint="eastAsia"/>
          <w:color w:val="auto"/>
          <w:szCs w:val="21"/>
          <w:highlight w:val="none"/>
        </w:rPr>
        <w:t>具有履行合同所必需的设备和专业技术能力；</w:t>
      </w:r>
    </w:p>
    <w:p w14:paraId="6A6A0BB6">
      <w:pPr>
        <w:pStyle w:val="16"/>
        <w:tabs>
          <w:tab w:val="left" w:pos="939"/>
        </w:tabs>
        <w:spacing w:line="360" w:lineRule="auto"/>
        <w:ind w:left="141" w:leftChars="67" w:firstLine="315" w:firstLineChars="150"/>
        <w:rPr>
          <w:rFonts w:hint="eastAsia"/>
          <w:color w:val="auto"/>
          <w:szCs w:val="21"/>
          <w:highlight w:val="none"/>
        </w:rPr>
      </w:pPr>
      <w:r>
        <w:rPr>
          <w:rFonts w:hint="eastAsia" w:cs="Times New Roman"/>
          <w:b w:val="0"/>
          <w:color w:val="auto"/>
          <w:kern w:val="2"/>
          <w:sz w:val="21"/>
          <w:szCs w:val="21"/>
          <w:highlight w:val="none"/>
          <w:lang w:val="en-US" w:eastAsia="zh-CN" w:bidi="ar-SA"/>
        </w:rPr>
        <w:t>（四）</w:t>
      </w:r>
      <w:r>
        <w:rPr>
          <w:rFonts w:hint="eastAsia"/>
          <w:color w:val="auto"/>
          <w:szCs w:val="21"/>
          <w:highlight w:val="none"/>
        </w:rPr>
        <w:t>有依法缴纳税收和社会保障资金的良好记录；</w:t>
      </w:r>
    </w:p>
    <w:p w14:paraId="428E814F">
      <w:pPr>
        <w:pStyle w:val="16"/>
        <w:tabs>
          <w:tab w:val="left" w:pos="939"/>
        </w:tabs>
        <w:spacing w:line="360" w:lineRule="auto"/>
        <w:ind w:left="141" w:leftChars="67" w:firstLine="315" w:firstLineChars="150"/>
        <w:rPr>
          <w:rFonts w:hint="eastAsia"/>
          <w:color w:val="auto"/>
          <w:szCs w:val="21"/>
          <w:highlight w:val="none"/>
        </w:rPr>
      </w:pPr>
      <w:r>
        <w:rPr>
          <w:rFonts w:hint="eastAsia" w:cs="Times New Roman"/>
          <w:b w:val="0"/>
          <w:color w:val="auto"/>
          <w:kern w:val="2"/>
          <w:sz w:val="21"/>
          <w:szCs w:val="21"/>
          <w:highlight w:val="none"/>
          <w:lang w:val="en-US" w:eastAsia="zh-CN" w:bidi="ar-SA"/>
        </w:rPr>
        <w:t>（五）</w:t>
      </w:r>
      <w:r>
        <w:rPr>
          <w:rFonts w:hint="eastAsia"/>
          <w:color w:val="auto"/>
          <w:szCs w:val="21"/>
          <w:highlight w:val="none"/>
        </w:rPr>
        <w:t>参加政府采购活动前三年内，在经营活动中没有重大违法记录；</w:t>
      </w:r>
    </w:p>
    <w:p w14:paraId="5890CB8D">
      <w:pPr>
        <w:pStyle w:val="16"/>
        <w:tabs>
          <w:tab w:val="left" w:pos="939"/>
        </w:tabs>
        <w:spacing w:line="360" w:lineRule="auto"/>
        <w:ind w:left="141" w:leftChars="67" w:firstLine="315" w:firstLineChars="150"/>
        <w:rPr>
          <w:rFonts w:hint="eastAsia"/>
          <w:color w:val="auto"/>
          <w:szCs w:val="21"/>
          <w:highlight w:val="none"/>
        </w:rPr>
      </w:pPr>
      <w:r>
        <w:rPr>
          <w:rFonts w:hint="eastAsia" w:cs="Times New Roman"/>
          <w:b w:val="0"/>
          <w:color w:val="auto"/>
          <w:kern w:val="2"/>
          <w:sz w:val="21"/>
          <w:szCs w:val="21"/>
          <w:highlight w:val="none"/>
          <w:lang w:val="en-US" w:eastAsia="zh-CN" w:bidi="ar-SA"/>
        </w:rPr>
        <w:t>（六）</w:t>
      </w:r>
      <w:r>
        <w:rPr>
          <w:rFonts w:hint="eastAsia"/>
          <w:color w:val="auto"/>
          <w:szCs w:val="21"/>
          <w:highlight w:val="none"/>
        </w:rPr>
        <w:t>法律、行政法规规定的其他条件。</w:t>
      </w:r>
    </w:p>
    <w:p w14:paraId="60A229F9">
      <w:pPr>
        <w:pStyle w:val="16"/>
        <w:tabs>
          <w:tab w:val="left" w:pos="939"/>
        </w:tabs>
        <w:spacing w:line="360" w:lineRule="auto"/>
        <w:ind w:left="141" w:leftChars="67" w:firstLine="315" w:firstLineChars="150"/>
        <w:rPr>
          <w:rFonts w:hint="eastAsia"/>
          <w:color w:val="auto"/>
          <w:szCs w:val="21"/>
          <w:highlight w:val="none"/>
        </w:rPr>
      </w:pPr>
      <w:r>
        <w:rPr>
          <w:rFonts w:hint="eastAsia"/>
          <w:color w:val="auto"/>
          <w:szCs w:val="21"/>
          <w:highlight w:val="none"/>
        </w:rPr>
        <w:t>4</w:t>
      </w:r>
      <w:r>
        <w:rPr>
          <w:rFonts w:hint="eastAsia" w:ascii="Times New Roman" w:hAnsi="Times New Roman" w:eastAsia="宋体" w:cs="Times New Roman"/>
          <w:b w:val="0"/>
          <w:color w:val="auto"/>
          <w:kern w:val="2"/>
          <w:sz w:val="21"/>
          <w:szCs w:val="21"/>
          <w:highlight w:val="none"/>
          <w:lang w:val="en-US" w:eastAsia="zh-CN" w:bidi="ar-SA"/>
        </w:rPr>
        <w:t>．</w:t>
      </w:r>
      <w:r>
        <w:rPr>
          <w:rFonts w:hint="eastAsia"/>
          <w:color w:val="auto"/>
          <w:szCs w:val="21"/>
          <w:highlight w:val="none"/>
        </w:rPr>
        <w:t>以上事项如有虚假或者隐瞒，我方愿意承担一切后果，并不再寻求任何旨在减轻或者免除法律责任的辩解。</w:t>
      </w:r>
    </w:p>
    <w:p w14:paraId="52200E90">
      <w:pPr>
        <w:pStyle w:val="16"/>
        <w:tabs>
          <w:tab w:val="left" w:pos="939"/>
        </w:tabs>
        <w:spacing w:line="360" w:lineRule="auto"/>
        <w:ind w:left="141" w:leftChars="67" w:firstLine="315" w:firstLineChars="150"/>
        <w:rPr>
          <w:rFonts w:hint="eastAsia"/>
          <w:color w:val="auto"/>
          <w:szCs w:val="21"/>
          <w:highlight w:val="none"/>
        </w:rPr>
      </w:pPr>
      <w:r>
        <w:rPr>
          <w:rFonts w:hint="eastAsia"/>
          <w:color w:val="auto"/>
          <w:szCs w:val="21"/>
          <w:highlight w:val="none"/>
        </w:rPr>
        <w:t>特此承诺。</w:t>
      </w:r>
    </w:p>
    <w:p w14:paraId="7792D825">
      <w:pPr>
        <w:spacing w:line="360" w:lineRule="auto"/>
        <w:ind w:firstLine="3780" w:firstLineChars="1800"/>
        <w:contextualSpacing/>
        <w:rPr>
          <w:color w:val="auto"/>
          <w:szCs w:val="21"/>
          <w:highlight w:val="none"/>
        </w:rPr>
      </w:pPr>
    </w:p>
    <w:p w14:paraId="1807067E">
      <w:pPr>
        <w:spacing w:line="360" w:lineRule="auto"/>
        <w:ind w:firstLine="3780" w:firstLineChars="1800"/>
        <w:contextualSpacing/>
        <w:rPr>
          <w:color w:val="auto"/>
          <w:szCs w:val="21"/>
          <w:highlight w:val="none"/>
        </w:rPr>
      </w:pPr>
    </w:p>
    <w:p w14:paraId="6E7C3AFC">
      <w:pPr>
        <w:spacing w:line="360" w:lineRule="auto"/>
        <w:ind w:firstLine="3360" w:firstLineChars="1600"/>
        <w:contextualSpacing/>
        <w:rPr>
          <w:color w:val="auto"/>
          <w:szCs w:val="21"/>
          <w:highlight w:val="none"/>
        </w:rPr>
      </w:pPr>
      <w:r>
        <w:rPr>
          <w:rFonts w:hint="eastAsia"/>
          <w:color w:val="auto"/>
          <w:szCs w:val="21"/>
          <w:highlight w:val="none"/>
        </w:rPr>
        <w:t>法定代表人或者委托代理人</w:t>
      </w:r>
      <w:r>
        <w:rPr>
          <w:color w:val="auto"/>
          <w:szCs w:val="21"/>
          <w:highlight w:val="none"/>
        </w:rPr>
        <w:t>（签字或电子签名）：</w:t>
      </w:r>
      <w:r>
        <w:rPr>
          <w:color w:val="auto"/>
          <w:szCs w:val="21"/>
          <w:highlight w:val="none"/>
          <w:u w:val="single"/>
        </w:rPr>
        <w:t xml:space="preserve">              </w:t>
      </w:r>
      <w:r>
        <w:rPr>
          <w:color w:val="auto"/>
          <w:szCs w:val="21"/>
          <w:highlight w:val="none"/>
        </w:rPr>
        <w:t xml:space="preserve">                                     </w:t>
      </w:r>
    </w:p>
    <w:p w14:paraId="249C93A2">
      <w:pPr>
        <w:spacing w:line="360" w:lineRule="auto"/>
        <w:ind w:firstLine="4410" w:firstLineChars="2100"/>
        <w:contextualSpacing/>
        <w:rPr>
          <w:color w:val="auto"/>
          <w:szCs w:val="21"/>
          <w:highlight w:val="none"/>
          <w:u w:val="single"/>
        </w:rPr>
      </w:pPr>
      <w:r>
        <w:rPr>
          <w:rFonts w:hint="eastAsia"/>
          <w:color w:val="auto"/>
          <w:szCs w:val="21"/>
          <w:highlight w:val="none"/>
          <w:lang w:eastAsia="zh-CN"/>
        </w:rPr>
        <w:t>投标人名称</w:t>
      </w:r>
      <w:r>
        <w:rPr>
          <w:color w:val="auto"/>
          <w:szCs w:val="21"/>
          <w:highlight w:val="none"/>
        </w:rPr>
        <w:t>（电子</w:t>
      </w:r>
      <w:r>
        <w:rPr>
          <w:rFonts w:hint="eastAsia"/>
          <w:color w:val="auto"/>
          <w:szCs w:val="21"/>
          <w:highlight w:val="none"/>
        </w:rPr>
        <w:t>签章</w:t>
      </w:r>
      <w:r>
        <w:rPr>
          <w:color w:val="auto"/>
          <w:szCs w:val="21"/>
          <w:highlight w:val="none"/>
        </w:rPr>
        <w:t>）：</w:t>
      </w:r>
      <w:r>
        <w:rPr>
          <w:color w:val="auto"/>
          <w:szCs w:val="21"/>
          <w:highlight w:val="none"/>
          <w:u w:val="single"/>
        </w:rPr>
        <w:t xml:space="preserve">                       </w:t>
      </w:r>
      <w:r>
        <w:rPr>
          <w:color w:val="auto"/>
          <w:szCs w:val="21"/>
          <w:highlight w:val="none"/>
        </w:rPr>
        <w:t xml:space="preserve">           </w:t>
      </w:r>
    </w:p>
    <w:p w14:paraId="6FC628B4">
      <w:pPr>
        <w:spacing w:line="360" w:lineRule="auto"/>
        <w:ind w:right="480" w:firstLine="210" w:firstLineChars="100"/>
        <w:contextualSpacing/>
        <w:jc w:val="center"/>
        <w:rPr>
          <w:color w:val="auto"/>
          <w:szCs w:val="21"/>
          <w:highlight w:val="none"/>
        </w:rPr>
      </w:pPr>
      <w:r>
        <w:rPr>
          <w:color w:val="auto"/>
          <w:szCs w:val="21"/>
          <w:highlight w:val="none"/>
        </w:rPr>
        <w:t xml:space="preserve">                                                   年    月    日</w:t>
      </w:r>
    </w:p>
    <w:p w14:paraId="5FC3343F">
      <w:pPr>
        <w:spacing w:line="360" w:lineRule="auto"/>
        <w:contextualSpacing/>
        <w:jc w:val="left"/>
        <w:rPr>
          <w:rFonts w:hint="eastAsia" w:ascii="Times New Roman" w:hAnsi="Times New Roman" w:eastAsia="宋体" w:cs="Times New Roman"/>
          <w:color w:val="auto"/>
          <w:kern w:val="2"/>
          <w:sz w:val="21"/>
          <w:szCs w:val="21"/>
          <w:highlight w:val="none"/>
          <w:lang w:val="en-US" w:eastAsia="zh-CN" w:bidi="ar-SA"/>
        </w:rPr>
      </w:pPr>
    </w:p>
    <w:p w14:paraId="2594E394">
      <w:pPr>
        <w:keepNext w:val="0"/>
        <w:keepLines w:val="0"/>
        <w:pageBreakBefore w:val="0"/>
        <w:widowControl w:val="0"/>
        <w:kinsoku/>
        <w:wordWrap/>
        <w:overflowPunct/>
        <w:topLinePunct w:val="0"/>
        <w:autoSpaceDE/>
        <w:autoSpaceDN/>
        <w:bidi w:val="0"/>
        <w:adjustRightInd/>
        <w:snapToGrid/>
        <w:spacing w:line="360" w:lineRule="auto"/>
        <w:ind w:firstLine="422" w:firstLineChars="200"/>
        <w:contextualSpacing/>
        <w:jc w:val="left"/>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注：如为联合体投标，盖章处须加盖联合体各方电子签章并由联合体各方法定代表人分别签字或盖章或电子签名，否则投标无效。</w:t>
      </w:r>
    </w:p>
    <w:p w14:paraId="25EDDB8F">
      <w:pPr>
        <w:snapToGrid w:val="0"/>
        <w:spacing w:before="468" w:beforeLines="150" w:after="50" w:line="360" w:lineRule="auto"/>
        <w:ind w:right="482"/>
        <w:outlineLvl w:val="1"/>
        <w:rPr>
          <w:rFonts w:ascii="宋体" w:hAnsi="宋体"/>
          <w:b/>
          <w:color w:val="auto"/>
          <w:sz w:val="32"/>
          <w:szCs w:val="32"/>
          <w:highlight w:val="none"/>
        </w:rPr>
      </w:pPr>
      <w:r>
        <w:rPr>
          <w:rFonts w:ascii="宋体" w:hAnsi="宋体"/>
          <w:b/>
          <w:bCs/>
          <w:color w:val="auto"/>
          <w:sz w:val="32"/>
          <w:szCs w:val="32"/>
          <w:highlight w:val="none"/>
        </w:rPr>
        <w:br w:type="page"/>
      </w:r>
      <w:r>
        <w:rPr>
          <w:rFonts w:hint="eastAsia" w:ascii="宋体" w:hAnsi="宋体"/>
          <w:b/>
          <w:bCs/>
          <w:color w:val="auto"/>
          <w:sz w:val="32"/>
          <w:szCs w:val="32"/>
          <w:highlight w:val="none"/>
        </w:rPr>
        <w:t>二、报价文件格式</w:t>
      </w:r>
    </w:p>
    <w:p w14:paraId="311CD673">
      <w:pPr>
        <w:snapToGrid w:val="0"/>
        <w:spacing w:before="156" w:beforeLines="50" w:after="50" w:line="360" w:lineRule="auto"/>
        <w:jc w:val="left"/>
        <w:rPr>
          <w:rFonts w:ascii="宋体" w:hAnsi="宋体"/>
          <w:b/>
          <w:color w:val="auto"/>
          <w:sz w:val="28"/>
          <w:szCs w:val="28"/>
          <w:highlight w:val="none"/>
        </w:rPr>
      </w:pPr>
    </w:p>
    <w:p w14:paraId="64EF10C4">
      <w:pPr>
        <w:snapToGrid w:val="0"/>
        <w:spacing w:before="156" w:beforeLines="50" w:after="50" w:line="360" w:lineRule="auto"/>
        <w:jc w:val="left"/>
        <w:rPr>
          <w:rFonts w:ascii="宋体" w:hAnsi="宋体"/>
          <w:b/>
          <w:color w:val="auto"/>
          <w:sz w:val="28"/>
          <w:szCs w:val="28"/>
          <w:highlight w:val="none"/>
        </w:rPr>
      </w:pPr>
      <w:r>
        <w:rPr>
          <w:rFonts w:hint="eastAsia" w:ascii="宋体" w:hAnsi="宋体"/>
          <w:b/>
          <w:color w:val="auto"/>
          <w:sz w:val="28"/>
          <w:szCs w:val="28"/>
          <w:highlight w:val="none"/>
        </w:rPr>
        <w:t>1．报价文件封面格式</w:t>
      </w:r>
    </w:p>
    <w:p w14:paraId="3D68D524">
      <w:pPr>
        <w:pStyle w:val="31"/>
        <w:ind w:firstLine="640"/>
        <w:rPr>
          <w:color w:val="auto"/>
          <w:highlight w:val="none"/>
        </w:rPr>
      </w:pPr>
    </w:p>
    <w:p w14:paraId="0FD92C3C">
      <w:pPr>
        <w:snapToGrid w:val="0"/>
        <w:spacing w:before="156" w:beforeLines="50" w:after="50"/>
        <w:rPr>
          <w:rFonts w:ascii="宋体" w:hAnsi="宋体"/>
          <w:color w:val="auto"/>
          <w:sz w:val="24"/>
          <w:highlight w:val="none"/>
        </w:rPr>
      </w:pPr>
      <w:r>
        <w:rPr>
          <w:rFonts w:hint="eastAsia" w:ascii="宋体" w:hAnsi="宋体"/>
          <w:color w:val="auto"/>
          <w:sz w:val="24"/>
          <w:highlight w:val="none"/>
        </w:rPr>
        <w:t xml:space="preserve">                                                             </w:t>
      </w:r>
    </w:p>
    <w:p w14:paraId="06EA58BD">
      <w:pPr>
        <w:pStyle w:val="13"/>
        <w:rPr>
          <w:color w:val="auto"/>
          <w:highlight w:val="none"/>
        </w:rPr>
      </w:pPr>
    </w:p>
    <w:p w14:paraId="5157A697">
      <w:pPr>
        <w:snapToGrid w:val="0"/>
        <w:spacing w:before="156" w:beforeLines="50" w:after="50"/>
        <w:rPr>
          <w:rFonts w:ascii="宋体" w:hAnsi="宋体"/>
          <w:color w:val="auto"/>
          <w:sz w:val="24"/>
          <w:szCs w:val="20"/>
          <w:highlight w:val="none"/>
        </w:rPr>
      </w:pPr>
    </w:p>
    <w:p w14:paraId="0FCF018A">
      <w:pPr>
        <w:snapToGrid w:val="0"/>
        <w:spacing w:before="156" w:beforeLines="50" w:after="50"/>
        <w:rPr>
          <w:rFonts w:ascii="宋体" w:hAnsi="宋体"/>
          <w:color w:val="auto"/>
          <w:sz w:val="24"/>
          <w:szCs w:val="20"/>
          <w:highlight w:val="none"/>
        </w:rPr>
      </w:pPr>
    </w:p>
    <w:p w14:paraId="41742BB2">
      <w:pPr>
        <w:snapToGrid w:val="0"/>
        <w:spacing w:before="156" w:beforeLines="50" w:after="50"/>
        <w:jc w:val="center"/>
        <w:rPr>
          <w:rFonts w:ascii="宋体" w:hAnsi="宋体" w:cs="宋体"/>
          <w:b/>
          <w:color w:val="auto"/>
          <w:sz w:val="48"/>
          <w:szCs w:val="48"/>
          <w:highlight w:val="none"/>
        </w:rPr>
      </w:pPr>
      <w:r>
        <w:rPr>
          <w:rFonts w:hint="eastAsia" w:ascii="宋体" w:hAnsi="宋体" w:cs="宋体"/>
          <w:b/>
          <w:color w:val="auto"/>
          <w:sz w:val="48"/>
          <w:szCs w:val="48"/>
          <w:highlight w:val="none"/>
        </w:rPr>
        <w:t xml:space="preserve"> 报价文件</w:t>
      </w:r>
    </w:p>
    <w:p w14:paraId="1677C429">
      <w:pPr>
        <w:snapToGrid w:val="0"/>
        <w:spacing w:before="156" w:beforeLines="50" w:after="50"/>
        <w:rPr>
          <w:rFonts w:ascii="宋体" w:hAnsi="宋体"/>
          <w:bCs/>
          <w:color w:val="auto"/>
          <w:sz w:val="24"/>
          <w:szCs w:val="20"/>
          <w:highlight w:val="none"/>
        </w:rPr>
      </w:pPr>
    </w:p>
    <w:p w14:paraId="60E4C7B9">
      <w:pPr>
        <w:snapToGrid w:val="0"/>
        <w:spacing w:before="156" w:beforeLines="50" w:after="50"/>
        <w:rPr>
          <w:rFonts w:ascii="宋体" w:hAnsi="宋体"/>
          <w:bCs/>
          <w:color w:val="auto"/>
          <w:sz w:val="24"/>
          <w:szCs w:val="20"/>
          <w:highlight w:val="none"/>
        </w:rPr>
      </w:pPr>
    </w:p>
    <w:p w14:paraId="302BEC66">
      <w:pPr>
        <w:snapToGrid w:val="0"/>
        <w:spacing w:before="156" w:beforeLines="50" w:after="50"/>
        <w:rPr>
          <w:rFonts w:ascii="宋体" w:hAnsi="宋体"/>
          <w:bCs/>
          <w:color w:val="auto"/>
          <w:sz w:val="24"/>
          <w:szCs w:val="20"/>
          <w:highlight w:val="none"/>
        </w:rPr>
      </w:pPr>
    </w:p>
    <w:p w14:paraId="0E3B1D76">
      <w:pPr>
        <w:snapToGrid w:val="0"/>
        <w:spacing w:before="156" w:beforeLines="50" w:after="50"/>
        <w:rPr>
          <w:rFonts w:ascii="宋体" w:hAnsi="宋体"/>
          <w:bCs/>
          <w:color w:val="auto"/>
          <w:sz w:val="24"/>
          <w:szCs w:val="20"/>
          <w:highlight w:val="none"/>
        </w:rPr>
      </w:pPr>
    </w:p>
    <w:p w14:paraId="1C554443">
      <w:pPr>
        <w:keepNext w:val="0"/>
        <w:keepLines w:val="0"/>
        <w:pageBreakBefore w:val="0"/>
        <w:widowControl w:val="0"/>
        <w:kinsoku/>
        <w:wordWrap/>
        <w:overflowPunct/>
        <w:topLinePunct w:val="0"/>
        <w:autoSpaceDE/>
        <w:autoSpaceDN/>
        <w:bidi w:val="0"/>
        <w:adjustRightInd/>
        <w:snapToGrid w:val="0"/>
        <w:spacing w:before="156" w:beforeLines="50" w:after="50" w:line="720" w:lineRule="auto"/>
        <w:ind w:firstLine="560" w:firstLineChars="200"/>
        <w:textAlignment w:val="auto"/>
        <w:rPr>
          <w:bCs/>
          <w:color w:val="auto"/>
          <w:sz w:val="28"/>
          <w:szCs w:val="28"/>
          <w:highlight w:val="none"/>
        </w:rPr>
      </w:pPr>
      <w:r>
        <w:rPr>
          <w:bCs/>
          <w:color w:val="auto"/>
          <w:sz w:val="28"/>
          <w:szCs w:val="28"/>
          <w:highlight w:val="none"/>
        </w:rPr>
        <w:t>项目名称：</w:t>
      </w:r>
    </w:p>
    <w:p w14:paraId="670DBBF9">
      <w:pPr>
        <w:keepNext w:val="0"/>
        <w:keepLines w:val="0"/>
        <w:pageBreakBefore w:val="0"/>
        <w:widowControl w:val="0"/>
        <w:kinsoku/>
        <w:wordWrap/>
        <w:overflowPunct/>
        <w:topLinePunct w:val="0"/>
        <w:autoSpaceDE/>
        <w:autoSpaceDN/>
        <w:bidi w:val="0"/>
        <w:adjustRightInd/>
        <w:snapToGrid w:val="0"/>
        <w:spacing w:before="156" w:beforeLines="50" w:after="50" w:line="720" w:lineRule="auto"/>
        <w:ind w:firstLine="560" w:firstLineChars="200"/>
        <w:textAlignment w:val="auto"/>
        <w:rPr>
          <w:bCs/>
          <w:color w:val="auto"/>
          <w:sz w:val="28"/>
          <w:szCs w:val="28"/>
          <w:highlight w:val="none"/>
        </w:rPr>
      </w:pPr>
      <w:r>
        <w:rPr>
          <w:bCs/>
          <w:color w:val="auto"/>
          <w:sz w:val="28"/>
          <w:szCs w:val="28"/>
          <w:highlight w:val="none"/>
        </w:rPr>
        <w:t>项目编号：</w:t>
      </w:r>
    </w:p>
    <w:p w14:paraId="1AF3F82F">
      <w:pPr>
        <w:keepNext w:val="0"/>
        <w:keepLines w:val="0"/>
        <w:pageBreakBefore w:val="0"/>
        <w:widowControl w:val="0"/>
        <w:kinsoku/>
        <w:wordWrap/>
        <w:overflowPunct/>
        <w:topLinePunct w:val="0"/>
        <w:autoSpaceDE/>
        <w:autoSpaceDN/>
        <w:bidi w:val="0"/>
        <w:adjustRightInd/>
        <w:snapToGrid w:val="0"/>
        <w:spacing w:before="156" w:beforeLines="50" w:after="50" w:line="720" w:lineRule="auto"/>
        <w:ind w:firstLine="560" w:firstLineChars="200"/>
        <w:textAlignment w:val="auto"/>
        <w:rPr>
          <w:bCs/>
          <w:color w:val="auto"/>
          <w:sz w:val="28"/>
          <w:szCs w:val="28"/>
          <w:highlight w:val="none"/>
        </w:rPr>
      </w:pPr>
      <w:r>
        <w:rPr>
          <w:rFonts w:hint="eastAsia"/>
          <w:bCs/>
          <w:color w:val="auto"/>
          <w:sz w:val="28"/>
          <w:szCs w:val="28"/>
          <w:highlight w:val="none"/>
          <w:lang w:eastAsia="zh-CN"/>
        </w:rPr>
        <w:t>投标人</w:t>
      </w:r>
      <w:r>
        <w:rPr>
          <w:bCs/>
          <w:color w:val="auto"/>
          <w:sz w:val="28"/>
          <w:szCs w:val="28"/>
          <w:highlight w:val="none"/>
        </w:rPr>
        <w:t>名称：</w:t>
      </w:r>
    </w:p>
    <w:p w14:paraId="6550AF33">
      <w:pPr>
        <w:keepNext w:val="0"/>
        <w:keepLines w:val="0"/>
        <w:pageBreakBefore w:val="0"/>
        <w:widowControl w:val="0"/>
        <w:kinsoku/>
        <w:wordWrap/>
        <w:overflowPunct/>
        <w:topLinePunct w:val="0"/>
        <w:autoSpaceDE/>
        <w:autoSpaceDN/>
        <w:bidi w:val="0"/>
        <w:adjustRightInd/>
        <w:snapToGrid w:val="0"/>
        <w:spacing w:before="156" w:beforeLines="50" w:after="50" w:line="720" w:lineRule="auto"/>
        <w:ind w:firstLine="560" w:firstLineChars="200"/>
        <w:textAlignment w:val="auto"/>
        <w:rPr>
          <w:rFonts w:hint="eastAsia" w:eastAsia="宋体"/>
          <w:bCs/>
          <w:color w:val="auto"/>
          <w:sz w:val="28"/>
          <w:szCs w:val="28"/>
          <w:highlight w:val="none"/>
          <w:lang w:eastAsia="zh-CN"/>
        </w:rPr>
      </w:pPr>
      <w:r>
        <w:rPr>
          <w:rFonts w:hint="eastAsia"/>
          <w:bCs/>
          <w:color w:val="auto"/>
          <w:sz w:val="28"/>
          <w:szCs w:val="28"/>
          <w:highlight w:val="none"/>
          <w:lang w:eastAsia="zh-CN"/>
        </w:rPr>
        <w:t>投标人地址：</w:t>
      </w:r>
    </w:p>
    <w:p w14:paraId="7C0EB1BF">
      <w:pPr>
        <w:pStyle w:val="7"/>
        <w:snapToGrid w:val="0"/>
        <w:spacing w:before="50" w:after="50"/>
        <w:ind w:firstLine="1280" w:firstLineChars="400"/>
        <w:rPr>
          <w:rFonts w:ascii="宋体" w:hAnsi="宋体" w:cs="仿宋_GB2312"/>
          <w:bCs/>
          <w:color w:val="auto"/>
          <w:sz w:val="32"/>
          <w:szCs w:val="32"/>
          <w:highlight w:val="none"/>
        </w:rPr>
      </w:pPr>
    </w:p>
    <w:p w14:paraId="2F832CEC">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02444B24">
      <w:pPr>
        <w:snapToGrid w:val="0"/>
        <w:spacing w:before="156" w:beforeLines="50" w:after="50" w:line="360" w:lineRule="auto"/>
        <w:ind w:left="142"/>
        <w:jc w:val="left"/>
        <w:rPr>
          <w:b/>
          <w:bCs/>
          <w:color w:val="auto"/>
          <w:sz w:val="28"/>
          <w:szCs w:val="28"/>
          <w:highlight w:val="none"/>
        </w:rPr>
      </w:pPr>
      <w:r>
        <w:rPr>
          <w:rFonts w:ascii="宋体" w:hAnsi="宋体"/>
          <w:color w:val="auto"/>
          <w:sz w:val="24"/>
          <w:highlight w:val="none"/>
        </w:rPr>
        <w:br w:type="page"/>
      </w:r>
      <w:r>
        <w:rPr>
          <w:b/>
          <w:bCs/>
          <w:color w:val="auto"/>
          <w:sz w:val="28"/>
          <w:szCs w:val="28"/>
          <w:highlight w:val="none"/>
        </w:rPr>
        <w:t>2</w:t>
      </w:r>
      <w:r>
        <w:rPr>
          <w:b/>
          <w:color w:val="auto"/>
          <w:sz w:val="28"/>
          <w:szCs w:val="28"/>
          <w:highlight w:val="none"/>
        </w:rPr>
        <w:t>．</w:t>
      </w:r>
      <w:r>
        <w:rPr>
          <w:rFonts w:hint="eastAsia"/>
          <w:b/>
          <w:bCs/>
          <w:color w:val="auto"/>
          <w:sz w:val="28"/>
          <w:szCs w:val="28"/>
          <w:highlight w:val="none"/>
        </w:rPr>
        <w:t>报价</w:t>
      </w:r>
      <w:r>
        <w:rPr>
          <w:b/>
          <w:bCs/>
          <w:color w:val="auto"/>
          <w:sz w:val="28"/>
          <w:szCs w:val="28"/>
          <w:highlight w:val="none"/>
        </w:rPr>
        <w:t>文件目录</w:t>
      </w:r>
    </w:p>
    <w:p w14:paraId="6A46C4B3">
      <w:pPr>
        <w:snapToGrid w:val="0"/>
        <w:spacing w:before="156" w:beforeLines="50" w:after="50" w:line="360" w:lineRule="auto"/>
        <w:ind w:firstLine="560" w:firstLineChars="200"/>
        <w:rPr>
          <w:color w:val="auto"/>
          <w:sz w:val="28"/>
          <w:szCs w:val="28"/>
          <w:highlight w:val="none"/>
        </w:rPr>
      </w:pPr>
      <w:r>
        <w:rPr>
          <w:color w:val="auto"/>
          <w:sz w:val="28"/>
          <w:szCs w:val="28"/>
          <w:highlight w:val="none"/>
        </w:rPr>
        <w:t>根据</w:t>
      </w:r>
      <w:r>
        <w:rPr>
          <w:rFonts w:hint="eastAsia"/>
          <w:color w:val="auto"/>
          <w:sz w:val="28"/>
          <w:szCs w:val="28"/>
          <w:highlight w:val="none"/>
          <w:lang w:eastAsia="zh-CN"/>
        </w:rPr>
        <w:t>招标</w:t>
      </w:r>
      <w:r>
        <w:rPr>
          <w:color w:val="auto"/>
          <w:sz w:val="28"/>
          <w:szCs w:val="28"/>
          <w:highlight w:val="none"/>
        </w:rPr>
        <w:t>文件规定及</w:t>
      </w:r>
      <w:r>
        <w:rPr>
          <w:rFonts w:hint="eastAsia"/>
          <w:color w:val="auto"/>
          <w:sz w:val="28"/>
          <w:szCs w:val="28"/>
          <w:highlight w:val="none"/>
          <w:lang w:eastAsia="zh-CN"/>
        </w:rPr>
        <w:t>投标人</w:t>
      </w:r>
      <w:r>
        <w:rPr>
          <w:color w:val="auto"/>
          <w:sz w:val="28"/>
          <w:szCs w:val="28"/>
          <w:highlight w:val="none"/>
        </w:rPr>
        <w:t>提供的材料自行编写目录（部分格式后附）</w:t>
      </w:r>
    </w:p>
    <w:p w14:paraId="7DF88799">
      <w:pPr>
        <w:rPr>
          <w:color w:val="auto"/>
          <w:highlight w:val="none"/>
        </w:rPr>
      </w:pPr>
      <w:r>
        <w:rPr>
          <w:color w:val="auto"/>
          <w:highlight w:val="none"/>
        </w:rPr>
        <w:br w:type="page"/>
      </w:r>
    </w:p>
    <w:p w14:paraId="29470F8D">
      <w:pPr>
        <w:snapToGrid w:val="0"/>
        <w:spacing w:line="360" w:lineRule="auto"/>
        <w:jc w:val="center"/>
        <w:rPr>
          <w:rFonts w:hint="default" w:ascii="Times New Roman" w:hAnsi="Times New Roman" w:eastAsia="宋体" w:cs="Times New Roman"/>
          <w:b/>
          <w:bCs/>
          <w:color w:val="auto"/>
          <w:sz w:val="21"/>
          <w:szCs w:val="21"/>
          <w:highlight w:val="none"/>
          <w:lang w:eastAsia="zh-CN"/>
        </w:rPr>
      </w:pPr>
    </w:p>
    <w:p w14:paraId="76735F66">
      <w:pPr>
        <w:snapToGrid w:val="0"/>
        <w:spacing w:line="360" w:lineRule="auto"/>
        <w:jc w:val="center"/>
        <w:rPr>
          <w:rFonts w:hint="default" w:ascii="Times New Roman" w:hAnsi="Times New Roman" w:eastAsia="宋体" w:cs="Times New Roman"/>
          <w:b/>
          <w:bCs/>
          <w:color w:val="auto"/>
          <w:sz w:val="30"/>
          <w:szCs w:val="30"/>
          <w:highlight w:val="none"/>
          <w:lang w:eastAsia="zh-CN"/>
        </w:rPr>
      </w:pPr>
      <w:r>
        <w:rPr>
          <w:rFonts w:hint="default" w:ascii="Times New Roman" w:hAnsi="Times New Roman" w:eastAsia="宋体" w:cs="Times New Roman"/>
          <w:b/>
          <w:bCs/>
          <w:color w:val="auto"/>
          <w:spacing w:val="20"/>
          <w:sz w:val="30"/>
          <w:szCs w:val="30"/>
          <w:highlight w:val="none"/>
          <w:lang w:eastAsia="zh-CN"/>
        </w:rPr>
        <w:t>投标函</w:t>
      </w:r>
    </w:p>
    <w:p w14:paraId="012D0194">
      <w:pPr>
        <w:snapToGrid w:val="0"/>
        <w:spacing w:line="360" w:lineRule="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致：</w:t>
      </w:r>
      <w:r>
        <w:rPr>
          <w:rFonts w:hint="eastAsia"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single"/>
        </w:rPr>
        <w:t>采购人名称</w:t>
      </w:r>
      <w:r>
        <w:rPr>
          <w:rFonts w:hint="eastAsia" w:ascii="Times New Roman" w:hAnsi="Times New Roman" w:cs="Times New Roman"/>
          <w:color w:val="auto"/>
          <w:sz w:val="21"/>
          <w:szCs w:val="21"/>
          <w:highlight w:val="none"/>
          <w:u w:val="single"/>
          <w:lang w:eastAsia="zh-CN"/>
        </w:rPr>
        <w:t>）</w:t>
      </w:r>
      <w:r>
        <w:rPr>
          <w:rFonts w:hint="eastAsia" w:ascii="Times New Roman" w:hAnsi="Times New Roman" w:cs="Times New Roman"/>
          <w:color w:val="auto"/>
          <w:sz w:val="21"/>
          <w:szCs w:val="21"/>
          <w:highlight w:val="none"/>
          <w:u w:val="single"/>
          <w:lang w:val="en-US" w:eastAsia="zh-CN"/>
        </w:rPr>
        <w:t xml:space="preserve">   </w:t>
      </w:r>
    </w:p>
    <w:p w14:paraId="498B7331">
      <w:pPr>
        <w:snapToGrid w:val="0"/>
        <w:spacing w:line="360" w:lineRule="auto"/>
        <w:ind w:firstLine="48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根据贵方</w:t>
      </w:r>
      <w:r>
        <w:rPr>
          <w:rFonts w:hint="default" w:ascii="Times New Roman" w:hAnsi="Times New Roman" w:cs="Times New Roman"/>
          <w:color w:val="auto"/>
          <w:sz w:val="21"/>
          <w:szCs w:val="21"/>
          <w:highlight w:val="none"/>
          <w:u w:val="single"/>
        </w:rPr>
        <w:t xml:space="preserve"> </w:t>
      </w:r>
      <w:r>
        <w:rPr>
          <w:rFonts w:hint="eastAsia"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single"/>
        </w:rPr>
        <w:t>项目名称</w:t>
      </w:r>
      <w:r>
        <w:rPr>
          <w:rFonts w:hint="eastAsia"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rPr>
        <w:t>（项目编号：</w:t>
      </w:r>
      <w:r>
        <w:rPr>
          <w:rFonts w:hint="default" w:ascii="Times New Roman" w:hAnsi="Times New Roman" w:cs="Times New Roman"/>
          <w:color w:val="auto"/>
          <w:sz w:val="21"/>
          <w:szCs w:val="21"/>
          <w:highlight w:val="none"/>
          <w:u w:val="single"/>
        </w:rPr>
        <w:t xml:space="preserve">          </w:t>
      </w:r>
      <w:r>
        <w:rPr>
          <w:rFonts w:hint="default" w:ascii="Times New Roman" w:hAnsi="Times New Roman" w:cs="Times New Roman"/>
          <w:color w:val="auto"/>
          <w:sz w:val="21"/>
          <w:szCs w:val="21"/>
          <w:highlight w:val="none"/>
        </w:rPr>
        <w:t>）的招标公告，签字代表______（姓名）经正式授权并代表投标人</w:t>
      </w:r>
      <w:r>
        <w:rPr>
          <w:rFonts w:hint="default" w:ascii="Times New Roman" w:hAnsi="Times New Roman" w:cs="Times New Roman"/>
          <w:color w:val="auto"/>
          <w:sz w:val="21"/>
          <w:szCs w:val="21"/>
          <w:highlight w:val="none"/>
          <w:u w:val="single"/>
        </w:rPr>
        <w:t xml:space="preserve">      </w:t>
      </w:r>
      <w:r>
        <w:rPr>
          <w:rFonts w:hint="eastAsia"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single"/>
        </w:rPr>
        <w:t xml:space="preserve">        </w:t>
      </w:r>
      <w:r>
        <w:rPr>
          <w:rFonts w:hint="default" w:ascii="Times New Roman" w:hAnsi="Times New Roman" w:cs="Times New Roman"/>
          <w:color w:val="auto"/>
          <w:sz w:val="21"/>
          <w:szCs w:val="21"/>
          <w:highlight w:val="none"/>
        </w:rPr>
        <w:t>（投标人名称）提交投标文件。</w:t>
      </w:r>
    </w:p>
    <w:p w14:paraId="32F10FDE">
      <w:pPr>
        <w:snapToGrid w:val="0"/>
        <w:spacing w:line="36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据此函，我方宣布同意如下：</w:t>
      </w:r>
    </w:p>
    <w:p w14:paraId="49342B97">
      <w:pPr>
        <w:snapToGrid w:val="0"/>
        <w:spacing w:line="36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r>
        <w:rPr>
          <w:rFonts w:hint="eastAsia" w:ascii="Times New Roman" w:hAnsi="Times New Roman" w:eastAsia="宋体" w:cs="Times New Roman"/>
          <w:b w:val="0"/>
          <w:color w:val="auto"/>
          <w:kern w:val="2"/>
          <w:sz w:val="21"/>
          <w:szCs w:val="21"/>
          <w:highlight w:val="none"/>
          <w:lang w:val="en-US" w:eastAsia="zh-CN" w:bidi="ar-SA"/>
        </w:rPr>
        <w:t>．</w:t>
      </w:r>
      <w:r>
        <w:rPr>
          <w:rFonts w:hint="default" w:ascii="Times New Roman" w:hAnsi="Times New Roman" w:cs="Times New Roman"/>
          <w:color w:val="auto"/>
          <w:sz w:val="21"/>
          <w:szCs w:val="21"/>
          <w:highlight w:val="none"/>
        </w:rPr>
        <w:t>我方已详细审查全部“招标文件”，包括修改文件（如有的话）以及全部参考资料和有关附件，已经了解我方对于招标文件、采购过程、采购结果有依法进行询问、质疑、投诉的权利及相关渠道和要求。</w:t>
      </w:r>
    </w:p>
    <w:p w14:paraId="44F0DFB0">
      <w:pPr>
        <w:snapToGrid w:val="0"/>
        <w:spacing w:line="36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w:t>
      </w:r>
      <w:r>
        <w:rPr>
          <w:rFonts w:hint="eastAsia" w:ascii="Times New Roman" w:hAnsi="Times New Roman" w:eastAsia="宋体" w:cs="Times New Roman"/>
          <w:b w:val="0"/>
          <w:color w:val="auto"/>
          <w:kern w:val="2"/>
          <w:sz w:val="21"/>
          <w:szCs w:val="21"/>
          <w:highlight w:val="none"/>
          <w:lang w:val="en-US" w:eastAsia="zh-CN" w:bidi="ar-SA"/>
        </w:rPr>
        <w:t>．</w:t>
      </w:r>
      <w:r>
        <w:rPr>
          <w:rFonts w:hint="default" w:ascii="Times New Roman" w:hAnsi="Times New Roman" w:cs="Times New Roman"/>
          <w:color w:val="auto"/>
          <w:sz w:val="21"/>
          <w:szCs w:val="21"/>
          <w:highlight w:val="none"/>
        </w:rPr>
        <w:t>我方在投标之前已经完全理解并接受招标文件的各项规定和要求，对招标文件的合理性、合法性不再有异议。</w:t>
      </w:r>
    </w:p>
    <w:p w14:paraId="48AB5E08">
      <w:pPr>
        <w:snapToGrid w:val="0"/>
        <w:spacing w:line="36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r>
        <w:rPr>
          <w:rFonts w:hint="eastAsia" w:ascii="Times New Roman" w:hAnsi="Times New Roman" w:eastAsia="宋体" w:cs="Times New Roman"/>
          <w:b w:val="0"/>
          <w:color w:val="auto"/>
          <w:kern w:val="2"/>
          <w:sz w:val="21"/>
          <w:szCs w:val="21"/>
          <w:highlight w:val="none"/>
          <w:lang w:val="en-US" w:eastAsia="zh-CN" w:bidi="ar-SA"/>
        </w:rPr>
        <w:t>．</w:t>
      </w:r>
      <w:r>
        <w:rPr>
          <w:rFonts w:hint="default" w:ascii="Times New Roman" w:hAnsi="Times New Roman" w:cs="Times New Roman"/>
          <w:color w:val="auto"/>
          <w:sz w:val="21"/>
          <w:szCs w:val="21"/>
          <w:highlight w:val="none"/>
        </w:rPr>
        <w:t>本投标有效期自投标截止之日起</w:t>
      </w:r>
      <w:r>
        <w:rPr>
          <w:rFonts w:hint="default" w:ascii="Times New Roman" w:hAnsi="Times New Roman" w:cs="Times New Roman"/>
          <w:color w:val="auto"/>
          <w:sz w:val="21"/>
          <w:szCs w:val="21"/>
          <w:highlight w:val="none"/>
          <w:u w:val="single"/>
        </w:rPr>
        <w:t xml:space="preserve">   </w:t>
      </w:r>
      <w:r>
        <w:rPr>
          <w:rFonts w:hint="eastAsia"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single"/>
        </w:rPr>
        <w:t xml:space="preserve"> </w:t>
      </w:r>
      <w:r>
        <w:rPr>
          <w:rFonts w:hint="default" w:ascii="Times New Roman" w:hAnsi="Times New Roman" w:cs="Times New Roman"/>
          <w:color w:val="auto"/>
          <w:sz w:val="21"/>
          <w:szCs w:val="21"/>
          <w:highlight w:val="none"/>
        </w:rPr>
        <w:t>日。</w:t>
      </w:r>
    </w:p>
    <w:p w14:paraId="772EE0DC">
      <w:pPr>
        <w:snapToGrid w:val="0"/>
        <w:spacing w:line="36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w:t>
      </w:r>
      <w:r>
        <w:rPr>
          <w:rFonts w:hint="eastAsia" w:ascii="Times New Roman" w:hAnsi="Times New Roman" w:eastAsia="宋体" w:cs="Times New Roman"/>
          <w:b w:val="0"/>
          <w:color w:val="auto"/>
          <w:kern w:val="2"/>
          <w:sz w:val="21"/>
          <w:szCs w:val="21"/>
          <w:highlight w:val="none"/>
          <w:lang w:val="en-US" w:eastAsia="zh-CN" w:bidi="ar-SA"/>
        </w:rPr>
        <w:t>．</w:t>
      </w:r>
      <w:r>
        <w:rPr>
          <w:rFonts w:hint="default" w:ascii="Times New Roman" w:hAnsi="Times New Roman" w:cs="Times New Roman"/>
          <w:color w:val="auto"/>
          <w:sz w:val="21"/>
          <w:szCs w:val="21"/>
          <w:highlight w:val="none"/>
        </w:rPr>
        <w:t>如中标，本投标文件至本项目合同履行完毕止均保持有效，我方将按“招标文件”及政府采购法律、法规的规定履行合同责任和义务。</w:t>
      </w:r>
    </w:p>
    <w:p w14:paraId="0A7442D7">
      <w:pPr>
        <w:snapToGrid w:val="0"/>
        <w:spacing w:line="36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w:t>
      </w:r>
      <w:r>
        <w:rPr>
          <w:rFonts w:hint="eastAsia" w:ascii="Times New Roman" w:hAnsi="Times New Roman" w:eastAsia="宋体" w:cs="Times New Roman"/>
          <w:b w:val="0"/>
          <w:color w:val="auto"/>
          <w:kern w:val="2"/>
          <w:sz w:val="21"/>
          <w:szCs w:val="21"/>
          <w:highlight w:val="none"/>
          <w:lang w:val="en-US" w:eastAsia="zh-CN" w:bidi="ar-SA"/>
        </w:rPr>
        <w:t>．</w:t>
      </w:r>
      <w:r>
        <w:rPr>
          <w:rFonts w:hint="default" w:ascii="Times New Roman" w:hAnsi="Times New Roman" w:cs="Times New Roman"/>
          <w:color w:val="auto"/>
          <w:sz w:val="21"/>
          <w:szCs w:val="21"/>
          <w:highlight w:val="none"/>
        </w:rPr>
        <w:t>我方同意按照贵方要求提供与投标有关的一切数据或者资料。</w:t>
      </w:r>
    </w:p>
    <w:p w14:paraId="19A4B4F7">
      <w:pPr>
        <w:snapToGrid w:val="0"/>
        <w:spacing w:line="36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w:t>
      </w:r>
      <w:r>
        <w:rPr>
          <w:rFonts w:hint="eastAsia" w:ascii="Times New Roman" w:hAnsi="Times New Roman" w:eastAsia="宋体" w:cs="Times New Roman"/>
          <w:b w:val="0"/>
          <w:color w:val="auto"/>
          <w:kern w:val="2"/>
          <w:sz w:val="21"/>
          <w:szCs w:val="21"/>
          <w:highlight w:val="none"/>
          <w:lang w:val="en-US" w:eastAsia="zh-CN" w:bidi="ar-SA"/>
        </w:rPr>
        <w:t>．</w:t>
      </w:r>
      <w:r>
        <w:rPr>
          <w:rFonts w:hint="default" w:ascii="Times New Roman" w:hAnsi="Times New Roman" w:cs="Times New Roman"/>
          <w:color w:val="auto"/>
          <w:sz w:val="21"/>
          <w:szCs w:val="21"/>
          <w:highlight w:val="none"/>
        </w:rPr>
        <w:t>我方向贵方提交的所有投标文件、资料都是准确的和真实的。</w:t>
      </w:r>
    </w:p>
    <w:p w14:paraId="09A2967B">
      <w:pPr>
        <w:snapToGrid w:val="0"/>
        <w:spacing w:line="36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w:t>
      </w:r>
      <w:r>
        <w:rPr>
          <w:rFonts w:hint="eastAsia" w:ascii="Times New Roman" w:hAnsi="Times New Roman" w:eastAsia="宋体" w:cs="Times New Roman"/>
          <w:b w:val="0"/>
          <w:color w:val="auto"/>
          <w:kern w:val="2"/>
          <w:sz w:val="21"/>
          <w:szCs w:val="21"/>
          <w:highlight w:val="none"/>
          <w:lang w:val="en-US" w:eastAsia="zh-CN" w:bidi="ar-SA"/>
        </w:rPr>
        <w:t>．</w:t>
      </w:r>
      <w:r>
        <w:rPr>
          <w:rFonts w:hint="default" w:ascii="Times New Roman" w:hAnsi="Times New Roman" w:cs="Times New Roman"/>
          <w:color w:val="auto"/>
          <w:sz w:val="21"/>
          <w:szCs w:val="21"/>
          <w:highlight w:val="none"/>
        </w:rPr>
        <w:t>以上事项如有虚假或者隐瞒，我方愿意承担一切后果，并不再寻求任何旨在减轻或者免除法律责任的辩解。</w:t>
      </w:r>
    </w:p>
    <w:p w14:paraId="10446793">
      <w:pPr>
        <w:spacing w:line="36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8</w:t>
      </w:r>
      <w:r>
        <w:rPr>
          <w:rFonts w:hint="eastAsia" w:ascii="Times New Roman" w:hAnsi="Times New Roman" w:eastAsia="宋体" w:cs="Times New Roman"/>
          <w:b w:val="0"/>
          <w:color w:val="auto"/>
          <w:kern w:val="2"/>
          <w:sz w:val="21"/>
          <w:szCs w:val="21"/>
          <w:highlight w:val="none"/>
          <w:lang w:val="en-US" w:eastAsia="zh-CN" w:bidi="ar-SA"/>
        </w:rPr>
        <w:t>．</w:t>
      </w:r>
      <w:r>
        <w:rPr>
          <w:rFonts w:hint="default" w:ascii="Times New Roman" w:hAnsi="Times New Roman" w:cs="Times New Roman"/>
          <w:color w:val="auto"/>
          <w:sz w:val="21"/>
          <w:szCs w:val="21"/>
          <w:highlight w:val="none"/>
        </w:rPr>
        <w:t>根据《中华人民共和国政府采购法实施条例》第五十条要求对政府采购合同进行公告，但政府采购合同中涉及国家秘密、商业秘密的内容除外。我方就对本次投标文件进行注明如下：（两项内容中必须选择一项）</w:t>
      </w:r>
    </w:p>
    <w:p w14:paraId="5EB96A85">
      <w:pPr>
        <w:spacing w:line="360" w:lineRule="auto"/>
        <w:ind w:firstLine="420" w:firstLineChars="200"/>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我方本次投标文件</w:t>
      </w:r>
      <w:r>
        <w:rPr>
          <w:rFonts w:hint="default" w:ascii="Times New Roman" w:hAnsi="Times New Roman" w:cs="Times New Roman"/>
          <w:color w:val="auto"/>
          <w:kern w:val="0"/>
          <w:sz w:val="21"/>
          <w:szCs w:val="21"/>
          <w:highlight w:val="none"/>
        </w:rPr>
        <w:t>内容中</w:t>
      </w:r>
      <w:r>
        <w:rPr>
          <w:rFonts w:hint="default" w:ascii="Times New Roman" w:hAnsi="Times New Roman" w:cs="Times New Roman"/>
          <w:color w:val="auto"/>
          <w:sz w:val="21"/>
          <w:szCs w:val="21"/>
          <w:highlight w:val="none"/>
        </w:rPr>
        <w:t>未</w:t>
      </w:r>
      <w:r>
        <w:rPr>
          <w:rFonts w:hint="default" w:ascii="Times New Roman" w:hAnsi="Times New Roman" w:cs="Times New Roman"/>
          <w:color w:val="auto"/>
          <w:kern w:val="0"/>
          <w:sz w:val="21"/>
          <w:szCs w:val="21"/>
          <w:highlight w:val="none"/>
        </w:rPr>
        <w:t>涉及商业秘密；</w:t>
      </w:r>
    </w:p>
    <w:p w14:paraId="6F16891B">
      <w:pPr>
        <w:snapToGrid w:val="0"/>
        <w:spacing w:line="360" w:lineRule="auto"/>
        <w:ind w:firstLine="420" w:firstLineChars="200"/>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我方本次投标文件</w:t>
      </w:r>
      <w:r>
        <w:rPr>
          <w:rFonts w:hint="default" w:ascii="Times New Roman" w:hAnsi="Times New Roman" w:cs="Times New Roman"/>
          <w:color w:val="auto"/>
          <w:kern w:val="0"/>
          <w:sz w:val="21"/>
          <w:szCs w:val="21"/>
          <w:highlight w:val="none"/>
        </w:rPr>
        <w:t>涉及商业秘密的内容有：</w:t>
      </w:r>
      <w:r>
        <w:rPr>
          <w:rFonts w:hint="default" w:ascii="Times New Roman" w:hAnsi="Times New Roman" w:cs="Times New Roman"/>
          <w:color w:val="auto"/>
          <w:kern w:val="0"/>
          <w:sz w:val="21"/>
          <w:szCs w:val="21"/>
          <w:highlight w:val="none"/>
          <w:u w:val="single"/>
        </w:rPr>
        <w:t xml:space="preserve">                         </w:t>
      </w:r>
      <w:r>
        <w:rPr>
          <w:rFonts w:hint="default" w:ascii="Times New Roman" w:hAnsi="Times New Roman" w:cs="Times New Roman"/>
          <w:color w:val="auto"/>
          <w:kern w:val="0"/>
          <w:sz w:val="21"/>
          <w:szCs w:val="21"/>
          <w:highlight w:val="none"/>
        </w:rPr>
        <w:t>；</w:t>
      </w:r>
    </w:p>
    <w:p w14:paraId="01537A67">
      <w:pPr>
        <w:snapToGrid w:val="0"/>
        <w:spacing w:line="36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9</w:t>
      </w:r>
      <w:r>
        <w:rPr>
          <w:rFonts w:hint="eastAsia" w:ascii="Times New Roman" w:hAnsi="Times New Roman" w:eastAsia="宋体" w:cs="Times New Roman"/>
          <w:b w:val="0"/>
          <w:color w:val="auto"/>
          <w:kern w:val="2"/>
          <w:sz w:val="21"/>
          <w:szCs w:val="21"/>
          <w:highlight w:val="none"/>
          <w:lang w:val="en-US" w:eastAsia="zh-CN" w:bidi="ar-SA"/>
        </w:rPr>
        <w:t>．</w:t>
      </w:r>
      <w:r>
        <w:rPr>
          <w:rFonts w:hint="default" w:ascii="Times New Roman" w:hAnsi="Times New Roman" w:cs="Times New Roman"/>
          <w:color w:val="auto"/>
          <w:sz w:val="21"/>
          <w:szCs w:val="21"/>
          <w:highlight w:val="none"/>
        </w:rPr>
        <w:t>与本投标有关的一切正式往来信函请寄：</w:t>
      </w:r>
    </w:p>
    <w:p w14:paraId="7B8C0A0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rPr>
        <w:t>地址：</w:t>
      </w:r>
      <w:r>
        <w:rPr>
          <w:rFonts w:hint="default" w:ascii="Times New Roman" w:hAnsi="Times New Roman" w:cs="Times New Roman"/>
          <w:color w:val="auto"/>
          <w:sz w:val="21"/>
          <w:szCs w:val="21"/>
          <w:highlight w:val="none"/>
          <w:u w:val="single"/>
        </w:rPr>
        <w:t xml:space="preserve">       </w:t>
      </w:r>
      <w:r>
        <w:rPr>
          <w:rFonts w:hint="eastAsia"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single"/>
        </w:rPr>
        <w:t xml:space="preserve">   </w:t>
      </w:r>
      <w:r>
        <w:rPr>
          <w:rFonts w:hint="default" w:ascii="Times New Roman" w:hAnsi="Times New Roman" w:cs="Times New Roman"/>
          <w:color w:val="auto"/>
          <w:sz w:val="21"/>
          <w:szCs w:val="21"/>
          <w:highlight w:val="none"/>
        </w:rPr>
        <w:t>邮编：</w:t>
      </w:r>
      <w:r>
        <w:rPr>
          <w:rFonts w:hint="default" w:ascii="Times New Roman" w:hAnsi="Times New Roman" w:cs="Times New Roman"/>
          <w:color w:val="auto"/>
          <w:sz w:val="21"/>
          <w:szCs w:val="21"/>
          <w:highlight w:val="none"/>
          <w:u w:val="single"/>
        </w:rPr>
        <w:t xml:space="preserve">     </w:t>
      </w:r>
      <w:r>
        <w:rPr>
          <w:rFonts w:hint="eastAsia"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single"/>
        </w:rPr>
        <w:t xml:space="preserve">       </w:t>
      </w:r>
    </w:p>
    <w:p w14:paraId="12443B4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电话：</w:t>
      </w:r>
      <w:r>
        <w:rPr>
          <w:rFonts w:hint="default" w:ascii="Times New Roman" w:hAnsi="Times New Roman" w:cs="Times New Roman"/>
          <w:color w:val="auto"/>
          <w:sz w:val="21"/>
          <w:szCs w:val="21"/>
          <w:highlight w:val="none"/>
          <w:u w:val="single"/>
        </w:rPr>
        <w:t xml:space="preserve">    </w:t>
      </w:r>
      <w:r>
        <w:rPr>
          <w:rFonts w:hint="eastAsia"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single"/>
        </w:rPr>
        <w:t xml:space="preserve">    </w:t>
      </w:r>
      <w:r>
        <w:rPr>
          <w:rFonts w:hint="eastAsia" w:ascii="Times New Roman" w:hAnsi="Times New Roman" w:cs="Times New Roman"/>
          <w:color w:val="auto"/>
          <w:sz w:val="21"/>
          <w:szCs w:val="21"/>
          <w:highlight w:val="none"/>
          <w:u w:val="single"/>
          <w:lang w:val="en-US" w:eastAsia="zh-CN"/>
        </w:rPr>
        <w:t xml:space="preserve">   </w:t>
      </w:r>
      <w:r>
        <w:rPr>
          <w:rFonts w:hint="eastAsia" w:ascii="Times New Roman" w:hAnsi="Times New Roman" w:cs="Times New Roman"/>
          <w:color w:val="auto"/>
          <w:sz w:val="21"/>
          <w:szCs w:val="21"/>
          <w:highlight w:val="none"/>
          <w:u w:val="none"/>
          <w:lang w:val="en-US" w:eastAsia="zh-CN"/>
        </w:rPr>
        <w:t xml:space="preserve">     </w:t>
      </w:r>
      <w:r>
        <w:rPr>
          <w:rFonts w:hint="default" w:ascii="Times New Roman" w:hAnsi="Times New Roman" w:cs="Times New Roman"/>
          <w:color w:val="auto"/>
          <w:sz w:val="21"/>
          <w:szCs w:val="21"/>
          <w:highlight w:val="none"/>
        </w:rPr>
        <w:t>传真：</w:t>
      </w:r>
      <w:r>
        <w:rPr>
          <w:rFonts w:hint="default" w:ascii="Times New Roman" w:hAnsi="Times New Roman" w:cs="Times New Roman"/>
          <w:color w:val="auto"/>
          <w:sz w:val="21"/>
          <w:szCs w:val="21"/>
          <w:highlight w:val="none"/>
          <w:u w:val="single"/>
        </w:rPr>
        <w:t xml:space="preserve">     </w:t>
      </w:r>
      <w:r>
        <w:rPr>
          <w:rFonts w:hint="eastAsia"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single"/>
        </w:rPr>
        <w:t xml:space="preserve">     </w:t>
      </w:r>
    </w:p>
    <w:p w14:paraId="1DCBF18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投标人名称</w:t>
      </w:r>
      <w:r>
        <w:rPr>
          <w:rFonts w:hint="eastAsia"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u w:val="single"/>
        </w:rPr>
        <w:t xml:space="preserve">          </w:t>
      </w:r>
      <w:r>
        <w:rPr>
          <w:rFonts w:hint="eastAsia"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single"/>
        </w:rPr>
        <w:t xml:space="preserve">      </w:t>
      </w:r>
    </w:p>
    <w:p w14:paraId="519AC0C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开户银行：</w:t>
      </w:r>
      <w:r>
        <w:rPr>
          <w:rFonts w:hint="default" w:ascii="Times New Roman" w:hAnsi="Times New Roman" w:cs="Times New Roman"/>
          <w:color w:val="auto"/>
          <w:sz w:val="21"/>
          <w:szCs w:val="21"/>
          <w:highlight w:val="none"/>
          <w:u w:val="single"/>
        </w:rPr>
        <w:t xml:space="preserve">                   </w:t>
      </w:r>
      <w:r>
        <w:rPr>
          <w:rFonts w:hint="eastAsia"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single"/>
        </w:rPr>
        <w:t xml:space="preserve">   </w:t>
      </w:r>
      <w:r>
        <w:rPr>
          <w:rFonts w:hint="default" w:ascii="Times New Roman" w:hAnsi="Times New Roman" w:cs="Times New Roman"/>
          <w:color w:val="auto"/>
          <w:sz w:val="21"/>
          <w:szCs w:val="21"/>
          <w:highlight w:val="none"/>
        </w:rPr>
        <w:t xml:space="preserve">   银行帐号：</w:t>
      </w:r>
      <w:r>
        <w:rPr>
          <w:rFonts w:hint="default" w:ascii="Times New Roman" w:hAnsi="Times New Roman" w:cs="Times New Roman"/>
          <w:color w:val="auto"/>
          <w:sz w:val="21"/>
          <w:szCs w:val="21"/>
          <w:highlight w:val="none"/>
          <w:u w:val="single"/>
        </w:rPr>
        <w:t xml:space="preserve">      </w:t>
      </w:r>
      <w:r>
        <w:rPr>
          <w:rFonts w:hint="eastAsia"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single"/>
        </w:rPr>
        <w:t xml:space="preserve">              </w:t>
      </w:r>
      <w:r>
        <w:rPr>
          <w:rFonts w:hint="default" w:ascii="Times New Roman" w:hAnsi="Times New Roman" w:cs="Times New Roman"/>
          <w:color w:val="auto"/>
          <w:sz w:val="21"/>
          <w:szCs w:val="21"/>
          <w:highlight w:val="none"/>
        </w:rPr>
        <w:t xml:space="preserve"> </w:t>
      </w:r>
    </w:p>
    <w:p w14:paraId="4613B91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default" w:ascii="Times New Roman" w:hAnsi="Times New Roman" w:cs="Times New Roman"/>
          <w:color w:val="auto"/>
          <w:sz w:val="21"/>
          <w:szCs w:val="21"/>
          <w:highlight w:val="none"/>
        </w:rPr>
      </w:pPr>
    </w:p>
    <w:p w14:paraId="4DAB587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default" w:ascii="Times New Roman" w:hAnsi="Times New Roman" w:cs="Times New Roman"/>
          <w:color w:val="auto"/>
          <w:sz w:val="21"/>
          <w:szCs w:val="21"/>
          <w:highlight w:val="none"/>
        </w:rPr>
      </w:pPr>
    </w:p>
    <w:p w14:paraId="4D24C05D">
      <w:pPr>
        <w:keepNext w:val="0"/>
        <w:keepLines w:val="0"/>
        <w:pageBreakBefore w:val="0"/>
        <w:widowControl w:val="0"/>
        <w:kinsoku/>
        <w:wordWrap/>
        <w:overflowPunct/>
        <w:topLinePunct w:val="0"/>
        <w:autoSpaceDE/>
        <w:autoSpaceDN/>
        <w:bidi w:val="0"/>
        <w:adjustRightInd/>
        <w:snapToGrid w:val="0"/>
        <w:spacing w:line="480" w:lineRule="auto"/>
        <w:ind w:firstLine="2730" w:firstLineChars="130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法定代表人或者委托代理人（</w:t>
      </w:r>
      <w:r>
        <w:rPr>
          <w:color w:val="auto"/>
          <w:szCs w:val="21"/>
          <w:highlight w:val="none"/>
        </w:rPr>
        <w:t>签字或电子签名</w:t>
      </w:r>
      <w:r>
        <w:rPr>
          <w:rFonts w:hint="default"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rPr>
        <w:t xml:space="preserve"> </w:t>
      </w:r>
    </w:p>
    <w:p w14:paraId="4E156C00">
      <w:pPr>
        <w:pStyle w:val="17"/>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default" w:ascii="Times New Roman" w:hAnsi="Times New Roman" w:eastAsia="宋体" w:cs="Times New Roman"/>
          <w:color w:val="auto"/>
          <w:sz w:val="21"/>
          <w:szCs w:val="21"/>
          <w:highlight w:val="none"/>
          <w:u w:val="single"/>
          <w:lang w:val="en-US" w:eastAsia="zh-CN"/>
        </w:rPr>
      </w:pPr>
      <w:r>
        <w:rPr>
          <w:rFonts w:hint="default" w:ascii="Times New Roman" w:hAnsi="Times New Roman" w:cs="Times New Roman"/>
          <w:color w:val="auto"/>
          <w:sz w:val="21"/>
          <w:szCs w:val="21"/>
          <w:highlight w:val="none"/>
        </w:rPr>
        <w:t xml:space="preserve">                    投标人（</w:t>
      </w:r>
      <w:r>
        <w:rPr>
          <w:rFonts w:hint="eastAsia" w:ascii="Times New Roman" w:hAnsi="Times New Roman" w:cs="Times New Roman"/>
          <w:color w:val="auto"/>
          <w:sz w:val="21"/>
          <w:szCs w:val="21"/>
          <w:highlight w:val="none"/>
          <w:lang w:eastAsia="zh-CN"/>
        </w:rPr>
        <w:t>电子签章</w:t>
      </w:r>
      <w:r>
        <w:rPr>
          <w:rFonts w:hint="default"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u w:val="single"/>
          <w:lang w:val="en-US" w:eastAsia="zh-CN"/>
        </w:rPr>
        <w:t xml:space="preserve">                     </w:t>
      </w:r>
    </w:p>
    <w:p w14:paraId="7086968D">
      <w:pPr>
        <w:keepNext w:val="0"/>
        <w:keepLines w:val="0"/>
        <w:pageBreakBefore w:val="0"/>
        <w:widowControl w:val="0"/>
        <w:kinsoku/>
        <w:wordWrap/>
        <w:overflowPunct/>
        <w:topLinePunct w:val="0"/>
        <w:autoSpaceDE/>
        <w:autoSpaceDN/>
        <w:bidi w:val="0"/>
        <w:adjustRightInd/>
        <w:spacing w:line="480" w:lineRule="auto"/>
        <w:ind w:left="4200" w:leftChars="2000" w:right="-817" w:rightChars="-389" w:firstLine="1890" w:firstLineChars="900"/>
        <w:contextualSpacing/>
        <w:textAlignment w:val="auto"/>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u w:val="single"/>
          <w:lang w:val="en-US" w:eastAsia="zh-CN"/>
        </w:rPr>
        <w:t xml:space="preserve">          </w:t>
      </w:r>
      <w:r>
        <w:rPr>
          <w:rFonts w:hint="eastAsia" w:ascii="Times New Roman" w:hAnsi="Times New Roman" w:cs="Times New Roman"/>
          <w:color w:val="auto"/>
          <w:sz w:val="21"/>
          <w:szCs w:val="21"/>
          <w:highlight w:val="none"/>
          <w:lang w:val="en-US" w:eastAsia="zh-CN"/>
        </w:rPr>
        <w:t>年</w:t>
      </w:r>
      <w:r>
        <w:rPr>
          <w:rFonts w:hint="default" w:ascii="Times New Roman" w:hAnsi="Times New Roman" w:cs="Times New Roman"/>
          <w:color w:val="auto"/>
          <w:sz w:val="21"/>
          <w:szCs w:val="21"/>
          <w:highlight w:val="none"/>
          <w:u w:val="single"/>
        </w:rPr>
        <w:t xml:space="preserve">  </w:t>
      </w:r>
      <w:r>
        <w:rPr>
          <w:rFonts w:hint="eastAsia"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single"/>
        </w:rPr>
        <w:t xml:space="preserve">  </w:t>
      </w:r>
      <w:r>
        <w:rPr>
          <w:rFonts w:hint="default" w:ascii="Times New Roman" w:hAnsi="Times New Roman" w:cs="Times New Roman"/>
          <w:color w:val="auto"/>
          <w:sz w:val="21"/>
          <w:szCs w:val="21"/>
          <w:highlight w:val="none"/>
        </w:rPr>
        <w:t>月</w:t>
      </w:r>
      <w:r>
        <w:rPr>
          <w:rFonts w:hint="default" w:ascii="Times New Roman" w:hAnsi="Times New Roman" w:cs="Times New Roman"/>
          <w:color w:val="auto"/>
          <w:sz w:val="21"/>
          <w:szCs w:val="21"/>
          <w:highlight w:val="none"/>
          <w:u w:val="single"/>
        </w:rPr>
        <w:t xml:space="preserve">     </w:t>
      </w:r>
      <w:r>
        <w:rPr>
          <w:rFonts w:hint="default" w:ascii="Times New Roman" w:hAnsi="Times New Roman" w:cs="Times New Roman"/>
          <w:color w:val="auto"/>
          <w:sz w:val="21"/>
          <w:szCs w:val="21"/>
          <w:highlight w:val="none"/>
        </w:rPr>
        <w:t>日</w:t>
      </w:r>
    </w:p>
    <w:p w14:paraId="5C365261">
      <w:pPr>
        <w:rPr>
          <w:color w:val="auto"/>
          <w:szCs w:val="21"/>
          <w:highlight w:val="none"/>
        </w:rPr>
      </w:pPr>
      <w:r>
        <w:rPr>
          <w:color w:val="auto"/>
          <w:szCs w:val="21"/>
          <w:highlight w:val="none"/>
        </w:rPr>
        <w:br w:type="page"/>
      </w:r>
    </w:p>
    <w:p w14:paraId="6B5972E1">
      <w:pPr>
        <w:snapToGrid w:val="0"/>
        <w:spacing w:line="360" w:lineRule="auto"/>
        <w:jc w:val="center"/>
        <w:rPr>
          <w:rFonts w:hint="eastAsia" w:ascii="Times New Roman" w:hAnsi="Times New Roman" w:eastAsia="宋体" w:cs="Times New Roman"/>
          <w:b/>
          <w:bCs/>
          <w:color w:val="auto"/>
          <w:spacing w:val="20"/>
          <w:sz w:val="21"/>
          <w:szCs w:val="21"/>
          <w:highlight w:val="none"/>
          <w:lang w:eastAsia="zh-CN"/>
        </w:rPr>
      </w:pPr>
    </w:p>
    <w:p w14:paraId="6BD703D5">
      <w:pPr>
        <w:snapToGrid w:val="0"/>
        <w:spacing w:line="360" w:lineRule="auto"/>
        <w:jc w:val="center"/>
        <w:rPr>
          <w:rFonts w:hint="eastAsia" w:ascii="Times New Roman" w:hAnsi="Times New Roman" w:eastAsia="宋体" w:cs="Times New Roman"/>
          <w:b/>
          <w:bCs/>
          <w:color w:val="auto"/>
          <w:spacing w:val="20"/>
          <w:sz w:val="30"/>
          <w:szCs w:val="30"/>
          <w:highlight w:val="none"/>
          <w:lang w:eastAsia="zh-CN"/>
        </w:rPr>
      </w:pPr>
      <w:r>
        <w:rPr>
          <w:rFonts w:hint="eastAsia" w:cs="Times New Roman"/>
          <w:b/>
          <w:bCs/>
          <w:color w:val="auto"/>
          <w:spacing w:val="20"/>
          <w:sz w:val="30"/>
          <w:szCs w:val="30"/>
          <w:highlight w:val="none"/>
          <w:lang w:eastAsia="zh-CN"/>
        </w:rPr>
        <w:t>固定单价确认</w:t>
      </w:r>
      <w:r>
        <w:rPr>
          <w:rFonts w:hint="eastAsia" w:ascii="Times New Roman" w:hAnsi="Times New Roman" w:eastAsia="宋体" w:cs="Times New Roman"/>
          <w:b/>
          <w:bCs/>
          <w:color w:val="auto"/>
          <w:spacing w:val="20"/>
          <w:sz w:val="30"/>
          <w:szCs w:val="30"/>
          <w:highlight w:val="none"/>
          <w:lang w:eastAsia="zh-CN"/>
        </w:rPr>
        <w:t>表</w:t>
      </w:r>
    </w:p>
    <w:p w14:paraId="184FDFB3">
      <w:pPr>
        <w:snapToGrid w:val="0"/>
        <w:spacing w:before="50" w:after="50"/>
        <w:jc w:val="center"/>
        <w:rPr>
          <w:rFonts w:hint="default" w:ascii="Times New Roman" w:hAnsi="Times New Roman" w:cs="Times New Roman"/>
          <w:b/>
          <w:color w:val="auto"/>
          <w:sz w:val="21"/>
          <w:szCs w:val="21"/>
          <w:highlight w:val="none"/>
        </w:rPr>
      </w:pPr>
    </w:p>
    <w:p w14:paraId="72F0FAA4">
      <w:pPr>
        <w:snapToGrid w:val="0"/>
        <w:spacing w:before="50" w:after="50" w:line="36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项目名称：</w:t>
      </w:r>
      <w:r>
        <w:rPr>
          <w:rFonts w:hint="default" w:ascii="Times New Roman" w:hAnsi="Times New Roman" w:cs="Times New Roman"/>
          <w:color w:val="auto"/>
          <w:sz w:val="21"/>
          <w:szCs w:val="21"/>
          <w:highlight w:val="none"/>
          <w:u w:val="single"/>
        </w:rPr>
        <w:t xml:space="preserve">       </w:t>
      </w:r>
      <w:r>
        <w:rPr>
          <w:rFonts w:hint="eastAsia"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single"/>
        </w:rPr>
        <w:t xml:space="preserve">    </w:t>
      </w:r>
      <w:r>
        <w:rPr>
          <w:rFonts w:hint="default" w:ascii="Times New Roman" w:hAnsi="Times New Roman" w:cs="Times New Roman"/>
          <w:color w:val="auto"/>
          <w:sz w:val="21"/>
          <w:szCs w:val="21"/>
          <w:highlight w:val="none"/>
        </w:rPr>
        <w:t xml:space="preserve">      项目编号：</w:t>
      </w:r>
      <w:r>
        <w:rPr>
          <w:rFonts w:hint="default" w:ascii="Times New Roman" w:hAnsi="Times New Roman" w:cs="Times New Roman"/>
          <w:color w:val="auto"/>
          <w:sz w:val="21"/>
          <w:szCs w:val="21"/>
          <w:highlight w:val="none"/>
          <w:u w:val="single"/>
        </w:rPr>
        <w:t xml:space="preserve">   </w:t>
      </w:r>
      <w:r>
        <w:rPr>
          <w:rFonts w:hint="eastAsia"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single"/>
        </w:rPr>
        <w:t xml:space="preserve">         </w:t>
      </w:r>
      <w:r>
        <w:rPr>
          <w:rFonts w:hint="default" w:ascii="Times New Roman" w:hAnsi="Times New Roman" w:cs="Times New Roman"/>
          <w:color w:val="auto"/>
          <w:sz w:val="21"/>
          <w:szCs w:val="21"/>
          <w:highlight w:val="none"/>
        </w:rPr>
        <w:t xml:space="preserve">        </w:t>
      </w:r>
    </w:p>
    <w:p w14:paraId="19ADEB7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投标人名称：</w:t>
      </w:r>
      <w:r>
        <w:rPr>
          <w:rFonts w:hint="default" w:ascii="Times New Roman" w:hAnsi="Times New Roman" w:cs="Times New Roman"/>
          <w:color w:val="auto"/>
          <w:sz w:val="21"/>
          <w:szCs w:val="21"/>
          <w:highlight w:val="none"/>
          <w:u w:val="single"/>
        </w:rPr>
        <w:t xml:space="preserve">      </w:t>
      </w:r>
      <w:r>
        <w:rPr>
          <w:rFonts w:hint="eastAsia"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single"/>
        </w:rPr>
        <w:t xml:space="preserve">  </w:t>
      </w:r>
      <w:r>
        <w:rPr>
          <w:rFonts w:hint="default" w:ascii="Times New Roman" w:hAnsi="Times New Roman" w:cs="Times New Roman"/>
          <w:color w:val="auto"/>
          <w:sz w:val="21"/>
          <w:szCs w:val="21"/>
          <w:highlight w:val="none"/>
        </w:rPr>
        <w:t xml:space="preserve">                       </w:t>
      </w:r>
    </w:p>
    <w:p w14:paraId="28C060B9">
      <w:pPr>
        <w:keepNext w:val="0"/>
        <w:keepLines w:val="0"/>
        <w:pageBreakBefore w:val="0"/>
        <w:widowControl w:val="0"/>
        <w:kinsoku/>
        <w:wordWrap/>
        <w:overflowPunct/>
        <w:topLinePunct w:val="0"/>
        <w:autoSpaceDE/>
        <w:autoSpaceDN/>
        <w:bidi w:val="0"/>
        <w:adjustRightInd/>
        <w:snapToGrid w:val="0"/>
        <w:spacing w:line="240" w:lineRule="exact"/>
        <w:ind w:firstLine="8190" w:firstLineChars="39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单位：元</w:t>
      </w:r>
    </w:p>
    <w:tbl>
      <w:tblPr>
        <w:tblStyle w:val="32"/>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2665"/>
        <w:gridCol w:w="1582"/>
        <w:gridCol w:w="1691"/>
        <w:gridCol w:w="1865"/>
        <w:gridCol w:w="1064"/>
      </w:tblGrid>
      <w:tr w14:paraId="37E1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right"/>
        </w:trPr>
        <w:tc>
          <w:tcPr>
            <w:tcW w:w="653" w:type="dxa"/>
            <w:tcBorders>
              <w:top w:val="single" w:color="auto" w:sz="4" w:space="0"/>
              <w:left w:val="single" w:color="auto" w:sz="4" w:space="0"/>
              <w:bottom w:val="single" w:color="auto" w:sz="4" w:space="0"/>
              <w:right w:val="single" w:color="auto" w:sz="4" w:space="0"/>
            </w:tcBorders>
            <w:noWrap w:val="0"/>
            <w:vAlign w:val="center"/>
          </w:tcPr>
          <w:p w14:paraId="12FE4C7B">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序号</w:t>
            </w:r>
          </w:p>
        </w:tc>
        <w:tc>
          <w:tcPr>
            <w:tcW w:w="2665" w:type="dxa"/>
            <w:tcBorders>
              <w:top w:val="single" w:color="auto" w:sz="4" w:space="0"/>
              <w:left w:val="single" w:color="auto" w:sz="4" w:space="0"/>
              <w:bottom w:val="single" w:color="auto" w:sz="4" w:space="0"/>
              <w:right w:val="single" w:color="auto" w:sz="4" w:space="0"/>
            </w:tcBorders>
            <w:noWrap w:val="0"/>
            <w:vAlign w:val="center"/>
          </w:tcPr>
          <w:p w14:paraId="0F76231A">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imes New Roman" w:hAnsi="Times New Roman" w:cs="Times New Roman"/>
                <w:b/>
                <w:bCs/>
                <w:color w:val="auto"/>
                <w:sz w:val="21"/>
                <w:szCs w:val="21"/>
                <w:highlight w:val="none"/>
              </w:rPr>
            </w:pPr>
            <w:r>
              <w:rPr>
                <w:rFonts w:hint="eastAsia" w:ascii="Times New Roman" w:hAnsi="Times New Roman" w:eastAsia="宋体" w:cs="Times New Roman"/>
                <w:b/>
                <w:bCs/>
                <w:color w:val="auto"/>
                <w:sz w:val="21"/>
                <w:szCs w:val="21"/>
                <w:highlight w:val="none"/>
              </w:rPr>
              <w:t>服务项目</w:t>
            </w:r>
            <w:r>
              <w:rPr>
                <w:rFonts w:hint="eastAsia" w:ascii="Times New Roman" w:hAnsi="Times New Roman" w:eastAsia="宋体" w:cs="Times New Roman"/>
                <w:b/>
                <w:bCs/>
                <w:color w:val="auto"/>
                <w:sz w:val="21"/>
                <w:szCs w:val="21"/>
                <w:highlight w:val="none"/>
                <w:lang w:eastAsia="zh-CN"/>
              </w:rPr>
              <w:t>名称</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60B5AEDC">
            <w:pPr>
              <w:jc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cs="Times New Roman"/>
                <w:b/>
                <w:bCs/>
                <w:color w:val="auto"/>
                <w:szCs w:val="22"/>
                <w:highlight w:val="none"/>
                <w:lang w:eastAsia="zh-CN"/>
              </w:rPr>
              <w:t>参保人数(人)</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757F7B6C">
            <w:pPr>
              <w:jc w:val="center"/>
              <w:rPr>
                <w:rFonts w:hint="default" w:ascii="Times New Roman" w:hAnsi="Times New Roman" w:cs="Times New Roman"/>
                <w:b/>
                <w:bCs/>
                <w:color w:val="auto"/>
                <w:szCs w:val="22"/>
                <w:highlight w:val="none"/>
                <w:lang w:eastAsia="zh-CN"/>
              </w:rPr>
            </w:pPr>
            <w:r>
              <w:rPr>
                <w:rFonts w:hint="default" w:ascii="Times New Roman" w:hAnsi="Times New Roman" w:cs="Times New Roman"/>
                <w:b/>
                <w:bCs/>
                <w:color w:val="auto"/>
                <w:szCs w:val="22"/>
                <w:highlight w:val="none"/>
                <w:lang w:eastAsia="zh-CN"/>
              </w:rPr>
              <w:t>缴费标准单价</w:t>
            </w:r>
          </w:p>
          <w:p w14:paraId="17D12B20">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Cs w:val="22"/>
                <w:highlight w:val="none"/>
                <w:lang w:eastAsia="zh-CN"/>
              </w:rPr>
              <w:t>（元/人</w:t>
            </w:r>
            <w:r>
              <w:rPr>
                <w:rFonts w:hint="default" w:ascii="Times New Roman" w:hAnsi="Times New Roman" w:cs="Times New Roman"/>
                <w:b/>
                <w:bCs/>
                <w:color w:val="auto"/>
                <w:szCs w:val="22"/>
                <w:highlight w:val="none"/>
                <w:lang w:val="en-US" w:eastAsia="zh-CN"/>
              </w:rPr>
              <w:t>/</w:t>
            </w:r>
            <w:r>
              <w:rPr>
                <w:rFonts w:hint="default" w:ascii="Times New Roman" w:hAnsi="Times New Roman" w:cs="Times New Roman"/>
                <w:b/>
                <w:bCs/>
                <w:color w:val="auto"/>
                <w:szCs w:val="22"/>
                <w:highlight w:val="none"/>
                <w:lang w:eastAsia="zh-CN"/>
              </w:rPr>
              <w:t>年）</w:t>
            </w:r>
          </w:p>
        </w:tc>
        <w:tc>
          <w:tcPr>
            <w:tcW w:w="1865" w:type="dxa"/>
            <w:tcBorders>
              <w:top w:val="single" w:color="auto" w:sz="4" w:space="0"/>
              <w:left w:val="single" w:color="auto" w:sz="4" w:space="0"/>
              <w:bottom w:val="single" w:color="auto" w:sz="4" w:space="0"/>
              <w:right w:val="single" w:color="auto" w:sz="4" w:space="0"/>
            </w:tcBorders>
            <w:noWrap w:val="0"/>
            <w:vAlign w:val="center"/>
          </w:tcPr>
          <w:p w14:paraId="209394A1">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cs="Times New Roman" w:eastAsiaTheme="minorEastAsia"/>
                <w:b/>
                <w:color w:val="auto"/>
                <w:sz w:val="21"/>
                <w:szCs w:val="21"/>
                <w:highlight w:val="none"/>
                <w:lang w:eastAsia="zh-CN"/>
              </w:rPr>
              <w:t>保险期限</w:t>
            </w:r>
          </w:p>
        </w:tc>
        <w:tc>
          <w:tcPr>
            <w:tcW w:w="1064" w:type="dxa"/>
            <w:tcBorders>
              <w:top w:val="single" w:color="auto" w:sz="4" w:space="0"/>
              <w:left w:val="single" w:color="auto" w:sz="4" w:space="0"/>
              <w:bottom w:val="single" w:color="auto" w:sz="4" w:space="0"/>
              <w:right w:val="single" w:color="auto" w:sz="4" w:space="0"/>
            </w:tcBorders>
            <w:noWrap w:val="0"/>
            <w:vAlign w:val="center"/>
          </w:tcPr>
          <w:p w14:paraId="6B9BD40C">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备注</w:t>
            </w:r>
          </w:p>
        </w:tc>
      </w:tr>
      <w:tr w14:paraId="3CDC7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3" w:hRule="atLeast"/>
          <w:jc w:val="right"/>
        </w:trPr>
        <w:tc>
          <w:tcPr>
            <w:tcW w:w="653" w:type="dxa"/>
            <w:tcBorders>
              <w:top w:val="single" w:color="auto" w:sz="4" w:space="0"/>
              <w:left w:val="single" w:color="auto" w:sz="4" w:space="0"/>
              <w:bottom w:val="single" w:color="auto" w:sz="4" w:space="0"/>
              <w:right w:val="single" w:color="auto" w:sz="4" w:space="0"/>
            </w:tcBorders>
            <w:noWrap w:val="0"/>
            <w:vAlign w:val="center"/>
          </w:tcPr>
          <w:p w14:paraId="100C4ABD">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p>
        </w:tc>
        <w:tc>
          <w:tcPr>
            <w:tcW w:w="2665" w:type="dxa"/>
            <w:tcBorders>
              <w:top w:val="single" w:color="auto" w:sz="4" w:space="0"/>
              <w:left w:val="single" w:color="auto" w:sz="4" w:space="0"/>
              <w:bottom w:val="single" w:color="auto" w:sz="4" w:space="0"/>
              <w:right w:val="single" w:color="auto" w:sz="4" w:space="0"/>
            </w:tcBorders>
            <w:noWrap w:val="0"/>
            <w:vAlign w:val="center"/>
          </w:tcPr>
          <w:p w14:paraId="74DE4E5B">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imes New Roman" w:hAnsi="Times New Roman" w:cs="Times New Roman"/>
                <w:color w:val="auto"/>
                <w:sz w:val="21"/>
                <w:szCs w:val="21"/>
                <w:highlight w:val="none"/>
              </w:rPr>
            </w:pPr>
            <w:r>
              <w:rPr>
                <w:rFonts w:hint="eastAsia" w:cs="Times New Roman"/>
                <w:color w:val="auto"/>
                <w:highlight w:val="none"/>
                <w:lang w:eastAsia="zh-CN"/>
              </w:rPr>
              <w:t>2026-2028年度蒙山县公务员补充医疗保险服务采购项目</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20BBA337">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7200</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45073C41">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180</w:t>
            </w:r>
          </w:p>
        </w:tc>
        <w:tc>
          <w:tcPr>
            <w:tcW w:w="1865" w:type="dxa"/>
            <w:tcBorders>
              <w:top w:val="single" w:color="auto" w:sz="4" w:space="0"/>
              <w:left w:val="single" w:color="auto" w:sz="4" w:space="0"/>
              <w:bottom w:val="single" w:color="auto" w:sz="4" w:space="0"/>
              <w:right w:val="single" w:color="auto" w:sz="4" w:space="0"/>
            </w:tcBorders>
            <w:noWrap w:val="0"/>
            <w:vAlign w:val="center"/>
          </w:tcPr>
          <w:p w14:paraId="75EF50D0">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Cs w:val="21"/>
                <w:highlight w:val="none"/>
                <w:lang w:val="en-US" w:eastAsia="zh-CN"/>
              </w:rPr>
              <w:t>自2026年</w:t>
            </w:r>
            <w:r>
              <w:rPr>
                <w:rFonts w:hint="eastAsia" w:cs="Times New Roman"/>
                <w:color w:val="auto"/>
                <w:szCs w:val="21"/>
                <w:highlight w:val="none"/>
                <w:lang w:val="en-US" w:eastAsia="zh-CN"/>
              </w:rPr>
              <w:t>2</w:t>
            </w:r>
            <w:r>
              <w:rPr>
                <w:rFonts w:hint="default" w:ascii="Times New Roman" w:hAnsi="Times New Roman" w:eastAsia="宋体" w:cs="Times New Roman"/>
                <w:color w:val="auto"/>
                <w:szCs w:val="21"/>
                <w:highlight w:val="none"/>
                <w:lang w:val="en-US" w:eastAsia="zh-CN"/>
              </w:rPr>
              <w:t>月1日起至2028年12月31日止</w:t>
            </w:r>
            <w:r>
              <w:rPr>
                <w:rFonts w:hint="default" w:ascii="Times New Roman" w:hAnsi="Times New Roman" w:cs="Times New Roman" w:eastAsiaTheme="minorEastAsia"/>
                <w:b w:val="0"/>
                <w:bCs/>
                <w:color w:val="auto"/>
                <w:sz w:val="21"/>
                <w:szCs w:val="21"/>
                <w:highlight w:val="none"/>
                <w:lang w:val="en-US" w:eastAsia="zh-CN"/>
              </w:rPr>
              <w:t>。</w:t>
            </w:r>
          </w:p>
        </w:tc>
        <w:tc>
          <w:tcPr>
            <w:tcW w:w="1064" w:type="dxa"/>
            <w:tcBorders>
              <w:top w:val="single" w:color="auto" w:sz="4" w:space="0"/>
              <w:left w:val="single" w:color="auto" w:sz="4" w:space="0"/>
              <w:bottom w:val="single" w:color="auto" w:sz="4" w:space="0"/>
              <w:right w:val="single" w:color="auto" w:sz="4" w:space="0"/>
            </w:tcBorders>
            <w:noWrap w:val="0"/>
            <w:vAlign w:val="center"/>
          </w:tcPr>
          <w:p w14:paraId="177D46E0">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imes New Roman" w:hAnsi="Times New Roman" w:cs="Times New Roman"/>
                <w:color w:val="auto"/>
                <w:sz w:val="21"/>
                <w:szCs w:val="21"/>
                <w:highlight w:val="none"/>
              </w:rPr>
            </w:pPr>
          </w:p>
        </w:tc>
      </w:tr>
      <w:tr w14:paraId="11D6F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520" w:type="dxa"/>
            <w:gridSpan w:val="6"/>
            <w:tcBorders>
              <w:top w:val="single" w:color="auto" w:sz="4" w:space="0"/>
              <w:left w:val="single" w:color="auto" w:sz="4" w:space="0"/>
              <w:bottom w:val="single" w:color="auto" w:sz="4" w:space="0"/>
              <w:right w:val="single" w:color="auto" w:sz="4" w:space="0"/>
            </w:tcBorders>
            <w:noWrap w:val="0"/>
            <w:vAlign w:val="center"/>
          </w:tcPr>
          <w:p w14:paraId="6CC96A54">
            <w:pPr>
              <w:rPr>
                <w:rFonts w:hint="default" w:ascii="Times New Roman" w:hAnsi="Times New Roman" w:cs="Times New Roman"/>
                <w:color w:val="auto"/>
                <w:sz w:val="21"/>
                <w:szCs w:val="21"/>
                <w:highlight w:val="none"/>
              </w:rPr>
            </w:pPr>
            <w:r>
              <w:rPr>
                <w:rFonts w:hint="eastAsia" w:cs="Times New Roman"/>
                <w:color w:val="auto"/>
                <w:kern w:val="2"/>
                <w:sz w:val="21"/>
                <w:szCs w:val="22"/>
                <w:highlight w:val="none"/>
                <w:lang w:val="en-US" w:eastAsia="zh-CN" w:bidi="ar-SA"/>
              </w:rPr>
              <w:t>合同履行期限</w:t>
            </w:r>
            <w:r>
              <w:rPr>
                <w:rFonts w:hint="default" w:ascii="Times New Roman" w:hAnsi="Times New Roman" w:cs="Times New Roman"/>
                <w:color w:val="auto"/>
                <w:kern w:val="2"/>
                <w:sz w:val="21"/>
                <w:szCs w:val="22"/>
                <w:highlight w:val="none"/>
                <w:lang w:val="en-US" w:eastAsia="zh-CN" w:bidi="ar-SA"/>
              </w:rPr>
              <w:t>：</w:t>
            </w:r>
            <w:r>
              <w:rPr>
                <w:rFonts w:hint="default" w:ascii="Times New Roman" w:hAnsi="Times New Roman" w:eastAsia="宋体" w:cs="Times New Roman"/>
                <w:color w:val="auto"/>
                <w:szCs w:val="21"/>
                <w:highlight w:val="none"/>
                <w:lang w:val="en-US" w:eastAsia="zh-CN"/>
              </w:rPr>
              <w:t>自2026年</w:t>
            </w:r>
            <w:r>
              <w:rPr>
                <w:rFonts w:hint="eastAsia" w:cs="Times New Roman"/>
                <w:color w:val="auto"/>
                <w:szCs w:val="21"/>
                <w:highlight w:val="none"/>
                <w:lang w:val="en-US" w:eastAsia="zh-CN"/>
              </w:rPr>
              <w:t>2</w:t>
            </w:r>
            <w:r>
              <w:rPr>
                <w:rFonts w:hint="default" w:ascii="Times New Roman" w:hAnsi="Times New Roman" w:eastAsia="宋体" w:cs="Times New Roman"/>
                <w:color w:val="auto"/>
                <w:szCs w:val="21"/>
                <w:highlight w:val="none"/>
                <w:lang w:val="en-US" w:eastAsia="zh-CN"/>
              </w:rPr>
              <w:t>月1日起至2028年12月31日止</w:t>
            </w:r>
            <w:r>
              <w:rPr>
                <w:rFonts w:hint="default" w:ascii="Times New Roman" w:hAnsi="Times New Roman" w:cs="Times New Roman" w:eastAsiaTheme="minorEastAsia"/>
                <w:b w:val="0"/>
                <w:bCs/>
                <w:color w:val="auto"/>
                <w:sz w:val="21"/>
                <w:szCs w:val="21"/>
                <w:highlight w:val="none"/>
                <w:lang w:val="en-US" w:eastAsia="zh-CN"/>
              </w:rPr>
              <w:t xml:space="preserve">。 </w:t>
            </w:r>
          </w:p>
        </w:tc>
      </w:tr>
      <w:tr w14:paraId="240A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520" w:type="dxa"/>
            <w:gridSpan w:val="6"/>
            <w:tcBorders>
              <w:top w:val="single" w:color="auto" w:sz="4" w:space="0"/>
              <w:left w:val="single" w:color="auto" w:sz="4" w:space="0"/>
              <w:bottom w:val="single" w:color="auto" w:sz="4" w:space="0"/>
              <w:right w:val="single" w:color="auto" w:sz="4" w:space="0"/>
            </w:tcBorders>
            <w:noWrap w:val="0"/>
            <w:vAlign w:val="top"/>
          </w:tcPr>
          <w:p w14:paraId="7D898C77">
            <w:pPr>
              <w:spacing w:line="360" w:lineRule="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Cs w:val="22"/>
                <w:highlight w:val="none"/>
                <w:lang w:eastAsia="zh-CN"/>
              </w:rPr>
              <w:t>注：本项目缴费标准单价</w:t>
            </w:r>
            <w:r>
              <w:rPr>
                <w:rFonts w:hint="default" w:ascii="Times New Roman" w:hAnsi="Times New Roman" w:cs="Times New Roman"/>
                <w:color w:val="auto"/>
                <w:szCs w:val="22"/>
                <w:highlight w:val="none"/>
                <w:lang w:val="en-US" w:eastAsia="zh-CN"/>
              </w:rPr>
              <w:t>180</w:t>
            </w:r>
            <w:r>
              <w:rPr>
                <w:rFonts w:hint="default" w:ascii="Times New Roman" w:hAnsi="Times New Roman" w:cs="Times New Roman"/>
                <w:color w:val="auto"/>
                <w:szCs w:val="22"/>
                <w:highlight w:val="none"/>
                <w:lang w:eastAsia="zh-CN"/>
              </w:rPr>
              <w:t>元/人</w:t>
            </w:r>
            <w:r>
              <w:rPr>
                <w:rFonts w:hint="eastAsia" w:ascii="Times New Roman" w:hAnsi="Times New Roman" w:cs="Times New Roman"/>
                <w:color w:val="auto"/>
                <w:szCs w:val="22"/>
                <w:highlight w:val="none"/>
                <w:lang w:val="en-US" w:eastAsia="zh-CN"/>
              </w:rPr>
              <w:t>/</w:t>
            </w:r>
            <w:r>
              <w:rPr>
                <w:rFonts w:hint="default" w:ascii="Times New Roman" w:hAnsi="Times New Roman" w:cs="Times New Roman"/>
                <w:color w:val="auto"/>
                <w:szCs w:val="22"/>
                <w:highlight w:val="none"/>
                <w:lang w:eastAsia="zh-CN"/>
              </w:rPr>
              <w:t>年为固定价格，参保人数</w:t>
            </w:r>
            <w:r>
              <w:rPr>
                <w:rFonts w:hint="eastAsia" w:ascii="Times New Roman" w:hAnsi="Times New Roman" w:cs="Times New Roman"/>
                <w:color w:val="auto"/>
                <w:szCs w:val="22"/>
                <w:highlight w:val="none"/>
                <w:lang w:val="en-US" w:eastAsia="zh-CN"/>
              </w:rPr>
              <w:t>7200</w:t>
            </w:r>
            <w:r>
              <w:rPr>
                <w:rFonts w:hint="default" w:ascii="Times New Roman" w:hAnsi="Times New Roman" w:cs="Times New Roman"/>
                <w:color w:val="auto"/>
                <w:szCs w:val="22"/>
                <w:highlight w:val="none"/>
                <w:lang w:val="en-US" w:eastAsia="zh-CN"/>
              </w:rPr>
              <w:t>人为暂定人数，保费最终金额以实际投保人数结算。</w:t>
            </w:r>
          </w:p>
        </w:tc>
      </w:tr>
    </w:tbl>
    <w:p w14:paraId="62978272">
      <w:pPr>
        <w:snapToGrid w:val="0"/>
        <w:spacing w:before="50" w:after="50" w:line="360" w:lineRule="auto"/>
        <w:jc w:val="left"/>
        <w:rPr>
          <w:rFonts w:hint="default" w:ascii="Times New Roman" w:hAnsi="Times New Roman" w:cs="Times New Roman"/>
          <w:color w:val="auto"/>
          <w:sz w:val="21"/>
          <w:szCs w:val="21"/>
          <w:highlight w:val="none"/>
        </w:rPr>
      </w:pPr>
    </w:p>
    <w:p w14:paraId="6EA31BE5">
      <w:pPr>
        <w:snapToGrid w:val="0"/>
        <w:spacing w:before="50" w:after="50" w:line="360" w:lineRule="auto"/>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xml:space="preserve">注: </w:t>
      </w:r>
    </w:p>
    <w:p w14:paraId="71399C3B">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ascii="Times New Roman" w:hAnsi="Times New Roman" w:cs="Times New Roman" w:eastAsiaTheme="minorEastAsia"/>
          <w:b w:val="0"/>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1</w:t>
      </w:r>
      <w:r>
        <w:rPr>
          <w:rFonts w:hint="eastAsia" w:ascii="Times New Roman" w:hAnsi="Times New Roman" w:eastAsia="宋体" w:cs="Times New Roman"/>
          <w:b w:val="0"/>
          <w:color w:val="auto"/>
          <w:kern w:val="2"/>
          <w:sz w:val="21"/>
          <w:szCs w:val="21"/>
          <w:highlight w:val="none"/>
          <w:lang w:val="en-US" w:eastAsia="zh-CN" w:bidi="ar-SA"/>
        </w:rPr>
        <w:t>．</w:t>
      </w:r>
      <w:r>
        <w:rPr>
          <w:rFonts w:hint="default" w:ascii="Times New Roman" w:hAnsi="Times New Roman" w:cs="Times New Roman" w:eastAsiaTheme="minorEastAsia"/>
          <w:b w:val="0"/>
          <w:bCs/>
          <w:color w:val="auto"/>
          <w:sz w:val="21"/>
          <w:szCs w:val="21"/>
          <w:highlight w:val="none"/>
          <w:lang w:val="en-US" w:eastAsia="zh-CN"/>
        </w:rPr>
        <w:t>报价要求：本项目</w:t>
      </w:r>
      <w:r>
        <w:rPr>
          <w:rFonts w:hint="eastAsia" w:cs="Times New Roman" w:eastAsiaTheme="minorEastAsia"/>
          <w:b w:val="0"/>
          <w:bCs/>
          <w:color w:val="auto"/>
          <w:sz w:val="21"/>
          <w:szCs w:val="21"/>
          <w:highlight w:val="none"/>
          <w:lang w:val="en-US" w:eastAsia="zh-CN"/>
        </w:rPr>
        <w:t>为</w:t>
      </w:r>
      <w:r>
        <w:rPr>
          <w:rFonts w:hint="default" w:ascii="Times New Roman" w:hAnsi="Times New Roman" w:cs="Times New Roman" w:eastAsiaTheme="minorEastAsia"/>
          <w:b w:val="0"/>
          <w:bCs/>
          <w:color w:val="auto"/>
          <w:sz w:val="21"/>
          <w:szCs w:val="21"/>
          <w:highlight w:val="none"/>
          <w:lang w:val="en-US" w:eastAsia="zh-CN"/>
        </w:rPr>
        <w:t>固定</w:t>
      </w:r>
      <w:r>
        <w:rPr>
          <w:rFonts w:hint="eastAsia" w:cs="Times New Roman" w:eastAsiaTheme="minorEastAsia"/>
          <w:b w:val="0"/>
          <w:bCs/>
          <w:color w:val="auto"/>
          <w:sz w:val="21"/>
          <w:szCs w:val="21"/>
          <w:highlight w:val="none"/>
          <w:lang w:val="en-US" w:eastAsia="zh-CN"/>
        </w:rPr>
        <w:t>单价采购</w:t>
      </w:r>
      <w:r>
        <w:rPr>
          <w:rFonts w:hint="default" w:ascii="Times New Roman" w:hAnsi="Times New Roman" w:cs="Times New Roman" w:eastAsiaTheme="minorEastAsia"/>
          <w:b w:val="0"/>
          <w:bCs/>
          <w:color w:val="auto"/>
          <w:sz w:val="21"/>
          <w:szCs w:val="21"/>
          <w:highlight w:val="none"/>
          <w:lang w:val="en-US" w:eastAsia="zh-CN"/>
        </w:rPr>
        <w:t>，限价为180元/人/年，其他价格的投标报价视为投标无效。</w:t>
      </w:r>
    </w:p>
    <w:p w14:paraId="1290A1E7">
      <w:pPr>
        <w:snapToGrid w:val="0"/>
        <w:spacing w:before="50" w:after="50" w:line="360" w:lineRule="auto"/>
        <w:ind w:firstLine="420" w:firstLineChars="200"/>
        <w:jc w:val="left"/>
        <w:rPr>
          <w:rFonts w:hint="default" w:ascii="Times New Roman" w:hAnsi="Times New Roman" w:cs="Times New Roman"/>
          <w:b/>
          <w:color w:val="auto"/>
          <w:sz w:val="21"/>
          <w:szCs w:val="21"/>
          <w:highlight w:val="none"/>
        </w:rPr>
      </w:pPr>
      <w:r>
        <w:rPr>
          <w:rFonts w:hint="eastAsia" w:cs="Times New Roman"/>
          <w:color w:val="auto"/>
          <w:sz w:val="21"/>
          <w:szCs w:val="21"/>
          <w:highlight w:val="none"/>
          <w:lang w:val="en-US" w:eastAsia="zh-CN"/>
        </w:rPr>
        <w:t>2</w:t>
      </w:r>
      <w:r>
        <w:rPr>
          <w:rFonts w:hint="eastAsia" w:ascii="Times New Roman" w:hAnsi="Times New Roman" w:eastAsia="宋体" w:cs="Times New Roman"/>
          <w:b w:val="0"/>
          <w:color w:val="auto"/>
          <w:kern w:val="2"/>
          <w:sz w:val="21"/>
          <w:szCs w:val="21"/>
          <w:highlight w:val="none"/>
          <w:lang w:val="en-US" w:eastAsia="zh-CN" w:bidi="ar-SA"/>
        </w:rPr>
        <w:t>．</w:t>
      </w:r>
      <w:r>
        <w:rPr>
          <w:rFonts w:hint="default" w:ascii="Times New Roman" w:hAnsi="Times New Roman" w:cs="Times New Roman"/>
          <w:color w:val="auto"/>
          <w:sz w:val="21"/>
          <w:szCs w:val="21"/>
          <w:highlight w:val="none"/>
        </w:rPr>
        <w:t>报价一经涂改，应在涂改处加盖投标人公章</w:t>
      </w:r>
      <w:r>
        <w:rPr>
          <w:rFonts w:hint="eastAsia" w:ascii="Times New Roman" w:hAnsi="Times New Roman" w:cs="Times New Roman"/>
          <w:color w:val="auto"/>
          <w:sz w:val="21"/>
          <w:szCs w:val="21"/>
          <w:highlight w:val="none"/>
          <w:lang w:eastAsia="zh-CN"/>
        </w:rPr>
        <w:t>或</w:t>
      </w:r>
      <w:r>
        <w:rPr>
          <w:rFonts w:hint="eastAsia" w:cs="Times New Roman"/>
          <w:color w:val="auto"/>
          <w:sz w:val="21"/>
          <w:szCs w:val="21"/>
          <w:highlight w:val="none"/>
          <w:lang w:eastAsia="zh-CN"/>
        </w:rPr>
        <w:t>者</w:t>
      </w:r>
      <w:r>
        <w:rPr>
          <w:rFonts w:hint="eastAsia" w:ascii="Times New Roman" w:hAnsi="Times New Roman" w:cs="Times New Roman"/>
          <w:color w:val="auto"/>
          <w:sz w:val="21"/>
          <w:szCs w:val="21"/>
          <w:highlight w:val="none"/>
          <w:lang w:eastAsia="zh-CN"/>
        </w:rPr>
        <w:t>电子签章</w:t>
      </w:r>
      <w:r>
        <w:rPr>
          <w:rFonts w:hint="default" w:ascii="Times New Roman" w:hAnsi="Times New Roman" w:cs="Times New Roman"/>
          <w:color w:val="auto"/>
          <w:sz w:val="21"/>
          <w:szCs w:val="21"/>
          <w:highlight w:val="none"/>
        </w:rPr>
        <w:t>或者由法定代表人或者委托代理人签字</w:t>
      </w:r>
      <w:r>
        <w:rPr>
          <w:rFonts w:hint="eastAsia" w:ascii="Times New Roman" w:hAnsi="Times New Roman" w:cs="Times New Roman"/>
          <w:color w:val="auto"/>
          <w:sz w:val="21"/>
          <w:szCs w:val="21"/>
          <w:highlight w:val="none"/>
          <w:lang w:eastAsia="zh-CN"/>
        </w:rPr>
        <w:t>（或</w:t>
      </w:r>
      <w:r>
        <w:rPr>
          <w:rFonts w:hint="eastAsia" w:cs="Times New Roman"/>
          <w:color w:val="auto"/>
          <w:sz w:val="21"/>
          <w:szCs w:val="21"/>
          <w:highlight w:val="none"/>
          <w:lang w:eastAsia="zh-CN"/>
        </w:rPr>
        <w:t>者</w:t>
      </w:r>
      <w:r>
        <w:rPr>
          <w:rFonts w:hint="eastAsia" w:ascii="Times New Roman" w:hAnsi="Times New Roman" w:cs="Times New Roman"/>
          <w:color w:val="auto"/>
          <w:sz w:val="21"/>
          <w:szCs w:val="21"/>
          <w:highlight w:val="none"/>
          <w:lang w:eastAsia="zh-CN"/>
        </w:rPr>
        <w:t>电子签名）</w:t>
      </w:r>
      <w:r>
        <w:rPr>
          <w:rFonts w:hint="default" w:ascii="Times New Roman" w:hAnsi="Times New Roman" w:cs="Times New Roman"/>
          <w:b/>
          <w:color w:val="auto"/>
          <w:sz w:val="21"/>
          <w:szCs w:val="21"/>
          <w:highlight w:val="none"/>
        </w:rPr>
        <w:t>，否则其投标作无效标处理。</w:t>
      </w:r>
    </w:p>
    <w:p w14:paraId="2659F603">
      <w:pPr>
        <w:snapToGrid w:val="0"/>
        <w:spacing w:before="50" w:after="50" w:line="360" w:lineRule="auto"/>
        <w:ind w:firstLine="422" w:firstLineChars="200"/>
        <w:jc w:val="left"/>
        <w:rPr>
          <w:rFonts w:hint="default" w:ascii="Times New Roman" w:hAnsi="Times New Roman" w:cs="Times New Roman"/>
          <w:b/>
          <w:color w:val="auto"/>
          <w:sz w:val="21"/>
          <w:szCs w:val="21"/>
          <w:highlight w:val="none"/>
        </w:rPr>
      </w:pPr>
    </w:p>
    <w:p w14:paraId="74B30829">
      <w:pPr>
        <w:snapToGrid w:val="0"/>
        <w:spacing w:before="50" w:after="50" w:line="360" w:lineRule="auto"/>
        <w:ind w:firstLine="422" w:firstLineChars="200"/>
        <w:jc w:val="left"/>
        <w:rPr>
          <w:rFonts w:hint="default" w:ascii="Times New Roman" w:hAnsi="Times New Roman" w:cs="Times New Roman"/>
          <w:b/>
          <w:color w:val="auto"/>
          <w:sz w:val="21"/>
          <w:szCs w:val="21"/>
          <w:highlight w:val="none"/>
        </w:rPr>
      </w:pPr>
    </w:p>
    <w:p w14:paraId="45353F59">
      <w:pPr>
        <w:snapToGrid w:val="0"/>
        <w:spacing w:before="50" w:after="50" w:line="360" w:lineRule="auto"/>
        <w:ind w:firstLine="422" w:firstLineChars="200"/>
        <w:jc w:val="left"/>
        <w:rPr>
          <w:rFonts w:hint="default" w:ascii="Times New Roman" w:hAnsi="Times New Roman" w:cs="Times New Roman"/>
          <w:b/>
          <w:color w:val="auto"/>
          <w:sz w:val="21"/>
          <w:szCs w:val="21"/>
          <w:highlight w:val="none"/>
        </w:rPr>
      </w:pPr>
    </w:p>
    <w:p w14:paraId="492FA10F">
      <w:pPr>
        <w:keepNext w:val="0"/>
        <w:keepLines w:val="0"/>
        <w:pageBreakBefore w:val="0"/>
        <w:widowControl w:val="0"/>
        <w:kinsoku/>
        <w:wordWrap/>
        <w:overflowPunct/>
        <w:topLinePunct w:val="0"/>
        <w:autoSpaceDE/>
        <w:autoSpaceDN/>
        <w:bidi w:val="0"/>
        <w:adjustRightInd/>
        <w:snapToGrid w:val="0"/>
        <w:spacing w:line="480" w:lineRule="auto"/>
        <w:ind w:firstLine="2730" w:firstLineChars="130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法定代表人或者委托代理人（</w:t>
      </w:r>
      <w:r>
        <w:rPr>
          <w:color w:val="auto"/>
          <w:szCs w:val="21"/>
          <w:highlight w:val="none"/>
        </w:rPr>
        <w:t>签字或电子签名</w:t>
      </w:r>
      <w:r>
        <w:rPr>
          <w:rFonts w:hint="default"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rPr>
        <w:t xml:space="preserve"> </w:t>
      </w:r>
    </w:p>
    <w:p w14:paraId="5E467405">
      <w:pPr>
        <w:pStyle w:val="17"/>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default" w:ascii="Times New Roman" w:hAnsi="Times New Roman" w:eastAsia="宋体" w:cs="Times New Roman"/>
          <w:color w:val="auto"/>
          <w:sz w:val="21"/>
          <w:szCs w:val="21"/>
          <w:highlight w:val="none"/>
          <w:u w:val="single"/>
          <w:lang w:val="en-US" w:eastAsia="zh-CN"/>
        </w:rPr>
      </w:pPr>
      <w:r>
        <w:rPr>
          <w:rFonts w:hint="default" w:ascii="Times New Roman" w:hAnsi="Times New Roman" w:cs="Times New Roman"/>
          <w:color w:val="auto"/>
          <w:sz w:val="21"/>
          <w:szCs w:val="21"/>
          <w:highlight w:val="none"/>
        </w:rPr>
        <w:t xml:space="preserve">                    投标人（</w:t>
      </w:r>
      <w:r>
        <w:rPr>
          <w:rFonts w:hint="eastAsia" w:ascii="Times New Roman" w:hAnsi="Times New Roman" w:cs="Times New Roman"/>
          <w:color w:val="auto"/>
          <w:sz w:val="21"/>
          <w:szCs w:val="21"/>
          <w:highlight w:val="none"/>
          <w:lang w:eastAsia="zh-CN"/>
        </w:rPr>
        <w:t>电子签章</w:t>
      </w:r>
      <w:r>
        <w:rPr>
          <w:rFonts w:hint="default"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u w:val="single"/>
          <w:lang w:val="en-US" w:eastAsia="zh-CN"/>
        </w:rPr>
        <w:t xml:space="preserve">                     </w:t>
      </w:r>
    </w:p>
    <w:p w14:paraId="25BFA35E">
      <w:pPr>
        <w:snapToGrid w:val="0"/>
        <w:spacing w:before="50" w:after="50" w:line="360" w:lineRule="auto"/>
        <w:ind w:firstLine="5670" w:firstLineChars="2700"/>
        <w:jc w:val="left"/>
        <w:rPr>
          <w:rFonts w:hint="default" w:ascii="Times New Roman" w:hAnsi="Times New Roman" w:cs="Times New Roman"/>
          <w:bCs/>
          <w:color w:val="auto"/>
          <w:sz w:val="21"/>
          <w:szCs w:val="21"/>
          <w:highlight w:val="none"/>
        </w:rPr>
      </w:pPr>
      <w:r>
        <w:rPr>
          <w:rFonts w:hint="eastAsia" w:ascii="Times New Roman" w:hAnsi="Times New Roman" w:cs="Times New Roman"/>
          <w:color w:val="auto"/>
          <w:sz w:val="21"/>
          <w:szCs w:val="21"/>
          <w:highlight w:val="none"/>
          <w:u w:val="single"/>
          <w:lang w:val="en-US" w:eastAsia="zh-CN"/>
        </w:rPr>
        <w:t xml:space="preserve">          </w:t>
      </w:r>
      <w:r>
        <w:rPr>
          <w:rFonts w:hint="eastAsia" w:ascii="Times New Roman" w:hAnsi="Times New Roman" w:cs="Times New Roman"/>
          <w:color w:val="auto"/>
          <w:sz w:val="21"/>
          <w:szCs w:val="21"/>
          <w:highlight w:val="none"/>
          <w:lang w:val="en-US" w:eastAsia="zh-CN"/>
        </w:rPr>
        <w:t>年</w:t>
      </w:r>
      <w:r>
        <w:rPr>
          <w:rFonts w:hint="default" w:ascii="Times New Roman" w:hAnsi="Times New Roman" w:cs="Times New Roman"/>
          <w:color w:val="auto"/>
          <w:sz w:val="21"/>
          <w:szCs w:val="21"/>
          <w:highlight w:val="none"/>
          <w:u w:val="single"/>
        </w:rPr>
        <w:t xml:space="preserve">  </w:t>
      </w:r>
      <w:r>
        <w:rPr>
          <w:rFonts w:hint="eastAsia"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single"/>
        </w:rPr>
        <w:t xml:space="preserve">  </w:t>
      </w:r>
      <w:r>
        <w:rPr>
          <w:rFonts w:hint="default" w:ascii="Times New Roman" w:hAnsi="Times New Roman" w:cs="Times New Roman"/>
          <w:color w:val="auto"/>
          <w:sz w:val="21"/>
          <w:szCs w:val="21"/>
          <w:highlight w:val="none"/>
        </w:rPr>
        <w:t>月</w:t>
      </w:r>
      <w:r>
        <w:rPr>
          <w:rFonts w:hint="default" w:ascii="Times New Roman" w:hAnsi="Times New Roman" w:cs="Times New Roman"/>
          <w:color w:val="auto"/>
          <w:sz w:val="21"/>
          <w:szCs w:val="21"/>
          <w:highlight w:val="none"/>
          <w:u w:val="single"/>
        </w:rPr>
        <w:t xml:space="preserve">     </w:t>
      </w:r>
      <w:r>
        <w:rPr>
          <w:rFonts w:hint="default" w:ascii="Times New Roman" w:hAnsi="Times New Roman" w:cs="Times New Roman"/>
          <w:color w:val="auto"/>
          <w:sz w:val="21"/>
          <w:szCs w:val="21"/>
          <w:highlight w:val="none"/>
        </w:rPr>
        <w:t>日</w:t>
      </w:r>
      <w:r>
        <w:rPr>
          <w:rFonts w:hint="default" w:ascii="Times New Roman" w:hAnsi="Times New Roman" w:cs="Times New Roman"/>
          <w:bCs/>
          <w:color w:val="auto"/>
          <w:sz w:val="21"/>
          <w:szCs w:val="21"/>
          <w:highlight w:val="none"/>
        </w:rPr>
        <w:br w:type="page"/>
      </w:r>
    </w:p>
    <w:p w14:paraId="31508A9A">
      <w:pPr>
        <w:spacing w:line="360" w:lineRule="auto"/>
        <w:ind w:right="-817" w:rightChars="-389" w:firstLine="12320" w:firstLineChars="2800"/>
        <w:contextualSpacing/>
        <w:rPr>
          <w:bCs/>
          <w:color w:val="auto"/>
          <w:sz w:val="44"/>
          <w:szCs w:val="44"/>
          <w:highlight w:val="none"/>
        </w:rPr>
      </w:pPr>
    </w:p>
    <w:p w14:paraId="03591423">
      <w:pPr>
        <w:snapToGrid w:val="0"/>
        <w:spacing w:before="156" w:beforeLines="50" w:after="50" w:line="360" w:lineRule="auto"/>
        <w:ind w:right="480" w:firstLine="321" w:firstLineChars="100"/>
        <w:jc w:val="center"/>
        <w:outlineLvl w:val="1"/>
        <w:rPr>
          <w:rFonts w:ascii="宋体" w:hAnsi="宋体"/>
          <w:b/>
          <w:color w:val="auto"/>
          <w:sz w:val="32"/>
          <w:szCs w:val="32"/>
          <w:highlight w:val="none"/>
        </w:rPr>
      </w:pPr>
      <w:r>
        <w:rPr>
          <w:rFonts w:hint="eastAsia" w:ascii="宋体" w:hAnsi="宋体"/>
          <w:b/>
          <w:bCs/>
          <w:color w:val="auto"/>
          <w:sz w:val="32"/>
          <w:szCs w:val="32"/>
          <w:highlight w:val="none"/>
        </w:rPr>
        <w:t>三、商务技术文件格式</w:t>
      </w:r>
    </w:p>
    <w:p w14:paraId="265076F9">
      <w:pPr>
        <w:snapToGrid w:val="0"/>
        <w:spacing w:before="156" w:beforeLines="50" w:after="50" w:line="360" w:lineRule="auto"/>
        <w:jc w:val="left"/>
        <w:rPr>
          <w:rFonts w:ascii="宋体" w:hAnsi="宋体"/>
          <w:b/>
          <w:color w:val="auto"/>
          <w:sz w:val="18"/>
          <w:szCs w:val="18"/>
          <w:highlight w:val="none"/>
        </w:rPr>
      </w:pPr>
    </w:p>
    <w:p w14:paraId="2CBDCCA9">
      <w:pPr>
        <w:snapToGrid w:val="0"/>
        <w:spacing w:before="156" w:beforeLines="50" w:after="50" w:line="360" w:lineRule="auto"/>
        <w:jc w:val="left"/>
        <w:rPr>
          <w:rFonts w:ascii="宋体" w:hAnsi="宋体"/>
          <w:b/>
          <w:color w:val="auto"/>
          <w:sz w:val="28"/>
          <w:szCs w:val="28"/>
          <w:highlight w:val="none"/>
        </w:rPr>
      </w:pPr>
      <w:r>
        <w:rPr>
          <w:rFonts w:hint="eastAsia" w:ascii="宋体" w:hAnsi="宋体"/>
          <w:b/>
          <w:color w:val="auto"/>
          <w:sz w:val="28"/>
          <w:szCs w:val="28"/>
          <w:highlight w:val="none"/>
        </w:rPr>
        <w:t>1．商务技术文件封面格式</w:t>
      </w:r>
    </w:p>
    <w:p w14:paraId="53187235">
      <w:pPr>
        <w:pStyle w:val="31"/>
        <w:ind w:firstLine="640"/>
        <w:rPr>
          <w:color w:val="auto"/>
          <w:highlight w:val="none"/>
        </w:rPr>
      </w:pPr>
    </w:p>
    <w:p w14:paraId="40B920DD">
      <w:pPr>
        <w:snapToGrid w:val="0"/>
        <w:spacing w:before="156" w:beforeLines="50" w:after="50"/>
        <w:rPr>
          <w:rFonts w:ascii="宋体" w:hAnsi="宋体"/>
          <w:color w:val="auto"/>
          <w:sz w:val="24"/>
          <w:szCs w:val="20"/>
          <w:highlight w:val="none"/>
        </w:rPr>
      </w:pPr>
      <w:r>
        <w:rPr>
          <w:rFonts w:hint="eastAsia" w:ascii="宋体" w:hAnsi="宋体"/>
          <w:color w:val="auto"/>
          <w:sz w:val="24"/>
          <w:highlight w:val="none"/>
        </w:rPr>
        <w:t xml:space="preserve">                                                      </w:t>
      </w:r>
    </w:p>
    <w:p w14:paraId="40843928">
      <w:pPr>
        <w:snapToGrid w:val="0"/>
        <w:spacing w:before="156" w:beforeLines="50" w:after="50"/>
        <w:rPr>
          <w:rFonts w:ascii="宋体" w:hAnsi="宋体"/>
          <w:color w:val="auto"/>
          <w:sz w:val="24"/>
          <w:szCs w:val="20"/>
          <w:highlight w:val="none"/>
        </w:rPr>
      </w:pPr>
    </w:p>
    <w:p w14:paraId="31B8A0BA">
      <w:pPr>
        <w:snapToGrid w:val="0"/>
        <w:spacing w:before="156" w:beforeLines="50" w:after="50"/>
        <w:rPr>
          <w:rFonts w:ascii="宋体" w:hAnsi="宋体"/>
          <w:color w:val="auto"/>
          <w:sz w:val="24"/>
          <w:szCs w:val="20"/>
          <w:highlight w:val="none"/>
        </w:rPr>
      </w:pPr>
    </w:p>
    <w:p w14:paraId="23F29CD6">
      <w:pPr>
        <w:snapToGrid w:val="0"/>
        <w:spacing w:before="156" w:beforeLines="50" w:after="50"/>
        <w:jc w:val="center"/>
        <w:rPr>
          <w:rFonts w:ascii="宋体" w:hAnsi="宋体" w:cs="宋体"/>
          <w:b/>
          <w:color w:val="auto"/>
          <w:sz w:val="48"/>
          <w:szCs w:val="48"/>
          <w:highlight w:val="none"/>
        </w:rPr>
      </w:pPr>
      <w:r>
        <w:rPr>
          <w:rFonts w:hint="eastAsia" w:ascii="宋体" w:hAnsi="宋体" w:cs="宋体"/>
          <w:b/>
          <w:color w:val="auto"/>
          <w:sz w:val="48"/>
          <w:szCs w:val="48"/>
          <w:highlight w:val="none"/>
        </w:rPr>
        <w:t>商务技术文件</w:t>
      </w:r>
    </w:p>
    <w:p w14:paraId="5226D373">
      <w:pPr>
        <w:snapToGrid w:val="0"/>
        <w:spacing w:before="156" w:beforeLines="50" w:after="50"/>
        <w:rPr>
          <w:rFonts w:ascii="宋体" w:hAnsi="宋体"/>
          <w:bCs/>
          <w:color w:val="auto"/>
          <w:sz w:val="24"/>
          <w:szCs w:val="20"/>
          <w:highlight w:val="none"/>
        </w:rPr>
      </w:pPr>
    </w:p>
    <w:p w14:paraId="310F104C">
      <w:pPr>
        <w:snapToGrid w:val="0"/>
        <w:spacing w:before="156" w:beforeLines="50" w:after="50"/>
        <w:rPr>
          <w:rFonts w:ascii="宋体" w:hAnsi="宋体"/>
          <w:bCs/>
          <w:color w:val="auto"/>
          <w:sz w:val="24"/>
          <w:szCs w:val="20"/>
          <w:highlight w:val="none"/>
        </w:rPr>
      </w:pPr>
    </w:p>
    <w:p w14:paraId="7DA496EC">
      <w:pPr>
        <w:snapToGrid w:val="0"/>
        <w:spacing w:before="156" w:beforeLines="50" w:after="50"/>
        <w:rPr>
          <w:rFonts w:ascii="宋体" w:hAnsi="宋体"/>
          <w:bCs/>
          <w:color w:val="auto"/>
          <w:sz w:val="24"/>
          <w:szCs w:val="20"/>
          <w:highlight w:val="none"/>
        </w:rPr>
      </w:pPr>
    </w:p>
    <w:p w14:paraId="6E026014">
      <w:pPr>
        <w:snapToGrid w:val="0"/>
        <w:spacing w:before="156" w:beforeLines="50" w:after="50"/>
        <w:rPr>
          <w:rFonts w:ascii="宋体" w:hAnsi="宋体"/>
          <w:bCs/>
          <w:color w:val="auto"/>
          <w:sz w:val="24"/>
          <w:szCs w:val="20"/>
          <w:highlight w:val="none"/>
        </w:rPr>
      </w:pPr>
    </w:p>
    <w:p w14:paraId="1FF1EAC0">
      <w:pPr>
        <w:snapToGrid w:val="0"/>
        <w:spacing w:before="156" w:beforeLines="50" w:after="50"/>
        <w:rPr>
          <w:rFonts w:ascii="宋体" w:hAnsi="宋体"/>
          <w:bCs/>
          <w:color w:val="auto"/>
          <w:sz w:val="24"/>
          <w:szCs w:val="20"/>
          <w:highlight w:val="none"/>
        </w:rPr>
      </w:pPr>
    </w:p>
    <w:p w14:paraId="52E9D69A">
      <w:pPr>
        <w:keepNext w:val="0"/>
        <w:keepLines w:val="0"/>
        <w:pageBreakBefore w:val="0"/>
        <w:widowControl w:val="0"/>
        <w:kinsoku/>
        <w:wordWrap/>
        <w:overflowPunct/>
        <w:topLinePunct w:val="0"/>
        <w:autoSpaceDE/>
        <w:autoSpaceDN/>
        <w:bidi w:val="0"/>
        <w:adjustRightInd/>
        <w:snapToGrid w:val="0"/>
        <w:spacing w:before="156" w:beforeLines="50" w:after="50" w:line="720" w:lineRule="auto"/>
        <w:ind w:firstLine="560" w:firstLineChars="200"/>
        <w:textAlignment w:val="auto"/>
        <w:rPr>
          <w:bCs/>
          <w:color w:val="auto"/>
          <w:sz w:val="28"/>
          <w:szCs w:val="28"/>
          <w:highlight w:val="none"/>
        </w:rPr>
      </w:pPr>
      <w:r>
        <w:rPr>
          <w:bCs/>
          <w:color w:val="auto"/>
          <w:sz w:val="28"/>
          <w:szCs w:val="28"/>
          <w:highlight w:val="none"/>
        </w:rPr>
        <w:t>项目名称：</w:t>
      </w:r>
    </w:p>
    <w:p w14:paraId="3C0B22CE">
      <w:pPr>
        <w:keepNext w:val="0"/>
        <w:keepLines w:val="0"/>
        <w:pageBreakBefore w:val="0"/>
        <w:widowControl w:val="0"/>
        <w:kinsoku/>
        <w:wordWrap/>
        <w:overflowPunct/>
        <w:topLinePunct w:val="0"/>
        <w:autoSpaceDE/>
        <w:autoSpaceDN/>
        <w:bidi w:val="0"/>
        <w:adjustRightInd/>
        <w:snapToGrid w:val="0"/>
        <w:spacing w:before="156" w:beforeLines="50" w:after="50" w:line="720" w:lineRule="auto"/>
        <w:ind w:firstLine="560" w:firstLineChars="200"/>
        <w:textAlignment w:val="auto"/>
        <w:rPr>
          <w:bCs/>
          <w:color w:val="auto"/>
          <w:sz w:val="28"/>
          <w:szCs w:val="28"/>
          <w:highlight w:val="none"/>
        </w:rPr>
      </w:pPr>
      <w:r>
        <w:rPr>
          <w:bCs/>
          <w:color w:val="auto"/>
          <w:sz w:val="28"/>
          <w:szCs w:val="28"/>
          <w:highlight w:val="none"/>
        </w:rPr>
        <w:t>项目编号：</w:t>
      </w:r>
    </w:p>
    <w:p w14:paraId="6697E814">
      <w:pPr>
        <w:keepNext w:val="0"/>
        <w:keepLines w:val="0"/>
        <w:pageBreakBefore w:val="0"/>
        <w:widowControl w:val="0"/>
        <w:kinsoku/>
        <w:wordWrap/>
        <w:overflowPunct/>
        <w:topLinePunct w:val="0"/>
        <w:autoSpaceDE/>
        <w:autoSpaceDN/>
        <w:bidi w:val="0"/>
        <w:adjustRightInd/>
        <w:snapToGrid w:val="0"/>
        <w:spacing w:before="156" w:beforeLines="50" w:after="50" w:line="720" w:lineRule="auto"/>
        <w:ind w:firstLine="560" w:firstLineChars="200"/>
        <w:textAlignment w:val="auto"/>
        <w:rPr>
          <w:bCs/>
          <w:color w:val="auto"/>
          <w:sz w:val="28"/>
          <w:szCs w:val="28"/>
          <w:highlight w:val="none"/>
        </w:rPr>
      </w:pPr>
      <w:r>
        <w:rPr>
          <w:rFonts w:hint="eastAsia"/>
          <w:bCs/>
          <w:color w:val="auto"/>
          <w:sz w:val="28"/>
          <w:szCs w:val="28"/>
          <w:highlight w:val="none"/>
          <w:lang w:eastAsia="zh-CN"/>
        </w:rPr>
        <w:t>投标人</w:t>
      </w:r>
      <w:r>
        <w:rPr>
          <w:bCs/>
          <w:color w:val="auto"/>
          <w:sz w:val="28"/>
          <w:szCs w:val="28"/>
          <w:highlight w:val="none"/>
        </w:rPr>
        <w:t>名称：</w:t>
      </w:r>
    </w:p>
    <w:p w14:paraId="53A0C7BD">
      <w:pPr>
        <w:keepNext w:val="0"/>
        <w:keepLines w:val="0"/>
        <w:pageBreakBefore w:val="0"/>
        <w:widowControl w:val="0"/>
        <w:kinsoku/>
        <w:wordWrap/>
        <w:overflowPunct/>
        <w:topLinePunct w:val="0"/>
        <w:autoSpaceDE/>
        <w:autoSpaceDN/>
        <w:bidi w:val="0"/>
        <w:adjustRightInd/>
        <w:snapToGrid w:val="0"/>
        <w:spacing w:before="156" w:beforeLines="50" w:after="50" w:line="720" w:lineRule="auto"/>
        <w:ind w:firstLine="560" w:firstLineChars="200"/>
        <w:textAlignment w:val="auto"/>
        <w:rPr>
          <w:rFonts w:hint="eastAsia" w:eastAsia="宋体"/>
          <w:bCs/>
          <w:color w:val="auto"/>
          <w:sz w:val="28"/>
          <w:szCs w:val="28"/>
          <w:highlight w:val="none"/>
          <w:lang w:eastAsia="zh-CN"/>
        </w:rPr>
      </w:pPr>
      <w:r>
        <w:rPr>
          <w:rFonts w:hint="eastAsia"/>
          <w:bCs/>
          <w:color w:val="auto"/>
          <w:sz w:val="28"/>
          <w:szCs w:val="28"/>
          <w:highlight w:val="none"/>
          <w:lang w:eastAsia="zh-CN"/>
        </w:rPr>
        <w:t>投标人地址：</w:t>
      </w:r>
    </w:p>
    <w:p w14:paraId="46B4F217">
      <w:pPr>
        <w:pStyle w:val="7"/>
        <w:snapToGrid w:val="0"/>
        <w:spacing w:before="50" w:after="50"/>
        <w:ind w:firstLine="1280" w:firstLineChars="400"/>
        <w:rPr>
          <w:rFonts w:ascii="宋体" w:hAnsi="宋体" w:cs="仿宋_GB2312"/>
          <w:bCs/>
          <w:color w:val="auto"/>
          <w:sz w:val="32"/>
          <w:szCs w:val="32"/>
          <w:highlight w:val="none"/>
        </w:rPr>
      </w:pPr>
    </w:p>
    <w:p w14:paraId="4DCE5559">
      <w:pPr>
        <w:snapToGrid w:val="0"/>
        <w:spacing w:before="156" w:beforeLines="50" w:after="50" w:line="360" w:lineRule="auto"/>
        <w:ind w:left="142"/>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4AE6A4CC">
      <w:pPr>
        <w:snapToGrid w:val="0"/>
        <w:spacing w:before="468" w:beforeLines="150" w:after="50" w:line="360" w:lineRule="auto"/>
        <w:ind w:left="142"/>
        <w:jc w:val="left"/>
        <w:rPr>
          <w:b/>
          <w:bCs/>
          <w:color w:val="auto"/>
          <w:sz w:val="28"/>
          <w:szCs w:val="28"/>
          <w:highlight w:val="none"/>
        </w:rPr>
      </w:pPr>
      <w:r>
        <w:rPr>
          <w:b/>
          <w:bCs/>
          <w:color w:val="auto"/>
          <w:sz w:val="36"/>
          <w:szCs w:val="36"/>
          <w:highlight w:val="none"/>
        </w:rPr>
        <w:br w:type="page"/>
      </w:r>
      <w:r>
        <w:rPr>
          <w:b/>
          <w:bCs/>
          <w:color w:val="auto"/>
          <w:sz w:val="28"/>
          <w:szCs w:val="28"/>
          <w:highlight w:val="none"/>
        </w:rPr>
        <w:t>2</w:t>
      </w:r>
      <w:r>
        <w:rPr>
          <w:b/>
          <w:color w:val="auto"/>
          <w:sz w:val="28"/>
          <w:szCs w:val="28"/>
          <w:highlight w:val="none"/>
        </w:rPr>
        <w:t>．</w:t>
      </w:r>
      <w:r>
        <w:rPr>
          <w:rFonts w:hint="eastAsia"/>
          <w:b/>
          <w:bCs/>
          <w:color w:val="auto"/>
          <w:sz w:val="28"/>
          <w:szCs w:val="28"/>
          <w:highlight w:val="none"/>
        </w:rPr>
        <w:t>商务技术</w:t>
      </w:r>
      <w:r>
        <w:rPr>
          <w:b/>
          <w:bCs/>
          <w:color w:val="auto"/>
          <w:sz w:val="28"/>
          <w:szCs w:val="28"/>
          <w:highlight w:val="none"/>
        </w:rPr>
        <w:t>文件目录</w:t>
      </w:r>
    </w:p>
    <w:p w14:paraId="0CA57C1C">
      <w:pPr>
        <w:snapToGrid w:val="0"/>
        <w:spacing w:before="156" w:beforeLines="50" w:after="50" w:line="360" w:lineRule="auto"/>
        <w:ind w:firstLine="560" w:firstLineChars="200"/>
        <w:rPr>
          <w:color w:val="auto"/>
          <w:sz w:val="28"/>
          <w:szCs w:val="28"/>
          <w:highlight w:val="none"/>
        </w:rPr>
      </w:pPr>
      <w:r>
        <w:rPr>
          <w:color w:val="auto"/>
          <w:sz w:val="28"/>
          <w:szCs w:val="28"/>
          <w:highlight w:val="none"/>
        </w:rPr>
        <w:t>根据</w:t>
      </w:r>
      <w:r>
        <w:rPr>
          <w:rFonts w:hint="eastAsia"/>
          <w:color w:val="auto"/>
          <w:sz w:val="28"/>
          <w:szCs w:val="28"/>
          <w:highlight w:val="none"/>
          <w:lang w:eastAsia="zh-CN"/>
        </w:rPr>
        <w:t>招标</w:t>
      </w:r>
      <w:r>
        <w:rPr>
          <w:color w:val="auto"/>
          <w:sz w:val="28"/>
          <w:szCs w:val="28"/>
          <w:highlight w:val="none"/>
        </w:rPr>
        <w:t>文件规定及</w:t>
      </w:r>
      <w:r>
        <w:rPr>
          <w:rFonts w:hint="eastAsia"/>
          <w:color w:val="auto"/>
          <w:sz w:val="28"/>
          <w:szCs w:val="28"/>
          <w:highlight w:val="none"/>
          <w:lang w:eastAsia="zh-CN"/>
        </w:rPr>
        <w:t>投标人</w:t>
      </w:r>
      <w:r>
        <w:rPr>
          <w:color w:val="auto"/>
          <w:sz w:val="28"/>
          <w:szCs w:val="28"/>
          <w:highlight w:val="none"/>
        </w:rPr>
        <w:t>提供的材料自行编写目录（部分格式后附）</w:t>
      </w:r>
    </w:p>
    <w:p w14:paraId="0FD909A2">
      <w:pPr>
        <w:spacing w:line="520" w:lineRule="exact"/>
        <w:jc w:val="center"/>
        <w:rPr>
          <w:b/>
          <w:bCs/>
          <w:color w:val="auto"/>
          <w:sz w:val="36"/>
          <w:szCs w:val="36"/>
          <w:highlight w:val="none"/>
        </w:rPr>
      </w:pPr>
      <w:r>
        <w:rPr>
          <w:b/>
          <w:bCs/>
          <w:color w:val="auto"/>
          <w:sz w:val="36"/>
          <w:szCs w:val="36"/>
          <w:highlight w:val="none"/>
        </w:rPr>
        <w:br w:type="page"/>
      </w:r>
    </w:p>
    <w:p w14:paraId="1197461F">
      <w:pPr>
        <w:spacing w:line="520" w:lineRule="exact"/>
        <w:jc w:val="center"/>
        <w:rPr>
          <w:b/>
          <w:bCs/>
          <w:color w:val="auto"/>
          <w:sz w:val="36"/>
          <w:szCs w:val="36"/>
          <w:highlight w:val="none"/>
        </w:rPr>
      </w:pPr>
    </w:p>
    <w:p w14:paraId="384A0F41">
      <w:pPr>
        <w:snapToGrid w:val="0"/>
        <w:spacing w:before="120" w:beforeLines="50" w:after="50"/>
        <w:ind w:left="420"/>
        <w:jc w:val="center"/>
        <w:rPr>
          <w:rFonts w:hint="eastAsia" w:ascii="宋体" w:hAnsi="宋体"/>
          <w:b/>
          <w:color w:val="auto"/>
          <w:sz w:val="32"/>
          <w:szCs w:val="32"/>
          <w:highlight w:val="none"/>
        </w:rPr>
      </w:pPr>
      <w:r>
        <w:rPr>
          <w:rFonts w:hint="eastAsia" w:ascii="宋体" w:hAnsi="宋体"/>
          <w:b/>
          <w:color w:val="auto"/>
          <w:sz w:val="32"/>
          <w:szCs w:val="32"/>
          <w:highlight w:val="none"/>
        </w:rPr>
        <w:t>投标人参加本项目无围标串标行为的承诺函</w:t>
      </w:r>
    </w:p>
    <w:p w14:paraId="77339D54">
      <w:pPr>
        <w:snapToGrid w:val="0"/>
        <w:spacing w:before="120" w:beforeLines="50" w:after="50"/>
        <w:rPr>
          <w:rFonts w:hint="default" w:ascii="Times New Roman" w:hAnsi="Times New Roman" w:cs="Times New Roman"/>
          <w:b/>
          <w:color w:val="auto"/>
          <w:sz w:val="21"/>
          <w:szCs w:val="21"/>
          <w:highlight w:val="none"/>
        </w:rPr>
      </w:pPr>
    </w:p>
    <w:p w14:paraId="1839581A">
      <w:pPr>
        <w:spacing w:line="360" w:lineRule="auto"/>
        <w:contextualSpacing/>
        <w:jc w:val="left"/>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一、我方承诺无下列相互串通投标的情形：</w:t>
      </w:r>
    </w:p>
    <w:p w14:paraId="65B96EEC">
      <w:pPr>
        <w:spacing w:line="360" w:lineRule="auto"/>
        <w:ind w:firstLine="411" w:firstLineChars="196"/>
        <w:contextualSpacing/>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r>
        <w:rPr>
          <w:rFonts w:hint="eastAsia" w:ascii="Times New Roman" w:hAnsi="Times New Roman" w:eastAsia="宋体" w:cs="Times New Roman"/>
          <w:b w:val="0"/>
          <w:color w:val="auto"/>
          <w:kern w:val="2"/>
          <w:sz w:val="21"/>
          <w:szCs w:val="21"/>
          <w:highlight w:val="none"/>
          <w:lang w:val="en-US" w:eastAsia="zh-CN" w:bidi="ar-SA"/>
        </w:rPr>
        <w:t>．</w:t>
      </w:r>
      <w:r>
        <w:rPr>
          <w:rFonts w:hint="default" w:ascii="Times New Roman" w:hAnsi="Times New Roman" w:cs="Times New Roman"/>
          <w:color w:val="auto"/>
          <w:sz w:val="21"/>
          <w:szCs w:val="21"/>
          <w:highlight w:val="none"/>
        </w:rPr>
        <w:t xml:space="preserve">不同投标人的投标文件由同一单位或者个人编制； </w:t>
      </w:r>
    </w:p>
    <w:p w14:paraId="2B69A658">
      <w:pPr>
        <w:spacing w:line="360" w:lineRule="auto"/>
        <w:ind w:firstLine="411" w:firstLineChars="196"/>
        <w:contextualSpacing/>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w:t>
      </w:r>
      <w:r>
        <w:rPr>
          <w:rFonts w:hint="eastAsia" w:ascii="Times New Roman" w:hAnsi="Times New Roman" w:eastAsia="宋体" w:cs="Times New Roman"/>
          <w:b w:val="0"/>
          <w:color w:val="auto"/>
          <w:kern w:val="2"/>
          <w:sz w:val="21"/>
          <w:szCs w:val="21"/>
          <w:highlight w:val="none"/>
          <w:lang w:val="en-US" w:eastAsia="zh-CN" w:bidi="ar-SA"/>
        </w:rPr>
        <w:t>．</w:t>
      </w:r>
      <w:r>
        <w:rPr>
          <w:rFonts w:hint="default" w:ascii="Times New Roman" w:hAnsi="Times New Roman" w:cs="Times New Roman"/>
          <w:color w:val="auto"/>
          <w:sz w:val="21"/>
          <w:szCs w:val="21"/>
          <w:highlight w:val="none"/>
        </w:rPr>
        <w:t>不同投标人委托同一单位或者个人办理投标事宜；</w:t>
      </w:r>
    </w:p>
    <w:p w14:paraId="238E4E86">
      <w:pPr>
        <w:spacing w:line="360" w:lineRule="auto"/>
        <w:ind w:firstLine="411" w:firstLineChars="196"/>
        <w:contextualSpacing/>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r>
        <w:rPr>
          <w:rFonts w:hint="eastAsia" w:ascii="Times New Roman" w:hAnsi="Times New Roman" w:eastAsia="宋体" w:cs="Times New Roman"/>
          <w:b w:val="0"/>
          <w:color w:val="auto"/>
          <w:kern w:val="2"/>
          <w:sz w:val="21"/>
          <w:szCs w:val="21"/>
          <w:highlight w:val="none"/>
          <w:lang w:val="en-US" w:eastAsia="zh-CN" w:bidi="ar-SA"/>
        </w:rPr>
        <w:t>．</w:t>
      </w:r>
      <w:r>
        <w:rPr>
          <w:rFonts w:hint="default" w:ascii="Times New Roman" w:hAnsi="Times New Roman" w:cs="Times New Roman"/>
          <w:color w:val="auto"/>
          <w:sz w:val="21"/>
          <w:szCs w:val="21"/>
          <w:highlight w:val="none"/>
        </w:rPr>
        <w:t>不同的投标人的投标文件载明的项目管理员为同一个人；</w:t>
      </w:r>
    </w:p>
    <w:p w14:paraId="652564C4">
      <w:pPr>
        <w:spacing w:line="360" w:lineRule="auto"/>
        <w:ind w:firstLine="411" w:firstLineChars="196"/>
        <w:contextualSpacing/>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w:t>
      </w:r>
      <w:r>
        <w:rPr>
          <w:rFonts w:hint="eastAsia" w:ascii="Times New Roman" w:hAnsi="Times New Roman" w:eastAsia="宋体" w:cs="Times New Roman"/>
          <w:b w:val="0"/>
          <w:color w:val="auto"/>
          <w:kern w:val="2"/>
          <w:sz w:val="21"/>
          <w:szCs w:val="21"/>
          <w:highlight w:val="none"/>
          <w:lang w:val="en-US" w:eastAsia="zh-CN" w:bidi="ar-SA"/>
        </w:rPr>
        <w:t>．</w:t>
      </w:r>
      <w:r>
        <w:rPr>
          <w:rFonts w:hint="default" w:ascii="Times New Roman" w:hAnsi="Times New Roman" w:cs="Times New Roman"/>
          <w:color w:val="auto"/>
          <w:sz w:val="21"/>
          <w:szCs w:val="21"/>
          <w:highlight w:val="none"/>
        </w:rPr>
        <w:t>不同投标人的投标文件异常一致或者投标报价呈规律性差异；</w:t>
      </w:r>
    </w:p>
    <w:p w14:paraId="07A294F5">
      <w:pPr>
        <w:spacing w:line="360" w:lineRule="auto"/>
        <w:ind w:firstLine="411" w:firstLineChars="196"/>
        <w:contextualSpacing/>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w:t>
      </w:r>
      <w:r>
        <w:rPr>
          <w:rFonts w:hint="eastAsia" w:ascii="Times New Roman" w:hAnsi="Times New Roman" w:eastAsia="宋体" w:cs="Times New Roman"/>
          <w:b w:val="0"/>
          <w:color w:val="auto"/>
          <w:kern w:val="2"/>
          <w:sz w:val="21"/>
          <w:szCs w:val="21"/>
          <w:highlight w:val="none"/>
          <w:lang w:val="en-US" w:eastAsia="zh-CN" w:bidi="ar-SA"/>
        </w:rPr>
        <w:t>．</w:t>
      </w:r>
      <w:r>
        <w:rPr>
          <w:rFonts w:hint="default" w:ascii="Times New Roman" w:hAnsi="Times New Roman" w:cs="Times New Roman"/>
          <w:color w:val="auto"/>
          <w:sz w:val="21"/>
          <w:szCs w:val="21"/>
          <w:highlight w:val="none"/>
        </w:rPr>
        <w:t>不同投标人的投标文件相互</w:t>
      </w:r>
      <w:r>
        <w:rPr>
          <w:rFonts w:hint="default" w:ascii="Times New Roman" w:hAnsi="Times New Roman" w:cs="Times New Roman"/>
          <w:color w:val="auto"/>
          <w:sz w:val="21"/>
          <w:szCs w:val="21"/>
          <w:highlight w:val="none"/>
          <w:lang w:eastAsia="zh-CN"/>
        </w:rPr>
        <w:t>混淆</w:t>
      </w:r>
      <w:r>
        <w:rPr>
          <w:rFonts w:hint="default" w:ascii="Times New Roman" w:hAnsi="Times New Roman" w:cs="Times New Roman"/>
          <w:color w:val="auto"/>
          <w:sz w:val="21"/>
          <w:szCs w:val="21"/>
          <w:highlight w:val="none"/>
        </w:rPr>
        <w:t>；</w:t>
      </w:r>
    </w:p>
    <w:p w14:paraId="72028C8F">
      <w:pPr>
        <w:spacing w:line="360" w:lineRule="auto"/>
        <w:ind w:firstLine="411" w:firstLineChars="196"/>
        <w:contextualSpacing/>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w:t>
      </w:r>
      <w:r>
        <w:rPr>
          <w:rFonts w:hint="eastAsia" w:ascii="Times New Roman" w:hAnsi="Times New Roman" w:eastAsia="宋体" w:cs="Times New Roman"/>
          <w:b w:val="0"/>
          <w:color w:val="auto"/>
          <w:kern w:val="2"/>
          <w:sz w:val="21"/>
          <w:szCs w:val="21"/>
          <w:highlight w:val="none"/>
          <w:lang w:val="en-US" w:eastAsia="zh-CN" w:bidi="ar-SA"/>
        </w:rPr>
        <w:t>．</w:t>
      </w:r>
      <w:r>
        <w:rPr>
          <w:rFonts w:hint="default" w:ascii="Times New Roman" w:hAnsi="Times New Roman" w:cs="Times New Roman"/>
          <w:color w:val="auto"/>
          <w:sz w:val="21"/>
          <w:szCs w:val="21"/>
          <w:highlight w:val="none"/>
        </w:rPr>
        <w:t>不同投标人的投标保证金从同一单位或者个人账户转出。</w:t>
      </w:r>
    </w:p>
    <w:p w14:paraId="172EC8A4">
      <w:pPr>
        <w:spacing w:line="360" w:lineRule="auto"/>
        <w:contextualSpacing/>
        <w:jc w:val="left"/>
        <w:rPr>
          <w:rFonts w:hint="default" w:ascii="Times New Roman" w:hAnsi="Times New Roman" w:cs="Times New Roman"/>
          <w:color w:val="auto"/>
          <w:sz w:val="21"/>
          <w:szCs w:val="21"/>
          <w:highlight w:val="none"/>
        </w:rPr>
      </w:pPr>
      <w:r>
        <w:rPr>
          <w:rFonts w:hint="default" w:ascii="Times New Roman" w:hAnsi="Times New Roman" w:cs="Times New Roman"/>
          <w:b/>
          <w:color w:val="auto"/>
          <w:sz w:val="21"/>
          <w:szCs w:val="21"/>
          <w:highlight w:val="none"/>
        </w:rPr>
        <w:t>二、我方承诺无下列恶意串通的情形：</w:t>
      </w:r>
    </w:p>
    <w:p w14:paraId="24F5449A">
      <w:pPr>
        <w:spacing w:line="360" w:lineRule="auto"/>
        <w:ind w:firstLine="411" w:firstLineChars="196"/>
        <w:contextualSpacing/>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r>
        <w:rPr>
          <w:rFonts w:hint="eastAsia" w:ascii="Times New Roman" w:hAnsi="Times New Roman" w:eastAsia="宋体" w:cs="Times New Roman"/>
          <w:b w:val="0"/>
          <w:color w:val="auto"/>
          <w:kern w:val="2"/>
          <w:sz w:val="21"/>
          <w:szCs w:val="21"/>
          <w:highlight w:val="none"/>
          <w:lang w:val="en-US" w:eastAsia="zh-CN" w:bidi="ar-SA"/>
        </w:rPr>
        <w:t>．</w:t>
      </w:r>
      <w:r>
        <w:rPr>
          <w:rFonts w:hint="default" w:ascii="Times New Roman" w:hAnsi="Times New Roman" w:cs="Times New Roman"/>
          <w:color w:val="auto"/>
          <w:sz w:val="21"/>
          <w:szCs w:val="21"/>
          <w:highlight w:val="none"/>
        </w:rPr>
        <w:t>投标人直接或者间接从采购人或者采购代理机构处获得其他投标人的相关信息并修改其投标文件或者投标文件；</w:t>
      </w:r>
    </w:p>
    <w:p w14:paraId="1375EF54">
      <w:pPr>
        <w:spacing w:line="360" w:lineRule="auto"/>
        <w:ind w:firstLine="411" w:firstLineChars="196"/>
        <w:contextualSpacing/>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w:t>
      </w:r>
      <w:r>
        <w:rPr>
          <w:rFonts w:hint="eastAsia" w:ascii="Times New Roman" w:hAnsi="Times New Roman" w:eastAsia="宋体" w:cs="Times New Roman"/>
          <w:b w:val="0"/>
          <w:color w:val="auto"/>
          <w:kern w:val="2"/>
          <w:sz w:val="21"/>
          <w:szCs w:val="21"/>
          <w:highlight w:val="none"/>
          <w:lang w:val="en-US" w:eastAsia="zh-CN" w:bidi="ar-SA"/>
        </w:rPr>
        <w:t>．</w:t>
      </w:r>
      <w:r>
        <w:rPr>
          <w:rFonts w:hint="default" w:ascii="Times New Roman" w:hAnsi="Times New Roman" w:cs="Times New Roman"/>
          <w:color w:val="auto"/>
          <w:sz w:val="21"/>
          <w:szCs w:val="21"/>
          <w:highlight w:val="none"/>
        </w:rPr>
        <w:t>投标人按照采购人或者采购代理机构的授意撤换、修改投标文件或者投标文件；</w:t>
      </w:r>
    </w:p>
    <w:p w14:paraId="7D4F3506">
      <w:pPr>
        <w:spacing w:line="360" w:lineRule="auto"/>
        <w:ind w:firstLine="411" w:firstLineChars="196"/>
        <w:contextualSpacing/>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r>
        <w:rPr>
          <w:rFonts w:hint="eastAsia" w:ascii="Times New Roman" w:hAnsi="Times New Roman" w:eastAsia="宋体" w:cs="Times New Roman"/>
          <w:b w:val="0"/>
          <w:color w:val="auto"/>
          <w:kern w:val="2"/>
          <w:sz w:val="21"/>
          <w:szCs w:val="21"/>
          <w:highlight w:val="none"/>
          <w:lang w:val="en-US" w:eastAsia="zh-CN" w:bidi="ar-SA"/>
        </w:rPr>
        <w:t>．</w:t>
      </w:r>
      <w:r>
        <w:rPr>
          <w:rFonts w:hint="default" w:ascii="Times New Roman" w:hAnsi="Times New Roman" w:cs="Times New Roman"/>
          <w:color w:val="auto"/>
          <w:sz w:val="21"/>
          <w:szCs w:val="21"/>
          <w:highlight w:val="none"/>
        </w:rPr>
        <w:t>投标人之间协商报价、技术方案等投标文件或者投标文件的实质性内容；</w:t>
      </w:r>
    </w:p>
    <w:p w14:paraId="02BF059B">
      <w:pPr>
        <w:spacing w:line="360" w:lineRule="auto"/>
        <w:ind w:firstLine="411" w:firstLineChars="196"/>
        <w:contextualSpacing/>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w:t>
      </w:r>
      <w:r>
        <w:rPr>
          <w:rFonts w:hint="eastAsia" w:ascii="Times New Roman" w:hAnsi="Times New Roman" w:eastAsia="宋体" w:cs="Times New Roman"/>
          <w:b w:val="0"/>
          <w:color w:val="auto"/>
          <w:kern w:val="2"/>
          <w:sz w:val="21"/>
          <w:szCs w:val="21"/>
          <w:highlight w:val="none"/>
          <w:lang w:val="en-US" w:eastAsia="zh-CN" w:bidi="ar-SA"/>
        </w:rPr>
        <w:t>．</w:t>
      </w:r>
      <w:r>
        <w:rPr>
          <w:rFonts w:hint="default" w:ascii="Times New Roman" w:hAnsi="Times New Roman" w:cs="Times New Roman"/>
          <w:color w:val="auto"/>
          <w:sz w:val="21"/>
          <w:szCs w:val="21"/>
          <w:highlight w:val="none"/>
        </w:rPr>
        <w:t>属于同一集团、协会、商会等组织成员的投标人按照该组织要求协同参加政府采购活动；</w:t>
      </w:r>
    </w:p>
    <w:p w14:paraId="3129A87A">
      <w:pPr>
        <w:spacing w:line="360" w:lineRule="auto"/>
        <w:ind w:firstLine="411" w:firstLineChars="196"/>
        <w:contextualSpacing/>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w:t>
      </w:r>
      <w:r>
        <w:rPr>
          <w:rFonts w:hint="eastAsia" w:ascii="Times New Roman" w:hAnsi="Times New Roman" w:eastAsia="宋体" w:cs="Times New Roman"/>
          <w:b w:val="0"/>
          <w:color w:val="auto"/>
          <w:kern w:val="2"/>
          <w:sz w:val="21"/>
          <w:szCs w:val="21"/>
          <w:highlight w:val="none"/>
          <w:lang w:val="en-US" w:eastAsia="zh-CN" w:bidi="ar-SA"/>
        </w:rPr>
        <w:t>．</w:t>
      </w:r>
      <w:r>
        <w:rPr>
          <w:rFonts w:hint="default" w:ascii="Times New Roman" w:hAnsi="Times New Roman" w:cs="Times New Roman"/>
          <w:color w:val="auto"/>
          <w:sz w:val="21"/>
          <w:szCs w:val="21"/>
          <w:highlight w:val="none"/>
        </w:rPr>
        <w:t>投标人之间事先约定一致抬高或者压低投标报价，或者在招标项目中事先约定轮流以高价位或者低价位中标，或者事先约定由某一特定投标人中标，然后再参加投标；</w:t>
      </w:r>
    </w:p>
    <w:p w14:paraId="7B97A06B">
      <w:pPr>
        <w:spacing w:line="360" w:lineRule="auto"/>
        <w:ind w:firstLine="411" w:firstLineChars="196"/>
        <w:contextualSpacing/>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w:t>
      </w:r>
      <w:r>
        <w:rPr>
          <w:rFonts w:hint="eastAsia" w:ascii="Times New Roman" w:hAnsi="Times New Roman" w:eastAsia="宋体" w:cs="Times New Roman"/>
          <w:b w:val="0"/>
          <w:color w:val="auto"/>
          <w:kern w:val="2"/>
          <w:sz w:val="21"/>
          <w:szCs w:val="21"/>
          <w:highlight w:val="none"/>
          <w:lang w:val="en-US" w:eastAsia="zh-CN" w:bidi="ar-SA"/>
        </w:rPr>
        <w:t>．</w:t>
      </w:r>
      <w:r>
        <w:rPr>
          <w:rFonts w:hint="default" w:ascii="Times New Roman" w:hAnsi="Times New Roman" w:cs="Times New Roman"/>
          <w:color w:val="auto"/>
          <w:sz w:val="21"/>
          <w:szCs w:val="21"/>
          <w:highlight w:val="none"/>
        </w:rPr>
        <w:t>投标人之间商定部分投标人放弃参加政府采购活动或者放弃中标；</w:t>
      </w:r>
    </w:p>
    <w:p w14:paraId="06A66FBB">
      <w:pPr>
        <w:spacing w:line="360" w:lineRule="auto"/>
        <w:ind w:firstLine="411" w:firstLineChars="196"/>
        <w:contextualSpacing/>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w:t>
      </w:r>
      <w:r>
        <w:rPr>
          <w:rFonts w:hint="eastAsia" w:ascii="Times New Roman" w:hAnsi="Times New Roman" w:eastAsia="宋体" w:cs="Times New Roman"/>
          <w:b w:val="0"/>
          <w:color w:val="auto"/>
          <w:kern w:val="2"/>
          <w:sz w:val="21"/>
          <w:szCs w:val="21"/>
          <w:highlight w:val="none"/>
          <w:lang w:val="en-US" w:eastAsia="zh-CN" w:bidi="ar-SA"/>
        </w:rPr>
        <w:t>．</w:t>
      </w:r>
      <w:r>
        <w:rPr>
          <w:rFonts w:hint="default" w:ascii="Times New Roman" w:hAnsi="Times New Roman" w:cs="Times New Roman"/>
          <w:color w:val="auto"/>
          <w:sz w:val="21"/>
          <w:szCs w:val="21"/>
          <w:highlight w:val="none"/>
        </w:rPr>
        <w:t>投标人与采购人或者采购代理机构之间、投标人相互之间，为谋求特定投标人中标或者排斥其他投标人的其他串通行为。</w:t>
      </w:r>
    </w:p>
    <w:p w14:paraId="504CBD83">
      <w:pPr>
        <w:spacing w:line="360" w:lineRule="auto"/>
        <w:ind w:firstLine="422" w:firstLineChars="200"/>
        <w:contextualSpacing/>
        <w:rPr>
          <w:rFonts w:hint="default" w:ascii="Times New Roman" w:hAnsi="Times New Roman" w:cs="Times New Roman"/>
          <w:b/>
          <w:bCs/>
          <w:color w:val="auto"/>
          <w:sz w:val="21"/>
          <w:szCs w:val="21"/>
          <w:highlight w:val="none"/>
        </w:rPr>
      </w:pPr>
      <w:r>
        <w:rPr>
          <w:rFonts w:hint="default" w:ascii="Times New Roman" w:hAnsi="Times New Roman" w:cs="Times New Roman"/>
          <w:b/>
          <w:color w:val="auto"/>
          <w:sz w:val="21"/>
          <w:szCs w:val="21"/>
          <w:highlight w:val="none"/>
        </w:rPr>
        <w:t>以上情形一经核查属实，我方愿意承担一切后果，并不再寻求任何旨在减轻或者免除法律责任的辩解。</w:t>
      </w:r>
    </w:p>
    <w:p w14:paraId="6C2001DC">
      <w:pPr>
        <w:spacing w:line="360" w:lineRule="auto"/>
        <w:ind w:firstLine="3150" w:firstLineChars="1500"/>
        <w:contextualSpacing/>
        <w:rPr>
          <w:rFonts w:hint="default" w:ascii="Times New Roman" w:hAnsi="Times New Roman" w:cs="Times New Roman"/>
          <w:color w:val="auto"/>
          <w:sz w:val="21"/>
          <w:szCs w:val="21"/>
          <w:highlight w:val="none"/>
        </w:rPr>
      </w:pPr>
    </w:p>
    <w:p w14:paraId="470F2A2C">
      <w:pPr>
        <w:pStyle w:val="7"/>
        <w:rPr>
          <w:rFonts w:hint="default" w:ascii="Times New Roman" w:hAnsi="Times New Roman" w:cs="Times New Roman"/>
          <w:color w:val="auto"/>
          <w:sz w:val="21"/>
          <w:szCs w:val="21"/>
          <w:highlight w:val="none"/>
        </w:rPr>
      </w:pPr>
    </w:p>
    <w:p w14:paraId="7968BCFC">
      <w:pPr>
        <w:keepNext w:val="0"/>
        <w:keepLines w:val="0"/>
        <w:pageBreakBefore w:val="0"/>
        <w:widowControl w:val="0"/>
        <w:kinsoku/>
        <w:wordWrap/>
        <w:overflowPunct/>
        <w:topLinePunct w:val="0"/>
        <w:autoSpaceDE/>
        <w:autoSpaceDN/>
        <w:bidi w:val="0"/>
        <w:adjustRightInd/>
        <w:snapToGrid w:val="0"/>
        <w:spacing w:line="480" w:lineRule="auto"/>
        <w:ind w:firstLine="2730" w:firstLineChars="130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法定代表人或者委托代理人（签字或电子签名）</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rPr>
        <w:t xml:space="preserve"> </w:t>
      </w:r>
    </w:p>
    <w:p w14:paraId="7C8C30E7">
      <w:pPr>
        <w:pStyle w:val="17"/>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default" w:ascii="Times New Roman" w:hAnsi="Times New Roman" w:cs="Times New Roman"/>
          <w:color w:val="auto"/>
          <w:sz w:val="21"/>
          <w:szCs w:val="21"/>
          <w:highlight w:val="none"/>
          <w:u w:val="single"/>
          <w:lang w:val="en-US" w:eastAsia="zh-CN"/>
        </w:rPr>
      </w:pPr>
      <w:r>
        <w:rPr>
          <w:rFonts w:hint="default" w:ascii="Times New Roman" w:hAnsi="Times New Roman" w:cs="Times New Roman"/>
          <w:color w:val="auto"/>
          <w:sz w:val="21"/>
          <w:szCs w:val="21"/>
          <w:highlight w:val="none"/>
        </w:rPr>
        <w:t xml:space="preserve">                    投标人（</w:t>
      </w:r>
      <w:r>
        <w:rPr>
          <w:rFonts w:hint="default" w:ascii="Times New Roman" w:hAnsi="Times New Roman" w:cs="Times New Roman"/>
          <w:color w:val="auto"/>
          <w:sz w:val="21"/>
          <w:szCs w:val="21"/>
          <w:highlight w:val="none"/>
          <w:lang w:eastAsia="zh-CN"/>
        </w:rPr>
        <w:t>电子签章</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u w:val="single"/>
          <w:lang w:val="en-US" w:eastAsia="zh-CN"/>
        </w:rPr>
        <w:t xml:space="preserve">                     </w:t>
      </w:r>
    </w:p>
    <w:p w14:paraId="77CFB07A">
      <w:pPr>
        <w:pStyle w:val="17"/>
        <w:keepNext w:val="0"/>
        <w:keepLines w:val="0"/>
        <w:pageBreakBefore w:val="0"/>
        <w:widowControl w:val="0"/>
        <w:kinsoku/>
        <w:wordWrap/>
        <w:overflowPunct/>
        <w:topLinePunct w:val="0"/>
        <w:autoSpaceDE/>
        <w:autoSpaceDN/>
        <w:bidi w:val="0"/>
        <w:adjustRightInd/>
        <w:snapToGrid w:val="0"/>
        <w:spacing w:line="480" w:lineRule="auto"/>
        <w:ind w:firstLine="6090" w:firstLineChars="290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lang w:val="en-US" w:eastAsia="zh-CN"/>
        </w:rPr>
        <w:t>年</w:t>
      </w:r>
      <w:r>
        <w:rPr>
          <w:rFonts w:hint="default" w:ascii="Times New Roman" w:hAnsi="Times New Roman" w:cs="Times New Roman"/>
          <w:color w:val="auto"/>
          <w:sz w:val="21"/>
          <w:szCs w:val="21"/>
          <w:highlight w:val="none"/>
          <w:u w:val="single"/>
        </w:rPr>
        <w:t xml:space="preserve">  </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single"/>
        </w:rPr>
        <w:t xml:space="preserve">  </w:t>
      </w:r>
      <w:r>
        <w:rPr>
          <w:rFonts w:hint="default" w:ascii="Times New Roman" w:hAnsi="Times New Roman" w:cs="Times New Roman"/>
          <w:color w:val="auto"/>
          <w:sz w:val="21"/>
          <w:szCs w:val="21"/>
          <w:highlight w:val="none"/>
        </w:rPr>
        <w:t>月</w:t>
      </w:r>
      <w:r>
        <w:rPr>
          <w:rFonts w:hint="default" w:ascii="Times New Roman" w:hAnsi="Times New Roman" w:cs="Times New Roman"/>
          <w:color w:val="auto"/>
          <w:sz w:val="21"/>
          <w:szCs w:val="21"/>
          <w:highlight w:val="none"/>
          <w:u w:val="single"/>
        </w:rPr>
        <w:t xml:space="preserve">     </w:t>
      </w:r>
      <w:r>
        <w:rPr>
          <w:rFonts w:hint="default" w:ascii="Times New Roman" w:hAnsi="Times New Roman" w:cs="Times New Roman"/>
          <w:color w:val="auto"/>
          <w:sz w:val="21"/>
          <w:szCs w:val="21"/>
          <w:highlight w:val="none"/>
        </w:rPr>
        <w:t>日</w:t>
      </w:r>
    </w:p>
    <w:p w14:paraId="29B75931">
      <w:pPr>
        <w:spacing w:line="360" w:lineRule="auto"/>
        <w:ind w:right="-817" w:rightChars="-389" w:firstLine="12320" w:firstLineChars="2800"/>
        <w:contextualSpacing/>
        <w:rPr>
          <w:b/>
          <w:color w:val="auto"/>
          <w:szCs w:val="21"/>
          <w:highlight w:val="none"/>
        </w:rPr>
      </w:pPr>
      <w:r>
        <w:rPr>
          <w:bCs/>
          <w:color w:val="auto"/>
          <w:sz w:val="44"/>
          <w:szCs w:val="44"/>
          <w:highlight w:val="none"/>
        </w:rPr>
        <w:br w:type="page"/>
      </w:r>
    </w:p>
    <w:p w14:paraId="752BB362">
      <w:pPr>
        <w:spacing w:before="312" w:beforeLines="100" w:after="156" w:afterLines="50" w:line="520" w:lineRule="exact"/>
        <w:ind w:left="540"/>
        <w:jc w:val="center"/>
        <w:outlineLvl w:val="2"/>
        <w:rPr>
          <w:b/>
          <w:bCs/>
          <w:color w:val="auto"/>
          <w:sz w:val="36"/>
          <w:szCs w:val="36"/>
          <w:highlight w:val="none"/>
        </w:rPr>
      </w:pPr>
    </w:p>
    <w:p w14:paraId="717A6880">
      <w:pPr>
        <w:spacing w:before="312" w:beforeLines="100" w:after="156" w:afterLines="50" w:line="520" w:lineRule="exact"/>
        <w:ind w:left="540"/>
        <w:jc w:val="center"/>
        <w:outlineLvl w:val="2"/>
        <w:rPr>
          <w:b/>
          <w:bCs/>
          <w:color w:val="auto"/>
          <w:sz w:val="32"/>
          <w:szCs w:val="32"/>
          <w:highlight w:val="none"/>
        </w:rPr>
      </w:pPr>
      <w:r>
        <w:rPr>
          <w:rFonts w:hint="eastAsia"/>
          <w:b/>
          <w:bCs/>
          <w:color w:val="auto"/>
          <w:sz w:val="32"/>
          <w:szCs w:val="32"/>
          <w:highlight w:val="none"/>
        </w:rPr>
        <w:t>法定代表人证明书</w:t>
      </w:r>
    </w:p>
    <w:p w14:paraId="5FF309AC">
      <w:pPr>
        <w:spacing w:line="360" w:lineRule="auto"/>
        <w:ind w:left="540"/>
        <w:contextualSpacing/>
        <w:rPr>
          <w:color w:val="auto"/>
          <w:sz w:val="32"/>
          <w:szCs w:val="32"/>
          <w:highlight w:val="none"/>
        </w:rPr>
      </w:pPr>
    </w:p>
    <w:p w14:paraId="10D28FCC">
      <w:pPr>
        <w:spacing w:line="480" w:lineRule="auto"/>
        <w:ind w:firstLine="420" w:firstLineChars="200"/>
        <w:contextualSpacing/>
        <w:rPr>
          <w:color w:val="auto"/>
          <w:szCs w:val="21"/>
          <w:highlight w:val="none"/>
          <w:u w:color="000000" w:themeColor="text1"/>
        </w:rPr>
      </w:pPr>
      <w:r>
        <w:rPr>
          <w:rFonts w:hint="eastAsia"/>
          <w:color w:val="auto"/>
          <w:szCs w:val="21"/>
          <w:highlight w:val="none"/>
          <w:u w:color="000000" w:themeColor="text1"/>
          <w:lang w:eastAsia="zh-CN"/>
        </w:rPr>
        <w:t>投标人</w:t>
      </w:r>
      <w:r>
        <w:rPr>
          <w:color w:val="auto"/>
          <w:szCs w:val="21"/>
          <w:highlight w:val="none"/>
          <w:u w:color="000000" w:themeColor="text1"/>
        </w:rPr>
        <w:t>名称：</w:t>
      </w:r>
      <w:r>
        <w:rPr>
          <w:color w:val="auto"/>
          <w:szCs w:val="21"/>
          <w:highlight w:val="none"/>
          <w:u w:val="single" w:color="000000" w:themeColor="text1"/>
        </w:rPr>
        <w:t xml:space="preserve">                                                        </w:t>
      </w:r>
    </w:p>
    <w:p w14:paraId="074B8EA8">
      <w:pPr>
        <w:spacing w:line="480" w:lineRule="auto"/>
        <w:ind w:firstLine="420" w:firstLineChars="200"/>
        <w:contextualSpacing/>
        <w:rPr>
          <w:color w:val="auto"/>
          <w:szCs w:val="21"/>
          <w:highlight w:val="none"/>
          <w:u w:color="000000" w:themeColor="text1"/>
        </w:rPr>
      </w:pPr>
      <w:r>
        <w:rPr>
          <w:color w:val="auto"/>
          <w:szCs w:val="21"/>
          <w:highlight w:val="none"/>
          <w:u w:color="000000" w:themeColor="text1"/>
        </w:rPr>
        <w:t>地    址：</w:t>
      </w:r>
      <w:r>
        <w:rPr>
          <w:color w:val="auto"/>
          <w:szCs w:val="21"/>
          <w:highlight w:val="none"/>
          <w:u w:val="single" w:color="000000" w:themeColor="text1"/>
        </w:rPr>
        <w:t xml:space="preserve">                                      </w:t>
      </w:r>
      <w:r>
        <w:rPr>
          <w:rFonts w:hint="eastAsia"/>
          <w:color w:val="auto"/>
          <w:szCs w:val="21"/>
          <w:highlight w:val="none"/>
          <w:u w:val="single" w:color="000000" w:themeColor="text1"/>
        </w:rPr>
        <w:t xml:space="preserve">  </w:t>
      </w:r>
      <w:r>
        <w:rPr>
          <w:color w:val="auto"/>
          <w:szCs w:val="21"/>
          <w:highlight w:val="none"/>
          <w:u w:val="single" w:color="000000" w:themeColor="text1"/>
        </w:rPr>
        <w:t xml:space="preserve">                  </w:t>
      </w:r>
    </w:p>
    <w:p w14:paraId="6F93A980">
      <w:pPr>
        <w:spacing w:line="480" w:lineRule="auto"/>
        <w:ind w:firstLine="420" w:firstLineChars="200"/>
        <w:contextualSpacing/>
        <w:rPr>
          <w:color w:val="auto"/>
          <w:szCs w:val="21"/>
          <w:highlight w:val="none"/>
          <w:u w:color="000000" w:themeColor="text1"/>
        </w:rPr>
      </w:pPr>
      <w:r>
        <w:rPr>
          <w:color w:val="auto"/>
          <w:szCs w:val="21"/>
          <w:highlight w:val="none"/>
          <w:u w:color="000000" w:themeColor="text1"/>
        </w:rPr>
        <w:t>姓    名：</w:t>
      </w:r>
      <w:r>
        <w:rPr>
          <w:color w:val="auto"/>
          <w:szCs w:val="21"/>
          <w:highlight w:val="none"/>
          <w:u w:val="single" w:color="000000" w:themeColor="text1"/>
        </w:rPr>
        <w:t xml:space="preserve">                </w:t>
      </w:r>
      <w:r>
        <w:rPr>
          <w:rFonts w:hint="eastAsia"/>
          <w:color w:val="auto"/>
          <w:szCs w:val="21"/>
          <w:highlight w:val="none"/>
          <w:u w:val="single" w:color="000000" w:themeColor="text1"/>
        </w:rPr>
        <w:t xml:space="preserve">          </w:t>
      </w:r>
      <w:r>
        <w:rPr>
          <w:color w:val="auto"/>
          <w:szCs w:val="21"/>
          <w:highlight w:val="none"/>
          <w:u w:color="000000" w:themeColor="text1"/>
        </w:rPr>
        <w:t>性     别：</w:t>
      </w:r>
      <w:r>
        <w:rPr>
          <w:color w:val="auto"/>
          <w:szCs w:val="21"/>
          <w:highlight w:val="none"/>
          <w:u w:val="single" w:color="000000" w:themeColor="text1"/>
        </w:rPr>
        <w:t xml:space="preserve">             </w:t>
      </w:r>
      <w:r>
        <w:rPr>
          <w:rFonts w:hint="eastAsia"/>
          <w:color w:val="auto"/>
          <w:szCs w:val="21"/>
          <w:highlight w:val="none"/>
          <w:u w:val="single" w:color="000000" w:themeColor="text1"/>
        </w:rPr>
        <w:t xml:space="preserve">     </w:t>
      </w:r>
      <w:r>
        <w:rPr>
          <w:color w:val="auto"/>
          <w:szCs w:val="21"/>
          <w:highlight w:val="none"/>
          <w:u w:val="single" w:color="000000" w:themeColor="text1"/>
        </w:rPr>
        <w:t xml:space="preserve">   </w:t>
      </w:r>
    </w:p>
    <w:p w14:paraId="5C752275">
      <w:pPr>
        <w:spacing w:line="480" w:lineRule="auto"/>
        <w:ind w:firstLine="420" w:firstLineChars="200"/>
        <w:contextualSpacing/>
        <w:rPr>
          <w:color w:val="auto"/>
          <w:szCs w:val="21"/>
          <w:highlight w:val="none"/>
          <w:u w:val="single" w:color="000000" w:themeColor="text1"/>
        </w:rPr>
      </w:pPr>
      <w:r>
        <w:rPr>
          <w:color w:val="auto"/>
          <w:szCs w:val="21"/>
          <w:highlight w:val="none"/>
          <w:u w:color="000000" w:themeColor="text1"/>
        </w:rPr>
        <w:t>年    龄：</w:t>
      </w:r>
      <w:r>
        <w:rPr>
          <w:color w:val="auto"/>
          <w:szCs w:val="21"/>
          <w:highlight w:val="none"/>
          <w:u w:val="single" w:color="000000" w:themeColor="text1"/>
        </w:rPr>
        <w:t xml:space="preserve">                </w:t>
      </w:r>
      <w:r>
        <w:rPr>
          <w:rFonts w:hint="eastAsia"/>
          <w:color w:val="auto"/>
          <w:szCs w:val="21"/>
          <w:highlight w:val="none"/>
          <w:u w:val="single" w:color="000000" w:themeColor="text1"/>
        </w:rPr>
        <w:t xml:space="preserve">          </w:t>
      </w:r>
      <w:r>
        <w:rPr>
          <w:color w:val="auto"/>
          <w:szCs w:val="21"/>
          <w:highlight w:val="none"/>
          <w:u w:color="000000" w:themeColor="text1"/>
        </w:rPr>
        <w:t>职     务：</w:t>
      </w:r>
      <w:r>
        <w:rPr>
          <w:color w:val="auto"/>
          <w:szCs w:val="21"/>
          <w:highlight w:val="none"/>
          <w:u w:val="single" w:color="000000" w:themeColor="text1"/>
        </w:rPr>
        <w:t xml:space="preserve">            </w:t>
      </w:r>
      <w:r>
        <w:rPr>
          <w:rFonts w:hint="eastAsia"/>
          <w:color w:val="auto"/>
          <w:szCs w:val="21"/>
          <w:highlight w:val="none"/>
          <w:u w:val="single" w:color="000000" w:themeColor="text1"/>
        </w:rPr>
        <w:t xml:space="preserve">     </w:t>
      </w:r>
      <w:r>
        <w:rPr>
          <w:color w:val="auto"/>
          <w:szCs w:val="21"/>
          <w:highlight w:val="none"/>
          <w:u w:val="single" w:color="000000" w:themeColor="text1"/>
        </w:rPr>
        <w:t xml:space="preserve">    </w:t>
      </w:r>
    </w:p>
    <w:p w14:paraId="6725ACE6">
      <w:pPr>
        <w:spacing w:line="480" w:lineRule="auto"/>
        <w:ind w:firstLine="420" w:firstLineChars="200"/>
        <w:contextualSpacing/>
        <w:rPr>
          <w:color w:val="auto"/>
          <w:szCs w:val="21"/>
          <w:highlight w:val="none"/>
          <w:u w:color="000000" w:themeColor="text1"/>
        </w:rPr>
      </w:pPr>
      <w:r>
        <w:rPr>
          <w:color w:val="auto"/>
          <w:szCs w:val="21"/>
          <w:highlight w:val="none"/>
          <w:u w:color="000000" w:themeColor="text1"/>
        </w:rPr>
        <w:t>身份证号码：</w:t>
      </w:r>
      <w:r>
        <w:rPr>
          <w:color w:val="auto"/>
          <w:szCs w:val="21"/>
          <w:highlight w:val="none"/>
          <w:u w:val="single" w:color="000000" w:themeColor="text1"/>
        </w:rPr>
        <w:t xml:space="preserve">                            </w:t>
      </w:r>
      <w:r>
        <w:rPr>
          <w:rFonts w:hint="eastAsia"/>
          <w:color w:val="auto"/>
          <w:szCs w:val="21"/>
          <w:highlight w:val="none"/>
          <w:u w:val="single" w:color="000000" w:themeColor="text1"/>
        </w:rPr>
        <w:t xml:space="preserve">                </w:t>
      </w:r>
      <w:r>
        <w:rPr>
          <w:color w:val="auto"/>
          <w:szCs w:val="21"/>
          <w:highlight w:val="none"/>
          <w:u w:val="single" w:color="000000" w:themeColor="text1"/>
        </w:rPr>
        <w:t xml:space="preserve">            </w:t>
      </w:r>
    </w:p>
    <w:p w14:paraId="2E4B71F1">
      <w:pPr>
        <w:spacing w:line="480" w:lineRule="auto"/>
        <w:ind w:firstLine="420" w:firstLineChars="200"/>
        <w:contextualSpacing/>
        <w:rPr>
          <w:color w:val="auto"/>
          <w:szCs w:val="21"/>
          <w:highlight w:val="none"/>
          <w:u w:color="000000" w:themeColor="text1"/>
        </w:rPr>
      </w:pPr>
      <w:r>
        <w:rPr>
          <w:color w:val="auto"/>
          <w:szCs w:val="21"/>
          <w:highlight w:val="none"/>
          <w:u w:color="000000" w:themeColor="text1"/>
        </w:rPr>
        <w:t>系</w:t>
      </w:r>
      <w:r>
        <w:rPr>
          <w:rFonts w:hint="eastAsia"/>
          <w:color w:val="auto"/>
          <w:szCs w:val="21"/>
          <w:highlight w:val="none"/>
          <w:u w:val="single" w:color="000000" w:themeColor="text1"/>
        </w:rPr>
        <w:t xml:space="preserve">         </w:t>
      </w:r>
      <w:r>
        <w:rPr>
          <w:color w:val="auto"/>
          <w:szCs w:val="21"/>
          <w:highlight w:val="none"/>
          <w:u w:val="single" w:color="000000" w:themeColor="text1"/>
        </w:rPr>
        <w:t>（</w:t>
      </w:r>
      <w:r>
        <w:rPr>
          <w:rFonts w:hint="eastAsia"/>
          <w:color w:val="auto"/>
          <w:szCs w:val="21"/>
          <w:highlight w:val="none"/>
          <w:u w:val="single" w:color="000000" w:themeColor="text1"/>
          <w:lang w:eastAsia="zh-CN"/>
        </w:rPr>
        <w:t>投标人</w:t>
      </w:r>
      <w:r>
        <w:rPr>
          <w:color w:val="auto"/>
          <w:szCs w:val="21"/>
          <w:highlight w:val="none"/>
          <w:u w:val="single" w:color="000000" w:themeColor="text1"/>
        </w:rPr>
        <w:t>名称）</w:t>
      </w:r>
      <w:r>
        <w:rPr>
          <w:rFonts w:hint="eastAsia"/>
          <w:color w:val="auto"/>
          <w:szCs w:val="21"/>
          <w:highlight w:val="none"/>
          <w:u w:val="single" w:color="000000" w:themeColor="text1"/>
        </w:rPr>
        <w:t xml:space="preserve">                    </w:t>
      </w:r>
      <w:r>
        <w:rPr>
          <w:color w:val="auto"/>
          <w:szCs w:val="21"/>
          <w:highlight w:val="none"/>
          <w:u w:color="000000" w:themeColor="text1"/>
        </w:rPr>
        <w:t>的法定代表人。</w:t>
      </w:r>
    </w:p>
    <w:p w14:paraId="7B5A8645">
      <w:pPr>
        <w:spacing w:line="480" w:lineRule="auto"/>
        <w:ind w:firstLine="420" w:firstLineChars="200"/>
        <w:contextualSpacing/>
        <w:rPr>
          <w:color w:val="auto"/>
          <w:szCs w:val="21"/>
          <w:highlight w:val="none"/>
          <w:u w:color="000000" w:themeColor="text1"/>
        </w:rPr>
      </w:pPr>
      <w:r>
        <w:rPr>
          <w:color w:val="auto"/>
          <w:szCs w:val="21"/>
          <w:highlight w:val="none"/>
          <w:u w:color="000000" w:themeColor="text1"/>
        </w:rPr>
        <w:t>特此证明。</w:t>
      </w:r>
    </w:p>
    <w:p w14:paraId="37E1BF31">
      <w:pPr>
        <w:spacing w:line="360" w:lineRule="auto"/>
        <w:ind w:left="540"/>
        <w:contextualSpacing/>
        <w:rPr>
          <w:color w:val="auto"/>
          <w:szCs w:val="21"/>
          <w:highlight w:val="none"/>
          <w:u w:color="000000" w:themeColor="text1"/>
        </w:rPr>
      </w:pPr>
    </w:p>
    <w:p w14:paraId="361836B0">
      <w:pPr>
        <w:keepNext w:val="0"/>
        <w:keepLines w:val="0"/>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color w:val="auto"/>
          <w:szCs w:val="21"/>
          <w:highlight w:val="none"/>
          <w:u w:color="000000" w:themeColor="text1"/>
        </w:rPr>
      </w:pPr>
      <w:r>
        <w:rPr>
          <w:color w:val="auto"/>
          <w:szCs w:val="21"/>
          <w:highlight w:val="none"/>
          <w:u w:color="000000" w:themeColor="text1"/>
        </w:rPr>
        <w:t>附件：法定代表人有效身份证正反面复印件</w:t>
      </w:r>
    </w:p>
    <w:p w14:paraId="0074303E">
      <w:pPr>
        <w:spacing w:line="360" w:lineRule="auto"/>
        <w:ind w:left="540"/>
        <w:contextualSpacing/>
        <w:rPr>
          <w:color w:val="auto"/>
          <w:szCs w:val="21"/>
          <w:highlight w:val="none"/>
          <w:u w:color="000000" w:themeColor="text1"/>
        </w:rPr>
      </w:pPr>
    </w:p>
    <w:p w14:paraId="24CD6ADD">
      <w:pPr>
        <w:pStyle w:val="31"/>
        <w:rPr>
          <w:rFonts w:ascii="Times New Roman" w:eastAsia="宋体"/>
          <w:color w:val="auto"/>
          <w:sz w:val="21"/>
          <w:szCs w:val="21"/>
          <w:highlight w:val="none"/>
          <w:u w:color="000000" w:themeColor="text1"/>
        </w:rPr>
      </w:pPr>
    </w:p>
    <w:p w14:paraId="034BA137">
      <w:pPr>
        <w:pStyle w:val="31"/>
        <w:rPr>
          <w:rFonts w:ascii="Times New Roman" w:eastAsia="宋体"/>
          <w:color w:val="auto"/>
          <w:sz w:val="21"/>
          <w:szCs w:val="21"/>
          <w:highlight w:val="none"/>
          <w:u w:color="000000" w:themeColor="text1"/>
        </w:rPr>
      </w:pPr>
    </w:p>
    <w:p w14:paraId="04C3A569">
      <w:pPr>
        <w:pStyle w:val="31"/>
        <w:rPr>
          <w:rFonts w:ascii="Times New Roman" w:eastAsia="宋体"/>
          <w:color w:val="auto"/>
          <w:sz w:val="21"/>
          <w:szCs w:val="21"/>
          <w:highlight w:val="none"/>
          <w:u w:color="000000" w:themeColor="text1"/>
        </w:rPr>
      </w:pPr>
    </w:p>
    <w:p w14:paraId="7B44CE04">
      <w:pPr>
        <w:spacing w:line="360" w:lineRule="auto"/>
        <w:ind w:left="540"/>
        <w:contextualSpacing/>
        <w:jc w:val="center"/>
        <w:rPr>
          <w:color w:val="auto"/>
          <w:szCs w:val="21"/>
          <w:highlight w:val="none"/>
          <w:u w:color="000000" w:themeColor="text1"/>
        </w:rPr>
      </w:pPr>
      <w:r>
        <w:rPr>
          <w:rFonts w:hint="eastAsia"/>
          <w:color w:val="auto"/>
          <w:szCs w:val="21"/>
          <w:highlight w:val="none"/>
          <w:u w:color="000000" w:themeColor="text1"/>
          <w:lang w:eastAsia="zh-CN"/>
        </w:rPr>
        <w:t>投标人名称</w:t>
      </w:r>
      <w:r>
        <w:rPr>
          <w:color w:val="auto"/>
          <w:szCs w:val="21"/>
          <w:highlight w:val="none"/>
          <w:u w:color="000000" w:themeColor="text1"/>
        </w:rPr>
        <w:t>（电子</w:t>
      </w:r>
      <w:r>
        <w:rPr>
          <w:rFonts w:hint="eastAsia"/>
          <w:color w:val="auto"/>
          <w:szCs w:val="21"/>
          <w:highlight w:val="none"/>
          <w:u w:color="000000" w:themeColor="text1"/>
          <w:lang w:eastAsia="zh-CN"/>
        </w:rPr>
        <w:t>签</w:t>
      </w:r>
      <w:r>
        <w:rPr>
          <w:color w:val="auto"/>
          <w:szCs w:val="21"/>
          <w:highlight w:val="none"/>
          <w:u w:color="000000" w:themeColor="text1"/>
        </w:rPr>
        <w:t>章）：</w:t>
      </w:r>
      <w:r>
        <w:rPr>
          <w:color w:val="auto"/>
          <w:szCs w:val="21"/>
          <w:highlight w:val="none"/>
          <w:u w:val="single" w:color="000000" w:themeColor="text1"/>
        </w:rPr>
        <w:t xml:space="preserve">          </w:t>
      </w:r>
      <w:r>
        <w:rPr>
          <w:rFonts w:hint="eastAsia"/>
          <w:color w:val="auto"/>
          <w:szCs w:val="21"/>
          <w:highlight w:val="none"/>
          <w:u w:val="single" w:color="000000" w:themeColor="text1"/>
        </w:rPr>
        <w:t xml:space="preserve">         </w:t>
      </w:r>
      <w:r>
        <w:rPr>
          <w:color w:val="auto"/>
          <w:szCs w:val="21"/>
          <w:highlight w:val="none"/>
          <w:u w:val="single" w:color="000000" w:themeColor="text1"/>
        </w:rPr>
        <w:t xml:space="preserve">     </w:t>
      </w:r>
    </w:p>
    <w:p w14:paraId="30A1B7F0">
      <w:pPr>
        <w:spacing w:line="360" w:lineRule="auto"/>
        <w:ind w:firstLine="5670" w:firstLineChars="2700"/>
        <w:contextualSpacing/>
        <w:rPr>
          <w:color w:val="auto"/>
          <w:szCs w:val="21"/>
          <w:highlight w:val="none"/>
          <w:u w:color="000000" w:themeColor="text1"/>
        </w:rPr>
      </w:pPr>
      <w:r>
        <w:rPr>
          <w:color w:val="auto"/>
          <w:szCs w:val="21"/>
          <w:highlight w:val="none"/>
          <w:u w:val="single" w:color="000000" w:themeColor="text1"/>
        </w:rPr>
        <w:t xml:space="preserve">  </w:t>
      </w:r>
      <w:r>
        <w:rPr>
          <w:rFonts w:hint="eastAsia"/>
          <w:color w:val="auto"/>
          <w:szCs w:val="21"/>
          <w:highlight w:val="none"/>
          <w:u w:val="single" w:color="000000" w:themeColor="text1"/>
          <w:lang w:val="en-US" w:eastAsia="zh-CN"/>
        </w:rPr>
        <w:t xml:space="preserve">     </w:t>
      </w:r>
      <w:r>
        <w:rPr>
          <w:color w:val="auto"/>
          <w:szCs w:val="21"/>
          <w:highlight w:val="none"/>
          <w:u w:val="single" w:color="000000" w:themeColor="text1"/>
        </w:rPr>
        <w:t xml:space="preserve">   </w:t>
      </w:r>
      <w:r>
        <w:rPr>
          <w:color w:val="auto"/>
          <w:szCs w:val="21"/>
          <w:highlight w:val="none"/>
          <w:u w:color="000000" w:themeColor="text1"/>
        </w:rPr>
        <w:t>年</w:t>
      </w:r>
      <w:r>
        <w:rPr>
          <w:color w:val="auto"/>
          <w:szCs w:val="21"/>
          <w:highlight w:val="none"/>
          <w:u w:val="single" w:color="000000" w:themeColor="text1"/>
        </w:rPr>
        <w:t xml:space="preserve">   </w:t>
      </w:r>
      <w:r>
        <w:rPr>
          <w:rFonts w:hint="eastAsia"/>
          <w:color w:val="auto"/>
          <w:szCs w:val="21"/>
          <w:highlight w:val="none"/>
          <w:u w:val="single" w:color="000000" w:themeColor="text1"/>
          <w:lang w:val="en-US" w:eastAsia="zh-CN"/>
        </w:rPr>
        <w:t xml:space="preserve"> </w:t>
      </w:r>
      <w:r>
        <w:rPr>
          <w:color w:val="auto"/>
          <w:szCs w:val="21"/>
          <w:highlight w:val="none"/>
          <w:u w:val="single" w:color="000000" w:themeColor="text1"/>
        </w:rPr>
        <w:t xml:space="preserve">  </w:t>
      </w:r>
      <w:r>
        <w:rPr>
          <w:color w:val="auto"/>
          <w:szCs w:val="21"/>
          <w:highlight w:val="none"/>
          <w:u w:color="000000" w:themeColor="text1"/>
        </w:rPr>
        <w:t>月</w:t>
      </w:r>
      <w:r>
        <w:rPr>
          <w:color w:val="auto"/>
          <w:szCs w:val="21"/>
          <w:highlight w:val="none"/>
          <w:u w:val="single" w:color="000000" w:themeColor="text1"/>
        </w:rPr>
        <w:t xml:space="preserve">     </w:t>
      </w:r>
      <w:r>
        <w:rPr>
          <w:color w:val="auto"/>
          <w:szCs w:val="21"/>
          <w:highlight w:val="none"/>
          <w:u w:color="000000" w:themeColor="text1"/>
        </w:rPr>
        <w:t>日</w:t>
      </w:r>
    </w:p>
    <w:p w14:paraId="4D3AE0C6">
      <w:pPr>
        <w:spacing w:line="360" w:lineRule="auto"/>
        <w:contextualSpacing/>
        <w:jc w:val="center"/>
        <w:rPr>
          <w:b/>
          <w:color w:val="auto"/>
          <w:szCs w:val="21"/>
          <w:highlight w:val="none"/>
        </w:rPr>
      </w:pPr>
    </w:p>
    <w:p w14:paraId="1BEE75D6">
      <w:pPr>
        <w:spacing w:line="360" w:lineRule="auto"/>
        <w:contextualSpacing/>
        <w:jc w:val="left"/>
        <w:rPr>
          <w:color w:val="auto"/>
          <w:szCs w:val="21"/>
          <w:highlight w:val="none"/>
        </w:rPr>
      </w:pPr>
    </w:p>
    <w:p w14:paraId="365FADD7">
      <w:pPr>
        <w:keepNext w:val="0"/>
        <w:keepLines w:val="0"/>
        <w:pageBreakBefore w:val="0"/>
        <w:widowControl w:val="0"/>
        <w:kinsoku/>
        <w:wordWrap/>
        <w:overflowPunct/>
        <w:topLinePunct w:val="0"/>
        <w:autoSpaceDE/>
        <w:autoSpaceDN/>
        <w:bidi w:val="0"/>
        <w:adjustRightInd/>
        <w:snapToGrid/>
        <w:spacing w:line="360" w:lineRule="auto"/>
        <w:ind w:firstLine="422" w:firstLineChars="200"/>
        <w:contextualSpacing/>
        <w:jc w:val="left"/>
        <w:textAlignment w:val="auto"/>
        <w:rPr>
          <w:b/>
          <w:bCs/>
          <w:color w:val="auto"/>
          <w:szCs w:val="21"/>
          <w:highlight w:val="none"/>
        </w:rPr>
      </w:pPr>
      <w:r>
        <w:rPr>
          <w:b/>
          <w:bCs/>
          <w:color w:val="auto"/>
          <w:szCs w:val="21"/>
          <w:highlight w:val="none"/>
        </w:rPr>
        <w:t>注：自然人</w:t>
      </w:r>
      <w:r>
        <w:rPr>
          <w:rFonts w:hint="eastAsia"/>
          <w:b/>
          <w:bCs/>
          <w:color w:val="auto"/>
          <w:szCs w:val="21"/>
          <w:highlight w:val="none"/>
          <w:lang w:eastAsia="zh-CN"/>
        </w:rPr>
        <w:t>投</w:t>
      </w:r>
      <w:r>
        <w:rPr>
          <w:b/>
          <w:bCs/>
          <w:color w:val="auto"/>
          <w:szCs w:val="21"/>
          <w:highlight w:val="none"/>
        </w:rPr>
        <w:t>标的无需提供。</w:t>
      </w:r>
    </w:p>
    <w:p w14:paraId="502FC90C">
      <w:pPr>
        <w:adjustRightInd w:val="0"/>
        <w:snapToGrid w:val="0"/>
        <w:spacing w:line="360" w:lineRule="auto"/>
        <w:jc w:val="left"/>
        <w:rPr>
          <w:b/>
          <w:color w:val="auto"/>
          <w:szCs w:val="21"/>
          <w:highlight w:val="none"/>
        </w:rPr>
      </w:pPr>
    </w:p>
    <w:p w14:paraId="62809144">
      <w:pPr>
        <w:spacing w:before="312" w:beforeLines="100" w:after="156" w:afterLines="50" w:line="520" w:lineRule="exact"/>
        <w:ind w:left="540"/>
        <w:jc w:val="center"/>
        <w:outlineLvl w:val="2"/>
        <w:rPr>
          <w:b/>
          <w:bCs/>
          <w:color w:val="auto"/>
          <w:sz w:val="36"/>
          <w:szCs w:val="36"/>
          <w:highlight w:val="none"/>
        </w:rPr>
      </w:pPr>
      <w:r>
        <w:rPr>
          <w:color w:val="auto"/>
          <w:sz w:val="44"/>
          <w:szCs w:val="44"/>
          <w:highlight w:val="none"/>
        </w:rPr>
        <w:br w:type="page"/>
      </w:r>
      <w:r>
        <w:rPr>
          <w:rFonts w:hint="eastAsia"/>
          <w:b/>
          <w:bCs/>
          <w:color w:val="auto"/>
          <w:sz w:val="36"/>
          <w:szCs w:val="36"/>
          <w:highlight w:val="none"/>
        </w:rPr>
        <w:t>授权委托书（如有委托时）</w:t>
      </w:r>
    </w:p>
    <w:p w14:paraId="1600A9B0">
      <w:pPr>
        <w:spacing w:line="360" w:lineRule="auto"/>
        <w:rPr>
          <w:color w:val="auto"/>
          <w:sz w:val="24"/>
          <w:highlight w:val="none"/>
        </w:rPr>
      </w:pPr>
    </w:p>
    <w:p w14:paraId="518302C8">
      <w:pPr>
        <w:spacing w:after="156" w:afterLines="50" w:line="360" w:lineRule="auto"/>
        <w:rPr>
          <w:color w:val="auto"/>
          <w:szCs w:val="21"/>
          <w:highlight w:val="none"/>
        </w:rPr>
      </w:pPr>
      <w:r>
        <w:rPr>
          <w:color w:val="auto"/>
          <w:szCs w:val="21"/>
          <w:highlight w:val="none"/>
        </w:rPr>
        <w:t>致：</w:t>
      </w:r>
      <w:r>
        <w:rPr>
          <w:color w:val="auto"/>
          <w:szCs w:val="21"/>
          <w:highlight w:val="none"/>
          <w:u w:val="single"/>
        </w:rPr>
        <w:t>（采购人名称）</w:t>
      </w:r>
      <w:r>
        <w:rPr>
          <w:rFonts w:hint="eastAsia"/>
          <w:color w:val="auto"/>
          <w:szCs w:val="21"/>
          <w:highlight w:val="none"/>
          <w:u w:val="single"/>
        </w:rPr>
        <w:t xml:space="preserve">       </w:t>
      </w:r>
    </w:p>
    <w:p w14:paraId="5E67BE2C">
      <w:pPr>
        <w:spacing w:line="360" w:lineRule="auto"/>
        <w:ind w:firstLine="420" w:firstLineChars="200"/>
        <w:rPr>
          <w:color w:val="auto"/>
          <w:szCs w:val="21"/>
          <w:highlight w:val="none"/>
        </w:rPr>
      </w:pPr>
      <w:r>
        <w:rPr>
          <w:color w:val="auto"/>
          <w:szCs w:val="21"/>
          <w:highlight w:val="none"/>
        </w:rPr>
        <w:t>我</w:t>
      </w:r>
      <w:r>
        <w:rPr>
          <w:color w:val="auto"/>
          <w:szCs w:val="21"/>
          <w:highlight w:val="none"/>
          <w:u w:val="single"/>
        </w:rPr>
        <w:t xml:space="preserve">  （姓名）</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系</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lang w:eastAsia="zh-CN"/>
        </w:rPr>
        <w:t>投标人</w:t>
      </w:r>
      <w:r>
        <w:rPr>
          <w:color w:val="auto"/>
          <w:szCs w:val="21"/>
          <w:highlight w:val="none"/>
          <w:u w:val="single"/>
        </w:rPr>
        <w:t xml:space="preserve">名称）  </w:t>
      </w:r>
      <w:r>
        <w:rPr>
          <w:rFonts w:hint="eastAsia"/>
          <w:color w:val="auto"/>
          <w:szCs w:val="21"/>
          <w:highlight w:val="none"/>
          <w:u w:val="single"/>
        </w:rPr>
        <w:t xml:space="preserve">     </w:t>
      </w:r>
      <w:r>
        <w:rPr>
          <w:color w:val="auto"/>
          <w:szCs w:val="21"/>
          <w:highlight w:val="none"/>
        </w:rPr>
        <w:t>的（</w:t>
      </w:r>
      <w:r>
        <w:rPr>
          <w:color w:val="auto"/>
          <w:szCs w:val="21"/>
          <w:highlight w:val="none"/>
          <w:u w:val="single"/>
        </w:rPr>
        <w:sym w:font="Wingdings 2" w:char="00A3"/>
      </w:r>
      <w:r>
        <w:rPr>
          <w:color w:val="auto"/>
          <w:szCs w:val="21"/>
          <w:highlight w:val="none"/>
          <w:u w:val="single"/>
        </w:rPr>
        <w:t>法定代表人/</w:t>
      </w:r>
      <w:r>
        <w:rPr>
          <w:color w:val="auto"/>
          <w:szCs w:val="21"/>
          <w:highlight w:val="none"/>
          <w:u w:val="single"/>
        </w:rPr>
        <w:sym w:font="Wingdings 2" w:char="00A3"/>
      </w:r>
      <w:r>
        <w:rPr>
          <w:color w:val="auto"/>
          <w:szCs w:val="21"/>
          <w:highlight w:val="none"/>
          <w:u w:val="single"/>
        </w:rPr>
        <w:t>负责人/</w:t>
      </w:r>
      <w:r>
        <w:rPr>
          <w:color w:val="auto"/>
          <w:szCs w:val="21"/>
          <w:highlight w:val="none"/>
          <w:u w:val="single"/>
        </w:rPr>
        <w:sym w:font="Wingdings 2" w:char="00A3"/>
      </w:r>
      <w:r>
        <w:rPr>
          <w:color w:val="auto"/>
          <w:szCs w:val="21"/>
          <w:highlight w:val="none"/>
          <w:u w:val="single"/>
        </w:rPr>
        <w:t>自然人本人</w:t>
      </w:r>
      <w:r>
        <w:rPr>
          <w:color w:val="auto"/>
          <w:szCs w:val="21"/>
          <w:highlight w:val="none"/>
        </w:rPr>
        <w:t>），现授权</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（姓名） </w:t>
      </w:r>
      <w:r>
        <w:rPr>
          <w:rFonts w:hint="eastAsia"/>
          <w:color w:val="auto"/>
          <w:szCs w:val="21"/>
          <w:highlight w:val="none"/>
          <w:u w:val="single"/>
        </w:rPr>
        <w:t xml:space="preserve">  </w:t>
      </w:r>
      <w:r>
        <w:rPr>
          <w:color w:val="auto"/>
          <w:szCs w:val="21"/>
          <w:highlight w:val="none"/>
        </w:rPr>
        <w:t>以我方的名义参加</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项目的</w:t>
      </w:r>
      <w:r>
        <w:rPr>
          <w:rFonts w:hint="eastAsia"/>
          <w:color w:val="auto"/>
          <w:szCs w:val="21"/>
          <w:highlight w:val="none"/>
          <w:lang w:eastAsia="zh-CN"/>
        </w:rPr>
        <w:t>投标</w:t>
      </w:r>
      <w:r>
        <w:rPr>
          <w:color w:val="auto"/>
          <w:szCs w:val="21"/>
          <w:highlight w:val="none"/>
        </w:rPr>
        <w:t>活动，并代表我方全权办理针对上述项目的所有采购程序和环节的具体事务和签署相关文件。</w:t>
      </w:r>
    </w:p>
    <w:p w14:paraId="324F88A8">
      <w:pPr>
        <w:spacing w:line="360" w:lineRule="auto"/>
        <w:rPr>
          <w:color w:val="auto"/>
          <w:szCs w:val="21"/>
          <w:highlight w:val="none"/>
        </w:rPr>
      </w:pPr>
      <w:r>
        <w:rPr>
          <w:color w:val="auto"/>
          <w:szCs w:val="21"/>
          <w:highlight w:val="none"/>
        </w:rPr>
        <w:t xml:space="preserve">    我方对委托代理人的签字</w:t>
      </w:r>
      <w:r>
        <w:rPr>
          <w:rFonts w:hint="eastAsia"/>
          <w:color w:val="auto"/>
          <w:szCs w:val="21"/>
          <w:highlight w:val="none"/>
          <w:lang w:eastAsia="zh-CN"/>
        </w:rPr>
        <w:t>或者电子签名</w:t>
      </w:r>
      <w:r>
        <w:rPr>
          <w:color w:val="auto"/>
          <w:szCs w:val="21"/>
          <w:highlight w:val="none"/>
        </w:rPr>
        <w:t>事项负全部责任。</w:t>
      </w:r>
    </w:p>
    <w:p w14:paraId="0709749F">
      <w:pPr>
        <w:spacing w:line="360" w:lineRule="auto"/>
        <w:ind w:firstLine="420" w:firstLineChars="200"/>
        <w:rPr>
          <w:color w:val="auto"/>
          <w:szCs w:val="21"/>
          <w:highlight w:val="none"/>
          <w:u w:val="single"/>
        </w:rPr>
      </w:pPr>
      <w:r>
        <w:rPr>
          <w:color w:val="auto"/>
          <w:szCs w:val="21"/>
          <w:highlight w:val="none"/>
          <w:u w:val="single"/>
        </w:rPr>
        <w:t>本授权书自签署之日起生效，在撤销授权的书面通知以前，本授权书一直有效。委托代理人在授权书有效期内签署的所有文件不因授权的撤销而失效。</w:t>
      </w:r>
    </w:p>
    <w:p w14:paraId="54AF210F">
      <w:pPr>
        <w:spacing w:line="360" w:lineRule="auto"/>
        <w:ind w:firstLine="420" w:firstLineChars="200"/>
        <w:rPr>
          <w:color w:val="auto"/>
          <w:szCs w:val="21"/>
          <w:highlight w:val="none"/>
        </w:rPr>
      </w:pPr>
      <w:r>
        <w:rPr>
          <w:color w:val="auto"/>
          <w:szCs w:val="21"/>
          <w:highlight w:val="none"/>
        </w:rPr>
        <w:t>委托代理人无转委托权，特此委托。</w:t>
      </w:r>
    </w:p>
    <w:p w14:paraId="02B480CA">
      <w:pPr>
        <w:spacing w:line="360" w:lineRule="auto"/>
        <w:ind w:firstLine="420" w:firstLineChars="200"/>
        <w:rPr>
          <w:color w:val="auto"/>
          <w:szCs w:val="21"/>
          <w:highlight w:val="none"/>
        </w:rPr>
      </w:pPr>
      <w:r>
        <w:rPr>
          <w:color w:val="auto"/>
          <w:szCs w:val="21"/>
          <w:highlight w:val="none"/>
        </w:rPr>
        <w:t>附：法定代表人身份证明及委托代理人有效身份证正反面复印件</w:t>
      </w:r>
    </w:p>
    <w:p w14:paraId="321B452B">
      <w:pPr>
        <w:spacing w:line="360" w:lineRule="auto"/>
        <w:rPr>
          <w:color w:val="auto"/>
          <w:szCs w:val="21"/>
          <w:highlight w:val="none"/>
        </w:rPr>
      </w:pPr>
    </w:p>
    <w:p w14:paraId="294E1394">
      <w:pPr>
        <w:spacing w:line="360" w:lineRule="auto"/>
        <w:ind w:firstLine="420" w:firstLineChars="200"/>
        <w:rPr>
          <w:rFonts w:hint="eastAsia"/>
          <w:color w:val="auto"/>
          <w:szCs w:val="21"/>
          <w:highlight w:val="none"/>
        </w:rPr>
      </w:pPr>
      <w:r>
        <w:rPr>
          <w:color w:val="auto"/>
          <w:szCs w:val="21"/>
          <w:highlight w:val="none"/>
        </w:rPr>
        <w:t>委托代理人（签字</w:t>
      </w:r>
      <w:r>
        <w:rPr>
          <w:rFonts w:hint="eastAsia"/>
          <w:color w:val="auto"/>
          <w:szCs w:val="21"/>
          <w:highlight w:val="none"/>
          <w:lang w:eastAsia="zh-CN"/>
        </w:rPr>
        <w:t>或者电子签名</w:t>
      </w:r>
      <w:r>
        <w:rPr>
          <w:color w:val="auto"/>
          <w:szCs w:val="21"/>
          <w:highlight w:val="none"/>
        </w:rPr>
        <w:t>）：</w:t>
      </w:r>
      <w:r>
        <w:rPr>
          <w:color w:val="auto"/>
          <w:szCs w:val="21"/>
          <w:highlight w:val="none"/>
          <w:u w:val="single"/>
        </w:rPr>
        <w:t xml:space="preserve">      </w:t>
      </w:r>
      <w:r>
        <w:rPr>
          <w:rFonts w:hint="eastAsia"/>
          <w:color w:val="auto"/>
          <w:szCs w:val="21"/>
          <w:highlight w:val="none"/>
          <w:u w:val="single"/>
        </w:rPr>
        <w:t xml:space="preserve">           </w:t>
      </w:r>
      <w:r>
        <w:rPr>
          <w:rFonts w:hint="eastAsia"/>
          <w:color w:val="auto"/>
          <w:szCs w:val="21"/>
          <w:highlight w:val="none"/>
        </w:rPr>
        <w:t xml:space="preserve">     </w:t>
      </w:r>
    </w:p>
    <w:p w14:paraId="477B13CA">
      <w:pPr>
        <w:spacing w:line="360" w:lineRule="auto"/>
        <w:ind w:firstLine="420" w:firstLineChars="200"/>
        <w:rPr>
          <w:color w:val="auto"/>
          <w:szCs w:val="21"/>
          <w:highlight w:val="none"/>
        </w:rPr>
      </w:pPr>
      <w:r>
        <w:rPr>
          <w:color w:val="auto"/>
          <w:szCs w:val="21"/>
          <w:highlight w:val="none"/>
        </w:rPr>
        <w:t>委托代理人身份证号码：</w:t>
      </w:r>
      <w:r>
        <w:rPr>
          <w:color w:val="auto"/>
          <w:szCs w:val="21"/>
          <w:highlight w:val="none"/>
          <w:u w:val="single"/>
        </w:rPr>
        <w:t xml:space="preserve">                     </w:t>
      </w:r>
      <w:r>
        <w:rPr>
          <w:color w:val="auto"/>
          <w:szCs w:val="21"/>
          <w:highlight w:val="none"/>
        </w:rPr>
        <w:t xml:space="preserve">         </w:t>
      </w:r>
    </w:p>
    <w:p w14:paraId="65E882BF">
      <w:pPr>
        <w:spacing w:line="360" w:lineRule="auto"/>
        <w:ind w:firstLine="420" w:firstLineChars="200"/>
        <w:rPr>
          <w:color w:val="auto"/>
          <w:szCs w:val="21"/>
          <w:highlight w:val="none"/>
        </w:rPr>
      </w:pPr>
      <w:r>
        <w:rPr>
          <w:color w:val="auto"/>
          <w:szCs w:val="21"/>
          <w:highlight w:val="none"/>
        </w:rPr>
        <w:t>法定代表人（签字或</w:t>
      </w:r>
      <w:r>
        <w:rPr>
          <w:rFonts w:hint="eastAsia"/>
          <w:color w:val="auto"/>
          <w:szCs w:val="21"/>
          <w:highlight w:val="none"/>
        </w:rPr>
        <w:t>盖章</w:t>
      </w:r>
      <w:r>
        <w:rPr>
          <w:rFonts w:hint="eastAsia"/>
          <w:color w:val="auto"/>
          <w:szCs w:val="21"/>
          <w:highlight w:val="none"/>
          <w:lang w:eastAsia="zh-CN"/>
        </w:rPr>
        <w:t>或电子签名</w:t>
      </w:r>
      <w:r>
        <w:rPr>
          <w:color w:val="auto"/>
          <w:szCs w:val="21"/>
          <w:highlight w:val="none"/>
        </w:rPr>
        <w:t>）：</w:t>
      </w:r>
      <w:r>
        <w:rPr>
          <w:color w:val="auto"/>
          <w:szCs w:val="21"/>
          <w:highlight w:val="none"/>
          <w:u w:val="single"/>
        </w:rPr>
        <w:t xml:space="preserve">                 </w:t>
      </w:r>
      <w:r>
        <w:rPr>
          <w:color w:val="auto"/>
          <w:szCs w:val="21"/>
          <w:highlight w:val="none"/>
        </w:rPr>
        <w:t xml:space="preserve">   </w:t>
      </w:r>
    </w:p>
    <w:p w14:paraId="1B4DFE6E">
      <w:pPr>
        <w:spacing w:line="360" w:lineRule="auto"/>
        <w:rPr>
          <w:color w:val="auto"/>
          <w:szCs w:val="21"/>
          <w:highlight w:val="none"/>
        </w:rPr>
      </w:pPr>
      <w:r>
        <w:rPr>
          <w:color w:val="auto"/>
          <w:szCs w:val="21"/>
          <w:highlight w:val="none"/>
        </w:rPr>
        <w:t xml:space="preserve">                           </w:t>
      </w:r>
    </w:p>
    <w:p w14:paraId="6910A7BF">
      <w:pPr>
        <w:spacing w:line="360" w:lineRule="auto"/>
        <w:rPr>
          <w:color w:val="auto"/>
          <w:szCs w:val="21"/>
          <w:highlight w:val="none"/>
        </w:rPr>
      </w:pPr>
      <w:r>
        <w:rPr>
          <w:color w:val="auto"/>
          <w:szCs w:val="21"/>
          <w:highlight w:val="none"/>
        </w:rPr>
        <w:t xml:space="preserve">     </w:t>
      </w:r>
    </w:p>
    <w:p w14:paraId="40E19CD8">
      <w:pPr>
        <w:spacing w:line="360" w:lineRule="auto"/>
        <w:rPr>
          <w:color w:val="auto"/>
          <w:szCs w:val="21"/>
          <w:highlight w:val="none"/>
        </w:rPr>
      </w:pPr>
      <w:r>
        <w:rPr>
          <w:color w:val="auto"/>
          <w:szCs w:val="21"/>
          <w:highlight w:val="none"/>
        </w:rPr>
        <w:t xml:space="preserve">                       </w:t>
      </w:r>
      <w:r>
        <w:rPr>
          <w:rFonts w:hint="eastAsia"/>
          <w:color w:val="auto"/>
          <w:szCs w:val="21"/>
          <w:highlight w:val="none"/>
        </w:rPr>
        <w:t xml:space="preserve">                </w:t>
      </w:r>
      <w:r>
        <w:rPr>
          <w:color w:val="auto"/>
          <w:szCs w:val="21"/>
          <w:highlight w:val="none"/>
        </w:rPr>
        <w:t xml:space="preserve">  </w:t>
      </w:r>
      <w:r>
        <w:rPr>
          <w:rFonts w:hint="eastAsia"/>
          <w:color w:val="auto"/>
          <w:szCs w:val="21"/>
          <w:highlight w:val="none"/>
          <w:lang w:eastAsia="zh-CN"/>
        </w:rPr>
        <w:t>投标人名称</w:t>
      </w:r>
      <w:r>
        <w:rPr>
          <w:color w:val="auto"/>
          <w:szCs w:val="21"/>
          <w:highlight w:val="none"/>
        </w:rPr>
        <w:t>（电子</w:t>
      </w:r>
      <w:r>
        <w:rPr>
          <w:rFonts w:hint="eastAsia"/>
          <w:color w:val="auto"/>
          <w:szCs w:val="21"/>
          <w:highlight w:val="none"/>
          <w:lang w:eastAsia="zh-CN"/>
        </w:rPr>
        <w:t>签</w:t>
      </w:r>
      <w:r>
        <w:rPr>
          <w:color w:val="auto"/>
          <w:szCs w:val="21"/>
          <w:highlight w:val="none"/>
        </w:rPr>
        <w:t>章）：</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p>
    <w:p w14:paraId="0CA2A067">
      <w:pPr>
        <w:spacing w:line="360" w:lineRule="auto"/>
        <w:rPr>
          <w:color w:val="auto"/>
          <w:szCs w:val="21"/>
          <w:highlight w:val="none"/>
        </w:rPr>
      </w:pPr>
      <w:r>
        <w:rPr>
          <w:color w:val="auto"/>
          <w:szCs w:val="21"/>
          <w:highlight w:val="none"/>
        </w:rPr>
        <w:t xml:space="preserve">                                    </w:t>
      </w:r>
      <w:r>
        <w:rPr>
          <w:rFonts w:hint="eastAsia"/>
          <w:color w:val="auto"/>
          <w:szCs w:val="21"/>
          <w:highlight w:val="none"/>
        </w:rPr>
        <w:t xml:space="preserve">                </w:t>
      </w:r>
      <w:r>
        <w:rPr>
          <w:color w:val="auto"/>
          <w:szCs w:val="21"/>
          <w:highlight w:val="none"/>
        </w:rPr>
        <w:t xml:space="preserve">    年    月    日</w:t>
      </w:r>
    </w:p>
    <w:p w14:paraId="2CB304EF">
      <w:pPr>
        <w:spacing w:line="360" w:lineRule="auto"/>
        <w:rPr>
          <w:color w:val="auto"/>
          <w:szCs w:val="21"/>
          <w:highlight w:val="none"/>
        </w:rPr>
      </w:pPr>
    </w:p>
    <w:p w14:paraId="34E8E202">
      <w:pPr>
        <w:spacing w:line="400" w:lineRule="exact"/>
        <w:rPr>
          <w:color w:val="auto"/>
          <w:szCs w:val="21"/>
          <w:highlight w:val="none"/>
        </w:rPr>
      </w:pPr>
    </w:p>
    <w:p w14:paraId="36D1BBAA">
      <w:pPr>
        <w:spacing w:line="400" w:lineRule="exact"/>
        <w:rPr>
          <w:color w:val="auto"/>
          <w:szCs w:val="21"/>
          <w:highlight w:val="none"/>
        </w:rPr>
      </w:pPr>
      <w:r>
        <w:rPr>
          <w:color w:val="auto"/>
          <w:szCs w:val="21"/>
          <w:highlight w:val="none"/>
        </w:rPr>
        <w:t>注：</w:t>
      </w:r>
    </w:p>
    <w:p w14:paraId="0F7A6A45">
      <w:pPr>
        <w:spacing w:line="400" w:lineRule="exact"/>
        <w:ind w:firstLine="420" w:firstLineChars="200"/>
        <w:rPr>
          <w:color w:val="auto"/>
          <w:szCs w:val="21"/>
          <w:highlight w:val="none"/>
        </w:rPr>
      </w:pPr>
      <w:r>
        <w:rPr>
          <w:color w:val="auto"/>
          <w:szCs w:val="21"/>
          <w:highlight w:val="none"/>
        </w:rPr>
        <w:t>1．法定代表人必须在授权委托书上签字或</w:t>
      </w:r>
      <w:r>
        <w:rPr>
          <w:rFonts w:hint="eastAsia"/>
          <w:color w:val="auto"/>
          <w:szCs w:val="21"/>
          <w:highlight w:val="none"/>
        </w:rPr>
        <w:t>盖章</w:t>
      </w:r>
      <w:r>
        <w:rPr>
          <w:rFonts w:hint="eastAsia"/>
          <w:color w:val="auto"/>
          <w:szCs w:val="21"/>
          <w:highlight w:val="none"/>
          <w:lang w:eastAsia="zh-CN"/>
        </w:rPr>
        <w:t>或电子签名</w:t>
      </w:r>
      <w:r>
        <w:rPr>
          <w:color w:val="auto"/>
          <w:szCs w:val="21"/>
          <w:highlight w:val="none"/>
        </w:rPr>
        <w:t>，委托代理人必须在授权委托书上签字</w:t>
      </w:r>
      <w:r>
        <w:rPr>
          <w:rFonts w:hint="eastAsia"/>
          <w:color w:val="auto"/>
          <w:szCs w:val="21"/>
          <w:highlight w:val="none"/>
          <w:lang w:eastAsia="zh-CN"/>
        </w:rPr>
        <w:t>或者电子签名</w:t>
      </w:r>
      <w:r>
        <w:rPr>
          <w:color w:val="auto"/>
          <w:szCs w:val="21"/>
          <w:highlight w:val="none"/>
        </w:rPr>
        <w:t>，</w:t>
      </w:r>
      <w:r>
        <w:rPr>
          <w:rFonts w:hint="default" w:ascii="Times New Roman" w:hAnsi="Times New Roman" w:cs="Times New Roman"/>
          <w:b/>
          <w:color w:val="auto"/>
          <w:sz w:val="21"/>
          <w:szCs w:val="21"/>
          <w:highlight w:val="none"/>
        </w:rPr>
        <w:t>否则其投标作无效标处理。</w:t>
      </w:r>
    </w:p>
    <w:p w14:paraId="4C5D38DD">
      <w:pPr>
        <w:spacing w:line="400" w:lineRule="exact"/>
        <w:ind w:firstLine="420" w:firstLineChars="200"/>
        <w:jc w:val="left"/>
        <w:rPr>
          <w:color w:val="auto"/>
          <w:szCs w:val="21"/>
          <w:highlight w:val="none"/>
        </w:rPr>
      </w:pPr>
      <w:bookmarkStart w:id="56" w:name="_Hlk65853109"/>
      <w:r>
        <w:rPr>
          <w:rFonts w:hint="eastAsia"/>
          <w:color w:val="auto"/>
          <w:szCs w:val="21"/>
          <w:highlight w:val="none"/>
          <w:lang w:val="en-US" w:eastAsia="zh-CN"/>
        </w:rPr>
        <w:t>2</w:t>
      </w:r>
      <w:r>
        <w:rPr>
          <w:color w:val="auto"/>
          <w:szCs w:val="21"/>
          <w:highlight w:val="none"/>
        </w:rPr>
        <w:t>．法人、其他组织</w:t>
      </w:r>
      <w:r>
        <w:rPr>
          <w:rFonts w:hint="eastAsia"/>
          <w:color w:val="auto"/>
          <w:szCs w:val="21"/>
          <w:highlight w:val="none"/>
          <w:lang w:eastAsia="zh-CN"/>
        </w:rPr>
        <w:t>投</w:t>
      </w:r>
      <w:r>
        <w:rPr>
          <w:color w:val="auto"/>
          <w:szCs w:val="21"/>
          <w:highlight w:val="none"/>
        </w:rPr>
        <w:t>标时“我方”是指“我单位”，自然人</w:t>
      </w:r>
      <w:r>
        <w:rPr>
          <w:rFonts w:hint="eastAsia"/>
          <w:color w:val="auto"/>
          <w:szCs w:val="21"/>
          <w:highlight w:val="none"/>
          <w:lang w:eastAsia="zh-CN"/>
        </w:rPr>
        <w:t>投</w:t>
      </w:r>
      <w:r>
        <w:rPr>
          <w:color w:val="auto"/>
          <w:szCs w:val="21"/>
          <w:highlight w:val="none"/>
        </w:rPr>
        <w:t>标时“我方”是指“本人”。</w:t>
      </w:r>
      <w:bookmarkEnd w:id="56"/>
    </w:p>
    <w:p w14:paraId="35BECD6F">
      <w:pPr>
        <w:spacing w:before="312" w:beforeLines="100" w:after="156" w:afterLines="50" w:line="520" w:lineRule="exact"/>
        <w:ind w:left="540"/>
        <w:jc w:val="center"/>
        <w:outlineLvl w:val="2"/>
        <w:rPr>
          <w:b/>
          <w:bCs/>
          <w:color w:val="auto"/>
          <w:sz w:val="36"/>
          <w:szCs w:val="36"/>
          <w:highlight w:val="none"/>
        </w:rPr>
      </w:pPr>
      <w:r>
        <w:rPr>
          <w:color w:val="auto"/>
          <w:szCs w:val="21"/>
          <w:highlight w:val="none"/>
        </w:rPr>
        <w:br w:type="page"/>
      </w:r>
      <w:r>
        <w:rPr>
          <w:rFonts w:hint="eastAsia"/>
          <w:b/>
          <w:bCs/>
          <w:color w:val="auto"/>
          <w:sz w:val="36"/>
          <w:szCs w:val="36"/>
          <w:highlight w:val="none"/>
        </w:rPr>
        <w:t>商务</w:t>
      </w:r>
      <w:r>
        <w:rPr>
          <w:rFonts w:hint="eastAsia"/>
          <w:b/>
          <w:bCs/>
          <w:color w:val="auto"/>
          <w:sz w:val="36"/>
          <w:szCs w:val="36"/>
          <w:highlight w:val="none"/>
          <w:lang w:eastAsia="zh-CN"/>
        </w:rPr>
        <w:t>要求</w:t>
      </w:r>
      <w:r>
        <w:rPr>
          <w:rFonts w:hint="eastAsia"/>
          <w:b/>
          <w:bCs/>
          <w:color w:val="auto"/>
          <w:sz w:val="36"/>
          <w:szCs w:val="36"/>
          <w:highlight w:val="none"/>
        </w:rPr>
        <w:t>偏离表格式</w:t>
      </w:r>
    </w:p>
    <w:p w14:paraId="26274CDB">
      <w:pPr>
        <w:spacing w:line="360" w:lineRule="auto"/>
        <w:contextualSpacing/>
        <w:jc w:val="left"/>
        <w:rPr>
          <w:rFonts w:ascii="宋体" w:hAnsi="宋体"/>
          <w:color w:val="auto"/>
          <w:sz w:val="24"/>
          <w:highlight w:val="none"/>
        </w:rPr>
      </w:pPr>
    </w:p>
    <w:p w14:paraId="181F8F72">
      <w:pPr>
        <w:spacing w:line="360" w:lineRule="auto"/>
        <w:contextualSpacing/>
        <w:jc w:val="left"/>
        <w:rPr>
          <w:color w:val="auto"/>
          <w:szCs w:val="21"/>
          <w:highlight w:val="none"/>
          <w:u w:val="single"/>
        </w:rPr>
      </w:pPr>
    </w:p>
    <w:tbl>
      <w:tblPr>
        <w:tblStyle w:val="32"/>
        <w:tblpPr w:leftFromText="180" w:rightFromText="180" w:vertAnchor="text" w:horzAnchor="margin" w:tblpY="-9"/>
        <w:tblOverlap w:val="never"/>
        <w:tblW w:w="96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60"/>
        <w:gridCol w:w="2925"/>
        <w:gridCol w:w="2190"/>
        <w:gridCol w:w="1695"/>
      </w:tblGrid>
      <w:tr w14:paraId="5EBCB6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2860" w:type="dxa"/>
            <w:tcBorders>
              <w:top w:val="single" w:color="auto" w:sz="4" w:space="0"/>
              <w:left w:val="single" w:color="auto" w:sz="4" w:space="0"/>
              <w:bottom w:val="single" w:color="auto" w:sz="4" w:space="0"/>
              <w:right w:val="single" w:color="auto" w:sz="4" w:space="0"/>
            </w:tcBorders>
            <w:vAlign w:val="center"/>
          </w:tcPr>
          <w:p w14:paraId="14A6FF64">
            <w:pPr>
              <w:spacing w:line="360" w:lineRule="auto"/>
              <w:contextualSpacing/>
              <w:jc w:val="center"/>
              <w:rPr>
                <w:color w:val="auto"/>
                <w:szCs w:val="21"/>
                <w:highlight w:val="none"/>
              </w:rPr>
            </w:pPr>
            <w:r>
              <w:rPr>
                <w:color w:val="auto"/>
                <w:szCs w:val="21"/>
                <w:highlight w:val="none"/>
              </w:rPr>
              <w:t>项</w:t>
            </w:r>
            <w:r>
              <w:rPr>
                <w:rFonts w:hint="eastAsia"/>
                <w:color w:val="auto"/>
                <w:szCs w:val="21"/>
                <w:highlight w:val="none"/>
              </w:rPr>
              <w:t xml:space="preserve">  </w:t>
            </w:r>
            <w:r>
              <w:rPr>
                <w:color w:val="auto"/>
                <w:szCs w:val="21"/>
                <w:highlight w:val="none"/>
              </w:rPr>
              <w:t>目</w:t>
            </w:r>
          </w:p>
        </w:tc>
        <w:tc>
          <w:tcPr>
            <w:tcW w:w="2925" w:type="dxa"/>
            <w:tcBorders>
              <w:top w:val="single" w:color="auto" w:sz="4" w:space="0"/>
              <w:left w:val="single" w:color="auto" w:sz="4" w:space="0"/>
              <w:bottom w:val="single" w:color="auto" w:sz="4" w:space="0"/>
              <w:right w:val="single" w:color="auto" w:sz="4" w:space="0"/>
            </w:tcBorders>
            <w:vAlign w:val="center"/>
          </w:tcPr>
          <w:p w14:paraId="07E6DE62">
            <w:pPr>
              <w:spacing w:line="360" w:lineRule="auto"/>
              <w:contextualSpacing/>
              <w:jc w:val="center"/>
              <w:rPr>
                <w:color w:val="auto"/>
                <w:szCs w:val="21"/>
                <w:highlight w:val="none"/>
              </w:rPr>
            </w:pPr>
            <w:r>
              <w:rPr>
                <w:rFonts w:hint="eastAsia"/>
                <w:color w:val="auto"/>
                <w:szCs w:val="21"/>
                <w:highlight w:val="none"/>
                <w:lang w:eastAsia="zh-CN"/>
              </w:rPr>
              <w:t>招标</w:t>
            </w:r>
            <w:r>
              <w:rPr>
                <w:color w:val="auto"/>
                <w:szCs w:val="21"/>
                <w:highlight w:val="none"/>
              </w:rPr>
              <w:t>文件商务要求</w:t>
            </w:r>
          </w:p>
        </w:tc>
        <w:tc>
          <w:tcPr>
            <w:tcW w:w="2190" w:type="dxa"/>
            <w:tcBorders>
              <w:top w:val="single" w:color="auto" w:sz="4" w:space="0"/>
              <w:left w:val="single" w:color="auto" w:sz="4" w:space="0"/>
              <w:bottom w:val="single" w:color="auto" w:sz="4" w:space="0"/>
              <w:right w:val="single" w:color="auto" w:sz="4" w:space="0"/>
            </w:tcBorders>
            <w:vAlign w:val="center"/>
          </w:tcPr>
          <w:p w14:paraId="40E60115">
            <w:pPr>
              <w:spacing w:line="360" w:lineRule="auto"/>
              <w:contextualSpacing/>
              <w:jc w:val="center"/>
              <w:rPr>
                <w:rFonts w:hint="eastAsia" w:eastAsia="宋体"/>
                <w:color w:val="auto"/>
                <w:szCs w:val="21"/>
                <w:highlight w:val="none"/>
                <w:lang w:eastAsia="zh-CN"/>
              </w:rPr>
            </w:pPr>
            <w:r>
              <w:rPr>
                <w:rFonts w:hint="eastAsia"/>
                <w:color w:val="auto"/>
                <w:szCs w:val="21"/>
                <w:highlight w:val="none"/>
                <w:lang w:eastAsia="zh-CN"/>
              </w:rPr>
              <w:t>投标人的承诺</w:t>
            </w:r>
          </w:p>
        </w:tc>
        <w:tc>
          <w:tcPr>
            <w:tcW w:w="1695" w:type="dxa"/>
            <w:tcBorders>
              <w:top w:val="single" w:color="auto" w:sz="4" w:space="0"/>
              <w:left w:val="single" w:color="auto" w:sz="4" w:space="0"/>
              <w:bottom w:val="single" w:color="auto" w:sz="4" w:space="0"/>
              <w:right w:val="single" w:color="auto" w:sz="4" w:space="0"/>
            </w:tcBorders>
            <w:vAlign w:val="center"/>
          </w:tcPr>
          <w:p w14:paraId="72F9DADF">
            <w:pPr>
              <w:spacing w:line="360" w:lineRule="auto"/>
              <w:contextualSpacing/>
              <w:jc w:val="center"/>
              <w:rPr>
                <w:color w:val="auto"/>
                <w:szCs w:val="21"/>
                <w:highlight w:val="none"/>
              </w:rPr>
            </w:pPr>
            <w:r>
              <w:rPr>
                <w:color w:val="auto"/>
                <w:szCs w:val="21"/>
                <w:highlight w:val="none"/>
              </w:rPr>
              <w:t>偏离说明</w:t>
            </w:r>
          </w:p>
        </w:tc>
      </w:tr>
      <w:tr w14:paraId="425138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2860" w:type="dxa"/>
            <w:tcBorders>
              <w:top w:val="single" w:color="auto" w:sz="4" w:space="0"/>
              <w:left w:val="single" w:color="auto" w:sz="4" w:space="0"/>
              <w:bottom w:val="single" w:color="auto" w:sz="4" w:space="0"/>
              <w:right w:val="single" w:color="auto" w:sz="4" w:space="0"/>
            </w:tcBorders>
            <w:vAlign w:val="center"/>
          </w:tcPr>
          <w:p w14:paraId="19F76049">
            <w:pPr>
              <w:spacing w:line="360" w:lineRule="auto"/>
              <w:contextualSpacing/>
              <w:jc w:val="center"/>
              <w:rPr>
                <w:color w:val="auto"/>
                <w:szCs w:val="21"/>
                <w:highlight w:val="none"/>
              </w:rPr>
            </w:pPr>
          </w:p>
        </w:tc>
        <w:tc>
          <w:tcPr>
            <w:tcW w:w="2925" w:type="dxa"/>
            <w:tcBorders>
              <w:top w:val="single" w:color="auto" w:sz="4" w:space="0"/>
              <w:left w:val="single" w:color="auto" w:sz="4" w:space="0"/>
              <w:bottom w:val="single" w:color="auto" w:sz="4" w:space="0"/>
              <w:right w:val="single" w:color="auto" w:sz="4" w:space="0"/>
            </w:tcBorders>
            <w:vAlign w:val="center"/>
          </w:tcPr>
          <w:p w14:paraId="454D624C">
            <w:pPr>
              <w:spacing w:line="360" w:lineRule="auto"/>
              <w:contextualSpacing/>
              <w:jc w:val="center"/>
              <w:rPr>
                <w:color w:val="auto"/>
                <w:szCs w:val="21"/>
                <w:highlight w:val="none"/>
              </w:rPr>
            </w:pPr>
          </w:p>
        </w:tc>
        <w:tc>
          <w:tcPr>
            <w:tcW w:w="2190" w:type="dxa"/>
            <w:tcBorders>
              <w:top w:val="single" w:color="auto" w:sz="4" w:space="0"/>
              <w:left w:val="single" w:color="auto" w:sz="4" w:space="0"/>
              <w:bottom w:val="single" w:color="auto" w:sz="4" w:space="0"/>
              <w:right w:val="single" w:color="auto" w:sz="4" w:space="0"/>
            </w:tcBorders>
            <w:vAlign w:val="center"/>
          </w:tcPr>
          <w:p w14:paraId="540CB479">
            <w:pPr>
              <w:spacing w:line="360" w:lineRule="auto"/>
              <w:contextualSpacing/>
              <w:jc w:val="center"/>
              <w:rPr>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14:paraId="62E0C38C">
            <w:pPr>
              <w:spacing w:line="360" w:lineRule="auto"/>
              <w:contextualSpacing/>
              <w:jc w:val="center"/>
              <w:rPr>
                <w:color w:val="auto"/>
                <w:szCs w:val="21"/>
                <w:highlight w:val="none"/>
              </w:rPr>
            </w:pPr>
          </w:p>
        </w:tc>
      </w:tr>
      <w:tr w14:paraId="26EBB5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860" w:type="dxa"/>
            <w:tcBorders>
              <w:top w:val="single" w:color="auto" w:sz="4" w:space="0"/>
              <w:left w:val="single" w:color="auto" w:sz="4" w:space="0"/>
              <w:bottom w:val="single" w:color="auto" w:sz="4" w:space="0"/>
              <w:right w:val="single" w:color="auto" w:sz="4" w:space="0"/>
            </w:tcBorders>
            <w:vAlign w:val="center"/>
          </w:tcPr>
          <w:p w14:paraId="060969C1">
            <w:pPr>
              <w:spacing w:line="360" w:lineRule="auto"/>
              <w:contextualSpacing/>
              <w:jc w:val="center"/>
              <w:rPr>
                <w:color w:val="auto"/>
                <w:szCs w:val="21"/>
                <w:highlight w:val="none"/>
              </w:rPr>
            </w:pPr>
          </w:p>
        </w:tc>
        <w:tc>
          <w:tcPr>
            <w:tcW w:w="2925" w:type="dxa"/>
            <w:tcBorders>
              <w:top w:val="single" w:color="auto" w:sz="4" w:space="0"/>
              <w:left w:val="single" w:color="auto" w:sz="4" w:space="0"/>
              <w:bottom w:val="single" w:color="auto" w:sz="4" w:space="0"/>
              <w:right w:val="single" w:color="auto" w:sz="4" w:space="0"/>
            </w:tcBorders>
            <w:vAlign w:val="center"/>
          </w:tcPr>
          <w:p w14:paraId="2C6BCF73">
            <w:pPr>
              <w:spacing w:line="360" w:lineRule="auto"/>
              <w:contextualSpacing/>
              <w:jc w:val="center"/>
              <w:rPr>
                <w:color w:val="auto"/>
                <w:szCs w:val="21"/>
                <w:highlight w:val="none"/>
              </w:rPr>
            </w:pPr>
          </w:p>
        </w:tc>
        <w:tc>
          <w:tcPr>
            <w:tcW w:w="2190" w:type="dxa"/>
            <w:tcBorders>
              <w:top w:val="single" w:color="auto" w:sz="4" w:space="0"/>
              <w:left w:val="single" w:color="auto" w:sz="4" w:space="0"/>
              <w:bottom w:val="single" w:color="auto" w:sz="4" w:space="0"/>
              <w:right w:val="single" w:color="auto" w:sz="4" w:space="0"/>
            </w:tcBorders>
            <w:vAlign w:val="center"/>
          </w:tcPr>
          <w:p w14:paraId="63F61210">
            <w:pPr>
              <w:spacing w:line="360" w:lineRule="auto"/>
              <w:ind w:left="43"/>
              <w:contextualSpacing/>
              <w:jc w:val="center"/>
              <w:rPr>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14:paraId="7CEC822E">
            <w:pPr>
              <w:spacing w:line="360" w:lineRule="auto"/>
              <w:ind w:left="43"/>
              <w:contextualSpacing/>
              <w:jc w:val="center"/>
              <w:rPr>
                <w:color w:val="auto"/>
                <w:szCs w:val="21"/>
                <w:highlight w:val="none"/>
              </w:rPr>
            </w:pPr>
          </w:p>
        </w:tc>
      </w:tr>
      <w:tr w14:paraId="3DB825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860" w:type="dxa"/>
            <w:tcBorders>
              <w:top w:val="single" w:color="auto" w:sz="4" w:space="0"/>
              <w:left w:val="single" w:color="auto" w:sz="4" w:space="0"/>
              <w:bottom w:val="single" w:color="auto" w:sz="4" w:space="0"/>
              <w:right w:val="single" w:color="auto" w:sz="4" w:space="0"/>
            </w:tcBorders>
            <w:vAlign w:val="center"/>
          </w:tcPr>
          <w:p w14:paraId="235D1B02">
            <w:pPr>
              <w:spacing w:line="360" w:lineRule="auto"/>
              <w:contextualSpacing/>
              <w:jc w:val="center"/>
              <w:rPr>
                <w:rFonts w:ascii="Times New Roman" w:hAnsi="Times New Roman" w:eastAsia="宋体" w:cs="Times New Roman"/>
                <w:color w:val="auto"/>
                <w:kern w:val="2"/>
                <w:sz w:val="21"/>
                <w:szCs w:val="21"/>
                <w:highlight w:val="none"/>
                <w:lang w:val="en-US" w:eastAsia="zh-CN" w:bidi="ar-SA"/>
              </w:rPr>
            </w:pPr>
          </w:p>
        </w:tc>
        <w:tc>
          <w:tcPr>
            <w:tcW w:w="2925" w:type="dxa"/>
            <w:tcBorders>
              <w:top w:val="single" w:color="auto" w:sz="4" w:space="0"/>
              <w:left w:val="single" w:color="auto" w:sz="4" w:space="0"/>
              <w:bottom w:val="single" w:color="auto" w:sz="4" w:space="0"/>
              <w:right w:val="single" w:color="auto" w:sz="4" w:space="0"/>
            </w:tcBorders>
            <w:vAlign w:val="center"/>
          </w:tcPr>
          <w:p w14:paraId="3B5A7B58">
            <w:pPr>
              <w:spacing w:line="360" w:lineRule="auto"/>
              <w:contextualSpacing/>
              <w:jc w:val="center"/>
              <w:rPr>
                <w:color w:val="auto"/>
                <w:szCs w:val="21"/>
                <w:highlight w:val="none"/>
              </w:rPr>
            </w:pPr>
          </w:p>
        </w:tc>
        <w:tc>
          <w:tcPr>
            <w:tcW w:w="2190" w:type="dxa"/>
            <w:tcBorders>
              <w:top w:val="single" w:color="auto" w:sz="4" w:space="0"/>
              <w:left w:val="single" w:color="auto" w:sz="4" w:space="0"/>
              <w:bottom w:val="single" w:color="auto" w:sz="4" w:space="0"/>
              <w:right w:val="single" w:color="auto" w:sz="4" w:space="0"/>
            </w:tcBorders>
            <w:vAlign w:val="center"/>
          </w:tcPr>
          <w:p w14:paraId="689CF93D">
            <w:pPr>
              <w:spacing w:line="360" w:lineRule="auto"/>
              <w:contextualSpacing/>
              <w:jc w:val="center"/>
              <w:rPr>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14:paraId="6CB48249">
            <w:pPr>
              <w:spacing w:line="360" w:lineRule="auto"/>
              <w:contextualSpacing/>
              <w:jc w:val="center"/>
              <w:rPr>
                <w:color w:val="auto"/>
                <w:szCs w:val="21"/>
                <w:highlight w:val="none"/>
              </w:rPr>
            </w:pPr>
          </w:p>
        </w:tc>
      </w:tr>
      <w:tr w14:paraId="015116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2860" w:type="dxa"/>
            <w:tcBorders>
              <w:top w:val="single" w:color="auto" w:sz="4" w:space="0"/>
              <w:left w:val="single" w:color="auto" w:sz="4" w:space="0"/>
              <w:bottom w:val="single" w:color="auto" w:sz="4" w:space="0"/>
              <w:right w:val="single" w:color="auto" w:sz="4" w:space="0"/>
            </w:tcBorders>
            <w:vAlign w:val="center"/>
          </w:tcPr>
          <w:p w14:paraId="53A83A97">
            <w:pPr>
              <w:spacing w:line="360" w:lineRule="auto"/>
              <w:contextualSpacing/>
              <w:jc w:val="center"/>
              <w:rPr>
                <w:rFonts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c>
          <w:tcPr>
            <w:tcW w:w="2925" w:type="dxa"/>
            <w:tcBorders>
              <w:top w:val="single" w:color="auto" w:sz="4" w:space="0"/>
              <w:left w:val="single" w:color="auto" w:sz="4" w:space="0"/>
              <w:bottom w:val="single" w:color="auto" w:sz="4" w:space="0"/>
              <w:right w:val="single" w:color="auto" w:sz="4" w:space="0"/>
            </w:tcBorders>
            <w:vAlign w:val="center"/>
          </w:tcPr>
          <w:p w14:paraId="475570B6">
            <w:pPr>
              <w:spacing w:line="360" w:lineRule="auto"/>
              <w:contextualSpacing/>
              <w:jc w:val="center"/>
              <w:rPr>
                <w:color w:val="auto"/>
                <w:szCs w:val="21"/>
                <w:highlight w:val="none"/>
              </w:rPr>
            </w:pPr>
          </w:p>
        </w:tc>
        <w:tc>
          <w:tcPr>
            <w:tcW w:w="2190" w:type="dxa"/>
            <w:tcBorders>
              <w:top w:val="single" w:color="auto" w:sz="4" w:space="0"/>
              <w:left w:val="single" w:color="auto" w:sz="4" w:space="0"/>
              <w:bottom w:val="single" w:color="auto" w:sz="4" w:space="0"/>
              <w:right w:val="single" w:color="auto" w:sz="4" w:space="0"/>
            </w:tcBorders>
            <w:vAlign w:val="center"/>
          </w:tcPr>
          <w:p w14:paraId="260FBBB1">
            <w:pPr>
              <w:spacing w:line="360" w:lineRule="auto"/>
              <w:contextualSpacing/>
              <w:jc w:val="center"/>
              <w:rPr>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14:paraId="3DF6638C">
            <w:pPr>
              <w:spacing w:line="360" w:lineRule="auto"/>
              <w:contextualSpacing/>
              <w:jc w:val="center"/>
              <w:rPr>
                <w:color w:val="auto"/>
                <w:szCs w:val="21"/>
                <w:highlight w:val="none"/>
              </w:rPr>
            </w:pPr>
          </w:p>
        </w:tc>
      </w:tr>
    </w:tbl>
    <w:p w14:paraId="00B5292D">
      <w:pPr>
        <w:pStyle w:val="12"/>
        <w:spacing w:after="0" w:line="360" w:lineRule="auto"/>
        <w:contextualSpacing/>
        <w:rPr>
          <w:color w:val="auto"/>
          <w:kern w:val="0"/>
          <w:sz w:val="21"/>
          <w:szCs w:val="21"/>
          <w:highlight w:val="none"/>
        </w:rPr>
      </w:pPr>
      <w:r>
        <w:rPr>
          <w:color w:val="auto"/>
          <w:kern w:val="0"/>
          <w:sz w:val="21"/>
          <w:szCs w:val="21"/>
          <w:highlight w:val="none"/>
        </w:rPr>
        <w:t>注：</w:t>
      </w:r>
    </w:p>
    <w:p w14:paraId="77ACC61F">
      <w:pPr>
        <w:pStyle w:val="12"/>
        <w:spacing w:after="0" w:line="360" w:lineRule="auto"/>
        <w:ind w:firstLine="420" w:firstLineChars="200"/>
        <w:contextualSpacing/>
        <w:rPr>
          <w:color w:val="auto"/>
          <w:kern w:val="0"/>
          <w:sz w:val="21"/>
          <w:szCs w:val="21"/>
          <w:highlight w:val="none"/>
        </w:rPr>
      </w:pPr>
      <w:r>
        <w:rPr>
          <w:color w:val="auto"/>
          <w:kern w:val="0"/>
          <w:sz w:val="21"/>
          <w:szCs w:val="21"/>
          <w:highlight w:val="none"/>
        </w:rPr>
        <w:t>1．说明：应对照</w:t>
      </w:r>
      <w:r>
        <w:rPr>
          <w:rFonts w:hint="eastAsia"/>
          <w:color w:val="auto"/>
          <w:kern w:val="0"/>
          <w:sz w:val="21"/>
          <w:szCs w:val="21"/>
          <w:highlight w:val="none"/>
          <w:lang w:eastAsia="zh-CN"/>
        </w:rPr>
        <w:t>招标</w:t>
      </w:r>
      <w:r>
        <w:rPr>
          <w:color w:val="auto"/>
          <w:kern w:val="0"/>
          <w:sz w:val="21"/>
          <w:szCs w:val="21"/>
          <w:highlight w:val="none"/>
        </w:rPr>
        <w:t>文件“第</w:t>
      </w:r>
      <w:r>
        <w:rPr>
          <w:rFonts w:hint="eastAsia"/>
          <w:color w:val="auto"/>
          <w:kern w:val="0"/>
          <w:sz w:val="21"/>
          <w:szCs w:val="21"/>
          <w:highlight w:val="none"/>
          <w:lang w:eastAsia="zh-CN"/>
        </w:rPr>
        <w:t>二</w:t>
      </w:r>
      <w:r>
        <w:rPr>
          <w:color w:val="auto"/>
          <w:kern w:val="0"/>
          <w:sz w:val="21"/>
          <w:szCs w:val="21"/>
          <w:highlight w:val="none"/>
        </w:rPr>
        <w:t>章 采购需求”中的商务</w:t>
      </w:r>
      <w:r>
        <w:rPr>
          <w:rFonts w:hint="eastAsia"/>
          <w:color w:val="auto"/>
          <w:kern w:val="0"/>
          <w:sz w:val="21"/>
          <w:szCs w:val="21"/>
          <w:highlight w:val="none"/>
          <w:lang w:eastAsia="zh-CN"/>
        </w:rPr>
        <w:t>要求</w:t>
      </w:r>
      <w:r>
        <w:rPr>
          <w:color w:val="auto"/>
          <w:kern w:val="0"/>
          <w:sz w:val="21"/>
          <w:szCs w:val="21"/>
          <w:highlight w:val="none"/>
        </w:rPr>
        <w:t>逐条作出明确响应，并作出偏离说明。</w:t>
      </w:r>
    </w:p>
    <w:p w14:paraId="399F0B50">
      <w:pPr>
        <w:spacing w:line="360" w:lineRule="auto"/>
        <w:ind w:firstLine="420" w:firstLineChars="200"/>
        <w:contextualSpacing/>
        <w:jc w:val="left"/>
        <w:rPr>
          <w:color w:val="auto"/>
          <w:szCs w:val="21"/>
          <w:highlight w:val="none"/>
          <w:u w:val="single"/>
        </w:rPr>
      </w:pPr>
      <w:r>
        <w:rPr>
          <w:color w:val="auto"/>
          <w:kern w:val="0"/>
          <w:szCs w:val="21"/>
          <w:highlight w:val="none"/>
        </w:rPr>
        <w:t>2．</w:t>
      </w:r>
      <w:r>
        <w:rPr>
          <w:rFonts w:hint="eastAsia"/>
          <w:color w:val="auto"/>
          <w:kern w:val="0"/>
          <w:szCs w:val="21"/>
          <w:highlight w:val="none"/>
          <w:lang w:eastAsia="zh-CN"/>
        </w:rPr>
        <w:t>投标人</w:t>
      </w:r>
      <w:r>
        <w:rPr>
          <w:color w:val="auto"/>
          <w:kern w:val="0"/>
          <w:szCs w:val="21"/>
          <w:highlight w:val="none"/>
        </w:rPr>
        <w:t>应根据自身的承诺，对照</w:t>
      </w:r>
      <w:r>
        <w:rPr>
          <w:rFonts w:hint="eastAsia"/>
          <w:color w:val="auto"/>
          <w:kern w:val="0"/>
          <w:szCs w:val="21"/>
          <w:highlight w:val="none"/>
          <w:lang w:eastAsia="zh-CN"/>
        </w:rPr>
        <w:t>招标</w:t>
      </w:r>
      <w:r>
        <w:rPr>
          <w:color w:val="auto"/>
          <w:kern w:val="0"/>
          <w:szCs w:val="21"/>
          <w:highlight w:val="none"/>
        </w:rPr>
        <w:t>文件要求在“偏离说明”中注明“正偏离”、“负偏离”或者“无偏离”。既不属于“正偏离”也不属于“负偏离”即为“无偏离”。</w:t>
      </w:r>
    </w:p>
    <w:p w14:paraId="59C55923">
      <w:pPr>
        <w:pStyle w:val="3"/>
        <w:rPr>
          <w:color w:val="auto"/>
          <w:highlight w:val="none"/>
        </w:rPr>
      </w:pPr>
    </w:p>
    <w:p w14:paraId="106FA99A">
      <w:pPr>
        <w:spacing w:line="360" w:lineRule="auto"/>
        <w:ind w:right="-817" w:rightChars="-389" w:firstLine="3150" w:firstLineChars="1500"/>
        <w:contextualSpacing/>
        <w:rPr>
          <w:color w:val="auto"/>
          <w:szCs w:val="21"/>
          <w:highlight w:val="none"/>
          <w:u w:val="single"/>
        </w:rPr>
      </w:pPr>
      <w:r>
        <w:rPr>
          <w:color w:val="auto"/>
          <w:szCs w:val="21"/>
          <w:highlight w:val="none"/>
        </w:rPr>
        <w:t>法定代表人或者委托代理人（签字或电子签名）：</w:t>
      </w:r>
      <w:r>
        <w:rPr>
          <w:color w:val="auto"/>
          <w:szCs w:val="21"/>
          <w:highlight w:val="none"/>
          <w:u w:val="single"/>
        </w:rPr>
        <w:t xml:space="preserve">                 </w:t>
      </w:r>
    </w:p>
    <w:p w14:paraId="7BDEAB97">
      <w:pPr>
        <w:spacing w:line="360" w:lineRule="auto"/>
        <w:ind w:right="-817" w:rightChars="-389" w:firstLine="4200" w:firstLineChars="2000"/>
        <w:contextualSpacing/>
        <w:rPr>
          <w:color w:val="auto"/>
          <w:szCs w:val="21"/>
          <w:highlight w:val="none"/>
          <w:u w:val="single"/>
        </w:rPr>
      </w:pPr>
      <w:r>
        <w:rPr>
          <w:rFonts w:hint="eastAsia"/>
          <w:color w:val="auto"/>
          <w:szCs w:val="21"/>
          <w:highlight w:val="none"/>
          <w:lang w:eastAsia="zh-CN"/>
        </w:rPr>
        <w:t>投标人名称</w:t>
      </w:r>
      <w:r>
        <w:rPr>
          <w:color w:val="auto"/>
          <w:szCs w:val="21"/>
          <w:highlight w:val="none"/>
        </w:rPr>
        <w:t>（电子</w:t>
      </w:r>
      <w:r>
        <w:rPr>
          <w:rFonts w:hint="eastAsia"/>
          <w:color w:val="auto"/>
          <w:szCs w:val="21"/>
          <w:highlight w:val="none"/>
          <w:lang w:eastAsia="zh-CN"/>
        </w:rPr>
        <w:t>签</w:t>
      </w:r>
      <w:r>
        <w:rPr>
          <w:color w:val="auto"/>
          <w:szCs w:val="21"/>
          <w:highlight w:val="none"/>
        </w:rPr>
        <w:t>章）：</w:t>
      </w:r>
      <w:r>
        <w:rPr>
          <w:color w:val="auto"/>
          <w:szCs w:val="21"/>
          <w:highlight w:val="none"/>
          <w:u w:val="single"/>
        </w:rPr>
        <w:t xml:space="preserve">                     </w:t>
      </w:r>
    </w:p>
    <w:p w14:paraId="30425C30">
      <w:pPr>
        <w:spacing w:line="360" w:lineRule="auto"/>
        <w:ind w:right="-817" w:rightChars="-389" w:firstLine="5460" w:firstLineChars="2600"/>
        <w:contextualSpacing/>
        <w:rPr>
          <w:rFonts w:eastAsia="仿宋_GB2312"/>
          <w:b/>
          <w:color w:val="auto"/>
          <w:szCs w:val="21"/>
          <w:highlight w:val="none"/>
        </w:rPr>
      </w:pPr>
      <w:r>
        <w:rPr>
          <w:color w:val="auto"/>
          <w:szCs w:val="21"/>
          <w:highlight w:val="none"/>
        </w:rPr>
        <w:t xml:space="preserve">      年   </w:t>
      </w:r>
      <w:r>
        <w:rPr>
          <w:rFonts w:hint="eastAsia"/>
          <w:color w:val="auto"/>
          <w:szCs w:val="21"/>
          <w:highlight w:val="none"/>
          <w:lang w:val="en-US" w:eastAsia="zh-CN"/>
        </w:rPr>
        <w:t xml:space="preserve">  </w:t>
      </w:r>
      <w:r>
        <w:rPr>
          <w:color w:val="auto"/>
          <w:szCs w:val="21"/>
          <w:highlight w:val="none"/>
        </w:rPr>
        <w:t xml:space="preserve"> 月 </w:t>
      </w:r>
      <w:r>
        <w:rPr>
          <w:rFonts w:hint="eastAsia"/>
          <w:color w:val="auto"/>
          <w:szCs w:val="21"/>
          <w:highlight w:val="none"/>
          <w:lang w:val="en-US" w:eastAsia="zh-CN"/>
        </w:rPr>
        <w:t xml:space="preserve"> </w:t>
      </w:r>
      <w:r>
        <w:rPr>
          <w:color w:val="auto"/>
          <w:szCs w:val="21"/>
          <w:highlight w:val="none"/>
        </w:rPr>
        <w:t xml:space="preserve">   日</w:t>
      </w:r>
    </w:p>
    <w:p w14:paraId="08B43D90">
      <w:pP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highlight w:val="none"/>
        </w:rPr>
      </w:pPr>
    </w:p>
    <w:p w14:paraId="67A4A758">
      <w:pP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highlight w:val="none"/>
        </w:rPr>
      </w:pPr>
    </w:p>
    <w:p w14:paraId="3BCDFD11">
      <w:pP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highlight w:val="none"/>
        </w:rPr>
      </w:pPr>
    </w:p>
    <w:p w14:paraId="5576F832">
      <w:pP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highlight w:val="none"/>
        </w:rPr>
      </w:pPr>
    </w:p>
    <w:p w14:paraId="529D0766">
      <w:pPr>
        <w:adjustRightInd w:val="0"/>
        <w:snapToGrid w:val="0"/>
        <w:spacing w:line="520" w:lineRule="exact"/>
        <w:rPr>
          <w:rFonts w:ascii="宋体" w:hAnsi="宋体"/>
          <w:color w:val="auto"/>
          <w:szCs w:val="21"/>
          <w:highlight w:val="none"/>
          <w:u w:val="single"/>
        </w:rPr>
      </w:pPr>
    </w:p>
    <w:p w14:paraId="07EA166C">
      <w:pPr>
        <w:adjustRightInd w:val="0"/>
        <w:snapToGrid w:val="0"/>
        <w:spacing w:line="300" w:lineRule="auto"/>
        <w:jc w:val="center"/>
        <w:rPr>
          <w:rFonts w:ascii="方正小标宋简体" w:hAnsi="方正小标宋简体" w:eastAsia="方正小标宋简体" w:cs="方正小标宋简体"/>
          <w:bCs/>
          <w:color w:val="auto"/>
          <w:sz w:val="44"/>
          <w:szCs w:val="44"/>
          <w:highlight w:val="none"/>
        </w:rPr>
      </w:pPr>
      <w:r>
        <w:rPr>
          <w:rFonts w:ascii="方正小标宋简体" w:hAnsi="方正小标宋简体" w:eastAsia="方正小标宋简体" w:cs="方正小标宋简体"/>
          <w:bCs/>
          <w:color w:val="auto"/>
          <w:sz w:val="44"/>
          <w:szCs w:val="44"/>
          <w:highlight w:val="none"/>
        </w:rPr>
        <w:br w:type="page"/>
      </w:r>
    </w:p>
    <w:p w14:paraId="23BDA005">
      <w:pPr>
        <w:adjustRightInd w:val="0"/>
        <w:snapToGrid w:val="0"/>
        <w:spacing w:line="300" w:lineRule="auto"/>
        <w:jc w:val="center"/>
        <w:rPr>
          <w:b/>
          <w:bCs/>
          <w:color w:val="auto"/>
          <w:sz w:val="36"/>
          <w:szCs w:val="36"/>
          <w:highlight w:val="none"/>
        </w:rPr>
      </w:pPr>
    </w:p>
    <w:p w14:paraId="713D1987">
      <w:pPr>
        <w:adjustRightInd w:val="0"/>
        <w:snapToGrid w:val="0"/>
        <w:spacing w:line="300" w:lineRule="auto"/>
        <w:jc w:val="center"/>
        <w:rPr>
          <w:rFonts w:hint="eastAsia" w:eastAsia="宋体"/>
          <w:b/>
          <w:bCs/>
          <w:color w:val="auto"/>
          <w:sz w:val="36"/>
          <w:szCs w:val="36"/>
          <w:highlight w:val="none"/>
          <w:lang w:eastAsia="zh-CN"/>
        </w:rPr>
      </w:pPr>
      <w:r>
        <w:rPr>
          <w:rFonts w:hint="eastAsia"/>
          <w:b/>
          <w:bCs/>
          <w:color w:val="auto"/>
          <w:sz w:val="36"/>
          <w:szCs w:val="36"/>
          <w:highlight w:val="none"/>
          <w:lang w:eastAsia="zh-CN"/>
        </w:rPr>
        <w:t>服务</w:t>
      </w:r>
      <w:r>
        <w:rPr>
          <w:rFonts w:hint="eastAsia"/>
          <w:b/>
          <w:bCs/>
          <w:color w:val="auto"/>
          <w:sz w:val="36"/>
          <w:szCs w:val="36"/>
          <w:highlight w:val="none"/>
        </w:rPr>
        <w:t>需求偏离表</w:t>
      </w:r>
      <w:r>
        <w:rPr>
          <w:rFonts w:hint="eastAsia"/>
          <w:b/>
          <w:bCs/>
          <w:color w:val="auto"/>
          <w:sz w:val="36"/>
          <w:szCs w:val="36"/>
          <w:highlight w:val="none"/>
          <w:lang w:eastAsia="zh-CN"/>
        </w:rPr>
        <w:t>格式</w:t>
      </w:r>
    </w:p>
    <w:p w14:paraId="26348D83">
      <w:pPr>
        <w:spacing w:line="520" w:lineRule="exact"/>
        <w:rPr>
          <w:rFonts w:eastAsia="仿宋_GB2312"/>
          <w:color w:val="auto"/>
          <w:sz w:val="32"/>
          <w:szCs w:val="32"/>
          <w:highlight w:val="none"/>
        </w:rPr>
      </w:pPr>
    </w:p>
    <w:tbl>
      <w:tblPr>
        <w:tblStyle w:val="32"/>
        <w:tblW w:w="947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88"/>
        <w:gridCol w:w="1801"/>
        <w:gridCol w:w="2581"/>
        <w:gridCol w:w="1859"/>
        <w:gridCol w:w="2250"/>
      </w:tblGrid>
      <w:tr w14:paraId="2B687C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25" w:hRule="atLeast"/>
          <w:jc w:val="center"/>
        </w:trPr>
        <w:tc>
          <w:tcPr>
            <w:tcW w:w="988" w:type="dxa"/>
            <w:vAlign w:val="center"/>
          </w:tcPr>
          <w:p w14:paraId="1F7FB078">
            <w:pPr>
              <w:pStyle w:val="15"/>
              <w:spacing w:line="300" w:lineRule="exact"/>
              <w:ind w:firstLine="0" w:firstLineChars="0"/>
              <w:contextualSpacing/>
              <w:jc w:val="center"/>
              <w:rPr>
                <w:rFonts w:ascii="Times New Roman" w:eastAsia="宋体"/>
                <w:color w:val="auto"/>
                <w:kern w:val="2"/>
                <w:sz w:val="21"/>
                <w:szCs w:val="21"/>
                <w:highlight w:val="none"/>
              </w:rPr>
            </w:pPr>
            <w:r>
              <w:rPr>
                <w:rFonts w:hint="eastAsia" w:ascii="Times New Roman" w:eastAsia="宋体"/>
                <w:color w:val="auto"/>
                <w:kern w:val="2"/>
                <w:sz w:val="21"/>
                <w:szCs w:val="21"/>
                <w:highlight w:val="none"/>
              </w:rPr>
              <w:t>序号</w:t>
            </w:r>
          </w:p>
        </w:tc>
        <w:tc>
          <w:tcPr>
            <w:tcW w:w="1801" w:type="dxa"/>
            <w:tcBorders>
              <w:left w:val="single" w:color="auto" w:sz="4" w:space="0"/>
              <w:right w:val="single" w:color="auto" w:sz="4" w:space="0"/>
            </w:tcBorders>
            <w:vAlign w:val="center"/>
          </w:tcPr>
          <w:p w14:paraId="38AB4E45">
            <w:pPr>
              <w:pStyle w:val="15"/>
              <w:spacing w:line="300" w:lineRule="exact"/>
              <w:ind w:firstLine="0" w:firstLineChars="0"/>
              <w:contextualSpacing/>
              <w:jc w:val="center"/>
              <w:rPr>
                <w:rFonts w:ascii="Times New Roman" w:eastAsia="宋体"/>
                <w:color w:val="auto"/>
                <w:kern w:val="2"/>
                <w:sz w:val="21"/>
                <w:szCs w:val="21"/>
                <w:highlight w:val="none"/>
              </w:rPr>
            </w:pPr>
            <w:r>
              <w:rPr>
                <w:rFonts w:hint="eastAsia" w:ascii="Times New Roman" w:eastAsia="宋体"/>
                <w:color w:val="auto"/>
                <w:kern w:val="2"/>
                <w:sz w:val="21"/>
                <w:szCs w:val="21"/>
                <w:highlight w:val="none"/>
              </w:rPr>
              <w:t>标的</w:t>
            </w:r>
            <w:r>
              <w:rPr>
                <w:rFonts w:hint="eastAsia" w:ascii="Times New Roman" w:eastAsia="宋体"/>
                <w:color w:val="auto"/>
                <w:kern w:val="2"/>
                <w:sz w:val="21"/>
                <w:szCs w:val="21"/>
                <w:highlight w:val="none"/>
                <w:lang w:eastAsia="zh-CN"/>
              </w:rPr>
              <w:t>的</w:t>
            </w:r>
            <w:r>
              <w:rPr>
                <w:rFonts w:hint="eastAsia" w:ascii="Times New Roman" w:eastAsia="宋体"/>
                <w:color w:val="auto"/>
                <w:kern w:val="2"/>
                <w:sz w:val="21"/>
                <w:szCs w:val="21"/>
                <w:highlight w:val="none"/>
              </w:rPr>
              <w:t>名称</w:t>
            </w:r>
          </w:p>
        </w:tc>
        <w:tc>
          <w:tcPr>
            <w:tcW w:w="2581" w:type="dxa"/>
            <w:tcBorders>
              <w:left w:val="single" w:color="auto" w:sz="4" w:space="0"/>
              <w:right w:val="single" w:color="auto" w:sz="4" w:space="0"/>
            </w:tcBorders>
            <w:vAlign w:val="center"/>
          </w:tcPr>
          <w:p w14:paraId="72C4FBEB">
            <w:pPr>
              <w:pStyle w:val="15"/>
              <w:spacing w:line="360" w:lineRule="auto"/>
              <w:ind w:firstLine="0" w:firstLineChars="0"/>
              <w:contextualSpacing/>
              <w:jc w:val="center"/>
              <w:rPr>
                <w:rFonts w:ascii="Times New Roman" w:eastAsia="宋体"/>
                <w:color w:val="auto"/>
                <w:kern w:val="2"/>
                <w:sz w:val="21"/>
                <w:szCs w:val="21"/>
                <w:highlight w:val="none"/>
              </w:rPr>
            </w:pPr>
            <w:r>
              <w:rPr>
                <w:rFonts w:hint="eastAsia" w:ascii="Times New Roman" w:eastAsia="宋体"/>
                <w:color w:val="auto"/>
                <w:kern w:val="2"/>
                <w:sz w:val="21"/>
                <w:szCs w:val="21"/>
                <w:highlight w:val="none"/>
                <w:lang w:eastAsia="zh-CN"/>
              </w:rPr>
              <w:t>招标</w:t>
            </w:r>
            <w:r>
              <w:rPr>
                <w:rFonts w:ascii="Times New Roman" w:eastAsia="宋体"/>
                <w:color w:val="auto"/>
                <w:kern w:val="2"/>
                <w:sz w:val="21"/>
                <w:szCs w:val="21"/>
                <w:highlight w:val="none"/>
              </w:rPr>
              <w:t>文件</w:t>
            </w:r>
            <w:r>
              <w:rPr>
                <w:rFonts w:ascii="Times New Roman" w:eastAsia="宋体"/>
                <w:color w:val="auto"/>
                <w:sz w:val="21"/>
                <w:szCs w:val="21"/>
                <w:highlight w:val="none"/>
              </w:rPr>
              <w:t>服务</w:t>
            </w:r>
            <w:r>
              <w:rPr>
                <w:rFonts w:hint="eastAsia" w:ascii="Times New Roman" w:eastAsia="宋体"/>
                <w:color w:val="auto"/>
                <w:sz w:val="21"/>
                <w:szCs w:val="21"/>
                <w:highlight w:val="none"/>
              </w:rPr>
              <w:t>内容及</w:t>
            </w:r>
            <w:r>
              <w:rPr>
                <w:rFonts w:hint="eastAsia" w:ascii="Times New Roman" w:eastAsia="宋体"/>
                <w:color w:val="auto"/>
                <w:sz w:val="21"/>
                <w:szCs w:val="21"/>
                <w:highlight w:val="none"/>
                <w:lang w:eastAsia="zh-CN"/>
              </w:rPr>
              <w:t>要</w:t>
            </w:r>
            <w:r>
              <w:rPr>
                <w:rFonts w:ascii="Times New Roman" w:eastAsia="宋体"/>
                <w:color w:val="auto"/>
                <w:sz w:val="21"/>
                <w:szCs w:val="21"/>
                <w:highlight w:val="none"/>
              </w:rPr>
              <w:t>求</w:t>
            </w:r>
          </w:p>
        </w:tc>
        <w:tc>
          <w:tcPr>
            <w:tcW w:w="1859" w:type="dxa"/>
            <w:tcBorders>
              <w:left w:val="single" w:color="auto" w:sz="4" w:space="0"/>
              <w:right w:val="single" w:color="auto" w:sz="4" w:space="0"/>
            </w:tcBorders>
            <w:vAlign w:val="center"/>
          </w:tcPr>
          <w:p w14:paraId="5161C97A">
            <w:pPr>
              <w:pStyle w:val="15"/>
              <w:spacing w:line="360" w:lineRule="auto"/>
              <w:ind w:firstLine="0" w:firstLineChars="0"/>
              <w:contextualSpacing/>
              <w:jc w:val="center"/>
              <w:rPr>
                <w:rFonts w:hint="eastAsia" w:ascii="Times New Roman" w:eastAsia="宋体"/>
                <w:color w:val="auto"/>
                <w:kern w:val="2"/>
                <w:sz w:val="21"/>
                <w:szCs w:val="21"/>
                <w:highlight w:val="none"/>
                <w:lang w:eastAsia="zh-CN"/>
              </w:rPr>
            </w:pPr>
            <w:r>
              <w:rPr>
                <w:rFonts w:hint="eastAsia" w:ascii="Times New Roman" w:eastAsia="宋体"/>
                <w:color w:val="auto"/>
                <w:kern w:val="2"/>
                <w:sz w:val="21"/>
                <w:szCs w:val="21"/>
                <w:highlight w:val="none"/>
                <w:lang w:eastAsia="zh-CN"/>
              </w:rPr>
              <w:t>投标响应</w:t>
            </w:r>
          </w:p>
        </w:tc>
        <w:tc>
          <w:tcPr>
            <w:tcW w:w="2250" w:type="dxa"/>
            <w:vAlign w:val="center"/>
          </w:tcPr>
          <w:p w14:paraId="0E1E2409">
            <w:pPr>
              <w:pStyle w:val="15"/>
              <w:spacing w:line="300" w:lineRule="exact"/>
              <w:ind w:firstLine="0" w:firstLineChars="0"/>
              <w:contextualSpacing/>
              <w:jc w:val="center"/>
              <w:rPr>
                <w:rFonts w:ascii="Times New Roman" w:eastAsia="宋体"/>
                <w:color w:val="auto"/>
                <w:kern w:val="2"/>
                <w:sz w:val="21"/>
                <w:szCs w:val="21"/>
                <w:highlight w:val="none"/>
              </w:rPr>
            </w:pPr>
            <w:r>
              <w:rPr>
                <w:rFonts w:hint="eastAsia" w:ascii="Times New Roman" w:eastAsia="宋体"/>
                <w:color w:val="auto"/>
                <w:kern w:val="2"/>
                <w:sz w:val="21"/>
                <w:szCs w:val="21"/>
                <w:highlight w:val="none"/>
              </w:rPr>
              <w:t>偏离说明</w:t>
            </w:r>
          </w:p>
        </w:tc>
      </w:tr>
      <w:tr w14:paraId="1964B7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88" w:type="dxa"/>
            <w:vAlign w:val="center"/>
          </w:tcPr>
          <w:p w14:paraId="5E4232CC">
            <w:pPr>
              <w:pStyle w:val="15"/>
              <w:spacing w:line="300" w:lineRule="exact"/>
              <w:ind w:firstLine="0" w:firstLineChars="0"/>
              <w:contextualSpacing/>
              <w:jc w:val="center"/>
              <w:rPr>
                <w:rFonts w:ascii="Times New Roman" w:eastAsia="宋体"/>
                <w:color w:val="auto"/>
                <w:kern w:val="2"/>
                <w:sz w:val="21"/>
                <w:szCs w:val="21"/>
                <w:highlight w:val="none"/>
              </w:rPr>
            </w:pPr>
            <w:r>
              <w:rPr>
                <w:rFonts w:hint="eastAsia" w:ascii="Times New Roman" w:eastAsia="宋体"/>
                <w:color w:val="auto"/>
                <w:kern w:val="2"/>
                <w:sz w:val="21"/>
                <w:szCs w:val="21"/>
                <w:highlight w:val="none"/>
              </w:rPr>
              <w:t>1</w:t>
            </w:r>
          </w:p>
        </w:tc>
        <w:tc>
          <w:tcPr>
            <w:tcW w:w="1801" w:type="dxa"/>
            <w:tcBorders>
              <w:left w:val="single" w:color="auto" w:sz="4" w:space="0"/>
              <w:right w:val="single" w:color="auto" w:sz="4" w:space="0"/>
            </w:tcBorders>
            <w:vAlign w:val="center"/>
          </w:tcPr>
          <w:p w14:paraId="6F4D6C24">
            <w:pPr>
              <w:pStyle w:val="15"/>
              <w:spacing w:line="300" w:lineRule="exact"/>
              <w:ind w:firstLine="0" w:firstLineChars="0"/>
              <w:contextualSpacing/>
              <w:jc w:val="center"/>
              <w:rPr>
                <w:rFonts w:ascii="Times New Roman" w:eastAsia="宋体"/>
                <w:color w:val="auto"/>
                <w:kern w:val="2"/>
                <w:sz w:val="21"/>
                <w:szCs w:val="21"/>
                <w:highlight w:val="none"/>
              </w:rPr>
            </w:pPr>
          </w:p>
        </w:tc>
        <w:tc>
          <w:tcPr>
            <w:tcW w:w="2581" w:type="dxa"/>
            <w:tcBorders>
              <w:left w:val="single" w:color="auto" w:sz="4" w:space="0"/>
              <w:right w:val="single" w:color="auto" w:sz="4" w:space="0"/>
            </w:tcBorders>
            <w:vAlign w:val="center"/>
          </w:tcPr>
          <w:p w14:paraId="6F670F7C">
            <w:pPr>
              <w:pStyle w:val="15"/>
              <w:spacing w:line="300" w:lineRule="exact"/>
              <w:ind w:firstLine="0" w:firstLineChars="0"/>
              <w:contextualSpacing/>
              <w:jc w:val="center"/>
              <w:rPr>
                <w:rFonts w:ascii="Times New Roman" w:eastAsia="宋体"/>
                <w:color w:val="auto"/>
                <w:kern w:val="2"/>
                <w:sz w:val="21"/>
                <w:szCs w:val="21"/>
                <w:highlight w:val="none"/>
              </w:rPr>
            </w:pPr>
          </w:p>
        </w:tc>
        <w:tc>
          <w:tcPr>
            <w:tcW w:w="1859" w:type="dxa"/>
            <w:tcBorders>
              <w:left w:val="single" w:color="auto" w:sz="4" w:space="0"/>
              <w:right w:val="single" w:color="auto" w:sz="4" w:space="0"/>
            </w:tcBorders>
            <w:vAlign w:val="center"/>
          </w:tcPr>
          <w:p w14:paraId="62257F8D">
            <w:pPr>
              <w:pStyle w:val="15"/>
              <w:spacing w:line="300" w:lineRule="exact"/>
              <w:ind w:firstLine="0" w:firstLineChars="0"/>
              <w:contextualSpacing/>
              <w:jc w:val="center"/>
              <w:rPr>
                <w:rFonts w:ascii="Times New Roman" w:eastAsia="宋体"/>
                <w:color w:val="auto"/>
                <w:kern w:val="2"/>
                <w:sz w:val="21"/>
                <w:szCs w:val="21"/>
                <w:highlight w:val="none"/>
              </w:rPr>
            </w:pPr>
          </w:p>
        </w:tc>
        <w:tc>
          <w:tcPr>
            <w:tcW w:w="2250" w:type="dxa"/>
            <w:vAlign w:val="center"/>
          </w:tcPr>
          <w:p w14:paraId="599547DF">
            <w:pPr>
              <w:pStyle w:val="15"/>
              <w:spacing w:line="300" w:lineRule="exact"/>
              <w:ind w:firstLine="0" w:firstLineChars="0"/>
              <w:contextualSpacing/>
              <w:jc w:val="center"/>
              <w:rPr>
                <w:rFonts w:ascii="Times New Roman" w:eastAsia="宋体"/>
                <w:color w:val="auto"/>
                <w:kern w:val="2"/>
                <w:sz w:val="21"/>
                <w:szCs w:val="21"/>
                <w:highlight w:val="none"/>
              </w:rPr>
            </w:pPr>
          </w:p>
        </w:tc>
      </w:tr>
      <w:tr w14:paraId="267D9E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88" w:type="dxa"/>
            <w:vAlign w:val="center"/>
          </w:tcPr>
          <w:p w14:paraId="15BDE500">
            <w:pPr>
              <w:pStyle w:val="15"/>
              <w:spacing w:line="300" w:lineRule="exact"/>
              <w:ind w:firstLine="0" w:firstLineChars="0"/>
              <w:contextualSpacing/>
              <w:jc w:val="center"/>
              <w:rPr>
                <w:rFonts w:ascii="Times New Roman" w:eastAsia="宋体"/>
                <w:color w:val="auto"/>
                <w:kern w:val="2"/>
                <w:sz w:val="21"/>
                <w:szCs w:val="21"/>
                <w:highlight w:val="none"/>
              </w:rPr>
            </w:pPr>
            <w:r>
              <w:rPr>
                <w:rFonts w:hint="eastAsia" w:ascii="Times New Roman" w:eastAsia="宋体"/>
                <w:color w:val="auto"/>
                <w:kern w:val="2"/>
                <w:sz w:val="21"/>
                <w:szCs w:val="21"/>
                <w:highlight w:val="none"/>
              </w:rPr>
              <w:t>2</w:t>
            </w:r>
          </w:p>
        </w:tc>
        <w:tc>
          <w:tcPr>
            <w:tcW w:w="1801" w:type="dxa"/>
            <w:tcBorders>
              <w:left w:val="single" w:color="auto" w:sz="4" w:space="0"/>
              <w:right w:val="single" w:color="auto" w:sz="4" w:space="0"/>
            </w:tcBorders>
            <w:vAlign w:val="center"/>
          </w:tcPr>
          <w:p w14:paraId="36A9C217">
            <w:pPr>
              <w:pStyle w:val="15"/>
              <w:spacing w:line="300" w:lineRule="exact"/>
              <w:ind w:firstLine="0" w:firstLineChars="0"/>
              <w:contextualSpacing/>
              <w:jc w:val="center"/>
              <w:rPr>
                <w:rFonts w:ascii="Times New Roman" w:eastAsia="宋体"/>
                <w:color w:val="auto"/>
                <w:kern w:val="2"/>
                <w:sz w:val="21"/>
                <w:szCs w:val="21"/>
                <w:highlight w:val="none"/>
              </w:rPr>
            </w:pPr>
          </w:p>
        </w:tc>
        <w:tc>
          <w:tcPr>
            <w:tcW w:w="2581" w:type="dxa"/>
            <w:tcBorders>
              <w:left w:val="single" w:color="auto" w:sz="4" w:space="0"/>
              <w:right w:val="single" w:color="auto" w:sz="4" w:space="0"/>
            </w:tcBorders>
            <w:vAlign w:val="center"/>
          </w:tcPr>
          <w:p w14:paraId="3CFCD76E">
            <w:pPr>
              <w:pStyle w:val="15"/>
              <w:spacing w:line="300" w:lineRule="exact"/>
              <w:ind w:firstLine="0" w:firstLineChars="0"/>
              <w:contextualSpacing/>
              <w:jc w:val="center"/>
              <w:rPr>
                <w:rFonts w:ascii="Times New Roman" w:eastAsia="宋体"/>
                <w:color w:val="auto"/>
                <w:kern w:val="2"/>
                <w:sz w:val="21"/>
                <w:szCs w:val="21"/>
                <w:highlight w:val="none"/>
              </w:rPr>
            </w:pPr>
          </w:p>
        </w:tc>
        <w:tc>
          <w:tcPr>
            <w:tcW w:w="1859" w:type="dxa"/>
            <w:tcBorders>
              <w:left w:val="single" w:color="auto" w:sz="4" w:space="0"/>
              <w:right w:val="single" w:color="auto" w:sz="4" w:space="0"/>
            </w:tcBorders>
            <w:vAlign w:val="center"/>
          </w:tcPr>
          <w:p w14:paraId="768F97E2">
            <w:pPr>
              <w:pStyle w:val="15"/>
              <w:spacing w:line="300" w:lineRule="exact"/>
              <w:ind w:firstLine="0" w:firstLineChars="0"/>
              <w:contextualSpacing/>
              <w:jc w:val="center"/>
              <w:rPr>
                <w:rFonts w:ascii="Times New Roman" w:eastAsia="宋体"/>
                <w:color w:val="auto"/>
                <w:kern w:val="2"/>
                <w:sz w:val="21"/>
                <w:szCs w:val="21"/>
                <w:highlight w:val="none"/>
              </w:rPr>
            </w:pPr>
          </w:p>
        </w:tc>
        <w:tc>
          <w:tcPr>
            <w:tcW w:w="2250" w:type="dxa"/>
            <w:vAlign w:val="center"/>
          </w:tcPr>
          <w:p w14:paraId="65F87D6F">
            <w:pPr>
              <w:pStyle w:val="15"/>
              <w:spacing w:line="300" w:lineRule="exact"/>
              <w:ind w:firstLine="0" w:firstLineChars="0"/>
              <w:contextualSpacing/>
              <w:jc w:val="center"/>
              <w:rPr>
                <w:rFonts w:ascii="Times New Roman" w:eastAsia="宋体"/>
                <w:color w:val="auto"/>
                <w:kern w:val="2"/>
                <w:sz w:val="21"/>
                <w:szCs w:val="21"/>
                <w:highlight w:val="none"/>
              </w:rPr>
            </w:pPr>
          </w:p>
        </w:tc>
      </w:tr>
      <w:tr w14:paraId="15614C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88" w:type="dxa"/>
            <w:vAlign w:val="center"/>
          </w:tcPr>
          <w:p w14:paraId="01AAABD5">
            <w:pPr>
              <w:pStyle w:val="15"/>
              <w:spacing w:line="300" w:lineRule="exact"/>
              <w:ind w:firstLine="0" w:firstLineChars="0"/>
              <w:contextualSpacing/>
              <w:jc w:val="center"/>
              <w:rPr>
                <w:rFonts w:ascii="Times New Roman" w:eastAsia="宋体"/>
                <w:color w:val="auto"/>
                <w:kern w:val="2"/>
                <w:sz w:val="21"/>
                <w:szCs w:val="21"/>
                <w:highlight w:val="none"/>
              </w:rPr>
            </w:pPr>
            <w:r>
              <w:rPr>
                <w:rFonts w:hint="eastAsia" w:ascii="Times New Roman" w:eastAsia="宋体"/>
                <w:color w:val="auto"/>
                <w:kern w:val="2"/>
                <w:sz w:val="21"/>
                <w:szCs w:val="21"/>
                <w:highlight w:val="none"/>
              </w:rPr>
              <w:t>3</w:t>
            </w:r>
          </w:p>
        </w:tc>
        <w:tc>
          <w:tcPr>
            <w:tcW w:w="1801" w:type="dxa"/>
            <w:tcBorders>
              <w:left w:val="single" w:color="auto" w:sz="4" w:space="0"/>
              <w:right w:val="single" w:color="auto" w:sz="4" w:space="0"/>
            </w:tcBorders>
            <w:vAlign w:val="center"/>
          </w:tcPr>
          <w:p w14:paraId="08AA426D">
            <w:pPr>
              <w:pStyle w:val="15"/>
              <w:spacing w:line="300" w:lineRule="exact"/>
              <w:ind w:firstLine="0" w:firstLineChars="0"/>
              <w:contextualSpacing/>
              <w:jc w:val="center"/>
              <w:rPr>
                <w:rFonts w:ascii="Times New Roman" w:eastAsia="宋体"/>
                <w:color w:val="auto"/>
                <w:kern w:val="2"/>
                <w:sz w:val="21"/>
                <w:szCs w:val="21"/>
                <w:highlight w:val="none"/>
              </w:rPr>
            </w:pPr>
          </w:p>
        </w:tc>
        <w:tc>
          <w:tcPr>
            <w:tcW w:w="2581" w:type="dxa"/>
            <w:tcBorders>
              <w:left w:val="single" w:color="auto" w:sz="4" w:space="0"/>
              <w:right w:val="single" w:color="auto" w:sz="4" w:space="0"/>
            </w:tcBorders>
            <w:vAlign w:val="center"/>
          </w:tcPr>
          <w:p w14:paraId="594FD5C6">
            <w:pPr>
              <w:pStyle w:val="15"/>
              <w:spacing w:line="300" w:lineRule="exact"/>
              <w:ind w:firstLine="0" w:firstLineChars="0"/>
              <w:contextualSpacing/>
              <w:jc w:val="center"/>
              <w:rPr>
                <w:rFonts w:ascii="Times New Roman" w:eastAsia="宋体"/>
                <w:color w:val="auto"/>
                <w:kern w:val="2"/>
                <w:sz w:val="21"/>
                <w:szCs w:val="21"/>
                <w:highlight w:val="none"/>
              </w:rPr>
            </w:pPr>
          </w:p>
        </w:tc>
        <w:tc>
          <w:tcPr>
            <w:tcW w:w="1859" w:type="dxa"/>
            <w:tcBorders>
              <w:left w:val="single" w:color="auto" w:sz="4" w:space="0"/>
              <w:right w:val="single" w:color="auto" w:sz="4" w:space="0"/>
            </w:tcBorders>
            <w:vAlign w:val="center"/>
          </w:tcPr>
          <w:p w14:paraId="2AEFF3BD">
            <w:pPr>
              <w:pStyle w:val="15"/>
              <w:spacing w:line="300" w:lineRule="exact"/>
              <w:ind w:firstLine="0" w:firstLineChars="0"/>
              <w:contextualSpacing/>
              <w:jc w:val="center"/>
              <w:rPr>
                <w:rFonts w:ascii="Times New Roman" w:eastAsia="宋体"/>
                <w:color w:val="auto"/>
                <w:kern w:val="2"/>
                <w:sz w:val="21"/>
                <w:szCs w:val="21"/>
                <w:highlight w:val="none"/>
              </w:rPr>
            </w:pPr>
          </w:p>
        </w:tc>
        <w:tc>
          <w:tcPr>
            <w:tcW w:w="2250" w:type="dxa"/>
            <w:vAlign w:val="center"/>
          </w:tcPr>
          <w:p w14:paraId="48F74D6B">
            <w:pPr>
              <w:pStyle w:val="15"/>
              <w:spacing w:line="300" w:lineRule="exact"/>
              <w:ind w:firstLine="0" w:firstLineChars="0"/>
              <w:contextualSpacing/>
              <w:jc w:val="center"/>
              <w:rPr>
                <w:rFonts w:ascii="Times New Roman" w:eastAsia="宋体"/>
                <w:color w:val="auto"/>
                <w:kern w:val="2"/>
                <w:sz w:val="21"/>
                <w:szCs w:val="21"/>
                <w:highlight w:val="none"/>
              </w:rPr>
            </w:pPr>
          </w:p>
        </w:tc>
      </w:tr>
      <w:tr w14:paraId="794830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88" w:type="dxa"/>
            <w:vAlign w:val="center"/>
          </w:tcPr>
          <w:p w14:paraId="5E5A37F4">
            <w:pPr>
              <w:pStyle w:val="15"/>
              <w:spacing w:line="300" w:lineRule="exact"/>
              <w:ind w:firstLine="0" w:firstLineChars="0"/>
              <w:contextualSpacing/>
              <w:jc w:val="center"/>
              <w:rPr>
                <w:rFonts w:ascii="Times New Roman" w:eastAsia="宋体"/>
                <w:color w:val="auto"/>
                <w:kern w:val="2"/>
                <w:sz w:val="21"/>
                <w:szCs w:val="21"/>
                <w:highlight w:val="none"/>
              </w:rPr>
            </w:pPr>
            <w:r>
              <w:rPr>
                <w:rFonts w:hint="eastAsia" w:ascii="Times New Roman" w:eastAsia="宋体"/>
                <w:color w:val="auto"/>
                <w:kern w:val="2"/>
                <w:sz w:val="21"/>
                <w:szCs w:val="21"/>
                <w:highlight w:val="none"/>
              </w:rPr>
              <w:t>4</w:t>
            </w:r>
          </w:p>
        </w:tc>
        <w:tc>
          <w:tcPr>
            <w:tcW w:w="1801" w:type="dxa"/>
            <w:tcBorders>
              <w:left w:val="single" w:color="auto" w:sz="4" w:space="0"/>
              <w:right w:val="single" w:color="auto" w:sz="4" w:space="0"/>
            </w:tcBorders>
            <w:vAlign w:val="center"/>
          </w:tcPr>
          <w:p w14:paraId="54F288B1">
            <w:pPr>
              <w:pStyle w:val="15"/>
              <w:spacing w:line="300" w:lineRule="exact"/>
              <w:ind w:firstLine="0" w:firstLineChars="0"/>
              <w:contextualSpacing/>
              <w:jc w:val="center"/>
              <w:rPr>
                <w:rFonts w:ascii="Times New Roman" w:eastAsia="宋体"/>
                <w:color w:val="auto"/>
                <w:kern w:val="2"/>
                <w:sz w:val="21"/>
                <w:szCs w:val="21"/>
                <w:highlight w:val="none"/>
              </w:rPr>
            </w:pPr>
          </w:p>
        </w:tc>
        <w:tc>
          <w:tcPr>
            <w:tcW w:w="2581" w:type="dxa"/>
            <w:tcBorders>
              <w:left w:val="single" w:color="auto" w:sz="4" w:space="0"/>
              <w:right w:val="single" w:color="auto" w:sz="4" w:space="0"/>
            </w:tcBorders>
            <w:vAlign w:val="center"/>
          </w:tcPr>
          <w:p w14:paraId="3B4658F7">
            <w:pPr>
              <w:pStyle w:val="15"/>
              <w:spacing w:line="300" w:lineRule="exact"/>
              <w:ind w:firstLine="0" w:firstLineChars="0"/>
              <w:contextualSpacing/>
              <w:jc w:val="center"/>
              <w:rPr>
                <w:rFonts w:ascii="Times New Roman" w:eastAsia="宋体"/>
                <w:color w:val="auto"/>
                <w:kern w:val="2"/>
                <w:sz w:val="21"/>
                <w:szCs w:val="21"/>
                <w:highlight w:val="none"/>
              </w:rPr>
            </w:pPr>
          </w:p>
        </w:tc>
        <w:tc>
          <w:tcPr>
            <w:tcW w:w="1859" w:type="dxa"/>
            <w:tcBorders>
              <w:left w:val="single" w:color="auto" w:sz="4" w:space="0"/>
              <w:right w:val="single" w:color="auto" w:sz="4" w:space="0"/>
            </w:tcBorders>
            <w:vAlign w:val="center"/>
          </w:tcPr>
          <w:p w14:paraId="05320837">
            <w:pPr>
              <w:pStyle w:val="15"/>
              <w:spacing w:line="300" w:lineRule="exact"/>
              <w:ind w:firstLine="0" w:firstLineChars="0"/>
              <w:contextualSpacing/>
              <w:jc w:val="center"/>
              <w:rPr>
                <w:rFonts w:ascii="Times New Roman" w:eastAsia="宋体"/>
                <w:color w:val="auto"/>
                <w:kern w:val="2"/>
                <w:sz w:val="21"/>
                <w:szCs w:val="21"/>
                <w:highlight w:val="none"/>
              </w:rPr>
            </w:pPr>
          </w:p>
        </w:tc>
        <w:tc>
          <w:tcPr>
            <w:tcW w:w="2250" w:type="dxa"/>
            <w:vAlign w:val="center"/>
          </w:tcPr>
          <w:p w14:paraId="3895C658">
            <w:pPr>
              <w:pStyle w:val="15"/>
              <w:spacing w:line="300" w:lineRule="exact"/>
              <w:ind w:firstLine="0" w:firstLineChars="0"/>
              <w:contextualSpacing/>
              <w:jc w:val="center"/>
              <w:rPr>
                <w:rFonts w:ascii="Times New Roman" w:eastAsia="宋体"/>
                <w:color w:val="auto"/>
                <w:kern w:val="2"/>
                <w:sz w:val="21"/>
                <w:szCs w:val="21"/>
                <w:highlight w:val="none"/>
              </w:rPr>
            </w:pPr>
          </w:p>
        </w:tc>
      </w:tr>
      <w:tr w14:paraId="0A23FF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88" w:type="dxa"/>
            <w:vAlign w:val="center"/>
          </w:tcPr>
          <w:p w14:paraId="00451F46">
            <w:pPr>
              <w:pStyle w:val="15"/>
              <w:spacing w:line="300" w:lineRule="exact"/>
              <w:ind w:firstLine="0" w:firstLineChars="0"/>
              <w:contextualSpacing/>
              <w:jc w:val="center"/>
              <w:rPr>
                <w:rFonts w:ascii="Times New Roman" w:eastAsia="宋体"/>
                <w:color w:val="auto"/>
                <w:kern w:val="2"/>
                <w:sz w:val="21"/>
                <w:szCs w:val="21"/>
                <w:highlight w:val="none"/>
              </w:rPr>
            </w:pPr>
            <w:bookmarkStart w:id="57" w:name="_Toc383699916"/>
            <w:bookmarkStart w:id="58" w:name="_Toc301781621"/>
            <w:bookmarkStart w:id="59" w:name="_Toc254970743"/>
            <w:bookmarkStart w:id="60" w:name="_Toc254970602"/>
            <w:bookmarkStart w:id="61" w:name="_Toc295404991"/>
            <w:bookmarkStart w:id="62" w:name="_Toc373333699"/>
            <w:bookmarkStart w:id="63" w:name="_Toc173066415"/>
            <w:bookmarkStart w:id="64" w:name="_Toc173211914"/>
            <w:bookmarkStart w:id="65" w:name="_Toc297193195"/>
            <w:r>
              <w:rPr>
                <w:rFonts w:ascii="Times New Roman" w:eastAsia="宋体"/>
                <w:color w:val="auto"/>
                <w:kern w:val="2"/>
                <w:sz w:val="21"/>
                <w:szCs w:val="21"/>
                <w:highlight w:val="none"/>
              </w:rPr>
              <w:t>…</w:t>
            </w:r>
            <w:bookmarkEnd w:id="57"/>
            <w:bookmarkEnd w:id="58"/>
            <w:bookmarkEnd w:id="59"/>
            <w:bookmarkEnd w:id="60"/>
            <w:bookmarkEnd w:id="61"/>
            <w:bookmarkEnd w:id="62"/>
            <w:bookmarkEnd w:id="63"/>
            <w:bookmarkEnd w:id="64"/>
            <w:bookmarkEnd w:id="65"/>
          </w:p>
        </w:tc>
        <w:tc>
          <w:tcPr>
            <w:tcW w:w="1801" w:type="dxa"/>
            <w:tcBorders>
              <w:left w:val="single" w:color="auto" w:sz="4" w:space="0"/>
              <w:right w:val="single" w:color="auto" w:sz="4" w:space="0"/>
            </w:tcBorders>
            <w:vAlign w:val="center"/>
          </w:tcPr>
          <w:p w14:paraId="6AB759CA">
            <w:pPr>
              <w:pStyle w:val="15"/>
              <w:spacing w:line="300" w:lineRule="exact"/>
              <w:ind w:firstLine="0" w:firstLineChars="0"/>
              <w:contextualSpacing/>
              <w:jc w:val="center"/>
              <w:rPr>
                <w:rFonts w:ascii="Times New Roman" w:eastAsia="宋体"/>
                <w:color w:val="auto"/>
                <w:kern w:val="2"/>
                <w:sz w:val="21"/>
                <w:szCs w:val="21"/>
                <w:highlight w:val="none"/>
              </w:rPr>
            </w:pPr>
          </w:p>
        </w:tc>
        <w:tc>
          <w:tcPr>
            <w:tcW w:w="2581" w:type="dxa"/>
            <w:tcBorders>
              <w:left w:val="single" w:color="auto" w:sz="4" w:space="0"/>
              <w:right w:val="single" w:color="auto" w:sz="4" w:space="0"/>
            </w:tcBorders>
            <w:vAlign w:val="center"/>
          </w:tcPr>
          <w:p w14:paraId="468BF7F8">
            <w:pPr>
              <w:pStyle w:val="15"/>
              <w:spacing w:line="300" w:lineRule="exact"/>
              <w:ind w:firstLine="0" w:firstLineChars="0"/>
              <w:contextualSpacing/>
              <w:jc w:val="center"/>
              <w:rPr>
                <w:rFonts w:ascii="Times New Roman" w:eastAsia="宋体"/>
                <w:color w:val="auto"/>
                <w:kern w:val="2"/>
                <w:sz w:val="21"/>
                <w:szCs w:val="21"/>
                <w:highlight w:val="none"/>
              </w:rPr>
            </w:pPr>
          </w:p>
        </w:tc>
        <w:tc>
          <w:tcPr>
            <w:tcW w:w="1859" w:type="dxa"/>
            <w:tcBorders>
              <w:left w:val="single" w:color="auto" w:sz="4" w:space="0"/>
              <w:right w:val="single" w:color="auto" w:sz="4" w:space="0"/>
            </w:tcBorders>
            <w:vAlign w:val="center"/>
          </w:tcPr>
          <w:p w14:paraId="5093EE74">
            <w:pPr>
              <w:pStyle w:val="15"/>
              <w:spacing w:line="300" w:lineRule="exact"/>
              <w:ind w:firstLine="0" w:firstLineChars="0"/>
              <w:contextualSpacing/>
              <w:jc w:val="center"/>
              <w:rPr>
                <w:rFonts w:ascii="Times New Roman" w:eastAsia="宋体"/>
                <w:color w:val="auto"/>
                <w:kern w:val="2"/>
                <w:sz w:val="21"/>
                <w:szCs w:val="21"/>
                <w:highlight w:val="none"/>
              </w:rPr>
            </w:pPr>
          </w:p>
        </w:tc>
        <w:tc>
          <w:tcPr>
            <w:tcW w:w="2250" w:type="dxa"/>
            <w:tcBorders>
              <w:right w:val="single" w:color="auto" w:sz="4" w:space="0"/>
            </w:tcBorders>
            <w:vAlign w:val="center"/>
          </w:tcPr>
          <w:p w14:paraId="1FEEBE03">
            <w:pPr>
              <w:pStyle w:val="15"/>
              <w:spacing w:line="300" w:lineRule="exact"/>
              <w:ind w:firstLine="0" w:firstLineChars="0"/>
              <w:contextualSpacing/>
              <w:jc w:val="center"/>
              <w:rPr>
                <w:rFonts w:ascii="Times New Roman" w:eastAsia="宋体"/>
                <w:color w:val="auto"/>
                <w:kern w:val="2"/>
                <w:sz w:val="21"/>
                <w:szCs w:val="21"/>
                <w:highlight w:val="none"/>
              </w:rPr>
            </w:pPr>
          </w:p>
        </w:tc>
      </w:tr>
    </w:tbl>
    <w:p w14:paraId="52474E11">
      <w:pPr>
        <w:adjustRightInd w:val="0"/>
        <w:spacing w:line="360" w:lineRule="auto"/>
        <w:contextualSpacing/>
        <w:rPr>
          <w:color w:val="auto"/>
          <w:szCs w:val="21"/>
          <w:highlight w:val="none"/>
        </w:rPr>
      </w:pPr>
    </w:p>
    <w:p w14:paraId="71F97909">
      <w:pPr>
        <w:pStyle w:val="15"/>
        <w:spacing w:line="360" w:lineRule="auto"/>
        <w:ind w:firstLine="0" w:firstLineChars="0"/>
        <w:contextualSpacing/>
        <w:rPr>
          <w:rFonts w:ascii="Times New Roman" w:eastAsia="宋体"/>
          <w:color w:val="auto"/>
          <w:sz w:val="21"/>
          <w:szCs w:val="21"/>
          <w:highlight w:val="none"/>
        </w:rPr>
      </w:pPr>
      <w:r>
        <w:rPr>
          <w:rFonts w:ascii="Times New Roman" w:eastAsia="宋体"/>
          <w:color w:val="auto"/>
          <w:sz w:val="21"/>
          <w:szCs w:val="21"/>
          <w:highlight w:val="none"/>
        </w:rPr>
        <w:t>注：</w:t>
      </w:r>
    </w:p>
    <w:p w14:paraId="41882D4D">
      <w:pPr>
        <w:pStyle w:val="15"/>
        <w:spacing w:line="360" w:lineRule="auto"/>
        <w:ind w:firstLine="420" w:firstLineChars="200"/>
        <w:contextualSpacing/>
        <w:rPr>
          <w:rFonts w:ascii="Times New Roman" w:eastAsia="宋体"/>
          <w:color w:val="auto"/>
          <w:sz w:val="21"/>
          <w:szCs w:val="21"/>
          <w:highlight w:val="none"/>
        </w:rPr>
      </w:pPr>
      <w:r>
        <w:rPr>
          <w:rFonts w:ascii="Times New Roman" w:eastAsia="宋体"/>
          <w:color w:val="auto"/>
          <w:sz w:val="21"/>
          <w:szCs w:val="21"/>
          <w:highlight w:val="none"/>
        </w:rPr>
        <w:t>1．说明：应对照</w:t>
      </w:r>
      <w:r>
        <w:rPr>
          <w:rFonts w:hint="eastAsia" w:ascii="Times New Roman" w:eastAsia="宋体"/>
          <w:color w:val="auto"/>
          <w:sz w:val="21"/>
          <w:szCs w:val="21"/>
          <w:highlight w:val="none"/>
          <w:lang w:eastAsia="zh-CN"/>
        </w:rPr>
        <w:t>招标</w:t>
      </w:r>
      <w:r>
        <w:rPr>
          <w:rFonts w:ascii="Times New Roman" w:eastAsia="宋体"/>
          <w:color w:val="auto"/>
          <w:sz w:val="21"/>
          <w:szCs w:val="21"/>
          <w:highlight w:val="none"/>
        </w:rPr>
        <w:t>文件“第</w:t>
      </w:r>
      <w:r>
        <w:rPr>
          <w:rFonts w:hint="eastAsia" w:ascii="Times New Roman" w:eastAsia="宋体"/>
          <w:color w:val="auto"/>
          <w:sz w:val="21"/>
          <w:szCs w:val="21"/>
          <w:highlight w:val="none"/>
          <w:lang w:eastAsia="zh-CN"/>
        </w:rPr>
        <w:t>二</w:t>
      </w:r>
      <w:r>
        <w:rPr>
          <w:rFonts w:ascii="Times New Roman" w:eastAsia="宋体"/>
          <w:color w:val="auto"/>
          <w:sz w:val="21"/>
          <w:szCs w:val="21"/>
          <w:highlight w:val="none"/>
        </w:rPr>
        <w:t>章 采购需求”中的服务</w:t>
      </w:r>
      <w:r>
        <w:rPr>
          <w:rFonts w:hint="eastAsia" w:ascii="Times New Roman" w:eastAsia="宋体"/>
          <w:color w:val="auto"/>
          <w:sz w:val="21"/>
          <w:szCs w:val="21"/>
          <w:highlight w:val="none"/>
        </w:rPr>
        <w:t>内容及</w:t>
      </w:r>
      <w:r>
        <w:rPr>
          <w:rFonts w:hint="eastAsia" w:ascii="Times New Roman" w:eastAsia="宋体"/>
          <w:color w:val="auto"/>
          <w:sz w:val="21"/>
          <w:szCs w:val="21"/>
          <w:highlight w:val="none"/>
          <w:lang w:eastAsia="zh-CN"/>
        </w:rPr>
        <w:t>要</w:t>
      </w:r>
      <w:r>
        <w:rPr>
          <w:rFonts w:ascii="Times New Roman" w:eastAsia="宋体"/>
          <w:color w:val="auto"/>
          <w:sz w:val="21"/>
          <w:szCs w:val="21"/>
          <w:highlight w:val="none"/>
        </w:rPr>
        <w:t>求作出明确响应，并作出偏离说明。</w:t>
      </w:r>
    </w:p>
    <w:p w14:paraId="2141833B">
      <w:pPr>
        <w:pStyle w:val="15"/>
        <w:spacing w:line="360" w:lineRule="auto"/>
        <w:ind w:firstLine="420" w:firstLineChars="200"/>
        <w:contextualSpacing/>
        <w:rPr>
          <w:rFonts w:ascii="Times New Roman" w:eastAsia="宋体"/>
          <w:color w:val="auto"/>
          <w:sz w:val="21"/>
          <w:szCs w:val="21"/>
          <w:highlight w:val="none"/>
        </w:rPr>
      </w:pPr>
      <w:r>
        <w:rPr>
          <w:rFonts w:ascii="Times New Roman" w:eastAsia="宋体"/>
          <w:color w:val="auto"/>
          <w:sz w:val="21"/>
          <w:szCs w:val="21"/>
          <w:highlight w:val="none"/>
        </w:rPr>
        <w:t>2．</w:t>
      </w:r>
      <w:r>
        <w:rPr>
          <w:rFonts w:hint="eastAsia" w:ascii="Times New Roman" w:eastAsia="宋体"/>
          <w:color w:val="auto"/>
          <w:sz w:val="21"/>
          <w:szCs w:val="21"/>
          <w:highlight w:val="none"/>
          <w:lang w:eastAsia="zh-CN"/>
        </w:rPr>
        <w:t>投标人</w:t>
      </w:r>
      <w:r>
        <w:rPr>
          <w:rFonts w:ascii="Times New Roman" w:eastAsia="宋体"/>
          <w:color w:val="auto"/>
          <w:sz w:val="21"/>
          <w:szCs w:val="21"/>
          <w:highlight w:val="none"/>
        </w:rPr>
        <w:t>应根据自身的承诺，对照</w:t>
      </w:r>
      <w:r>
        <w:rPr>
          <w:rFonts w:hint="eastAsia" w:ascii="Times New Roman" w:eastAsia="宋体"/>
          <w:color w:val="auto"/>
          <w:sz w:val="21"/>
          <w:szCs w:val="21"/>
          <w:highlight w:val="none"/>
          <w:lang w:eastAsia="zh-CN"/>
        </w:rPr>
        <w:t>招标</w:t>
      </w:r>
      <w:r>
        <w:rPr>
          <w:rFonts w:ascii="Times New Roman" w:eastAsia="宋体"/>
          <w:color w:val="auto"/>
          <w:sz w:val="21"/>
          <w:szCs w:val="21"/>
          <w:highlight w:val="none"/>
        </w:rPr>
        <w:t>文件要求，在“偏离说明”中注明“正偏离”、“负偏离”或者“无偏离”。既不属于“正偏离”也不属于“负偏离”即为“无偏离”。</w:t>
      </w:r>
    </w:p>
    <w:p w14:paraId="7E23C0A4">
      <w:pPr>
        <w:pStyle w:val="17"/>
        <w:spacing w:line="360" w:lineRule="auto"/>
        <w:contextualSpacing/>
        <w:rPr>
          <w:rFonts w:ascii="Times New Roman" w:hAnsi="Times New Roman"/>
          <w:color w:val="auto"/>
          <w:sz w:val="21"/>
          <w:highlight w:val="none"/>
        </w:rPr>
      </w:pPr>
    </w:p>
    <w:p w14:paraId="0740160D">
      <w:pPr>
        <w:spacing w:line="360" w:lineRule="auto"/>
        <w:ind w:right="-817" w:rightChars="-389"/>
        <w:contextualSpacing/>
        <w:rPr>
          <w:color w:val="auto"/>
          <w:szCs w:val="21"/>
          <w:highlight w:val="none"/>
        </w:rPr>
      </w:pPr>
    </w:p>
    <w:p w14:paraId="11FF88B5">
      <w:pPr>
        <w:spacing w:line="360" w:lineRule="auto"/>
        <w:ind w:right="-817" w:rightChars="-389" w:firstLine="3150" w:firstLineChars="1500"/>
        <w:contextualSpacing/>
        <w:rPr>
          <w:color w:val="auto"/>
          <w:szCs w:val="21"/>
          <w:highlight w:val="none"/>
          <w:u w:val="single"/>
        </w:rPr>
      </w:pPr>
      <w:r>
        <w:rPr>
          <w:color w:val="auto"/>
          <w:szCs w:val="21"/>
          <w:highlight w:val="none"/>
        </w:rPr>
        <w:t>法定代表人或者委托代理人（签字或电子签名）：</w:t>
      </w:r>
      <w:r>
        <w:rPr>
          <w:color w:val="auto"/>
          <w:szCs w:val="21"/>
          <w:highlight w:val="none"/>
          <w:u w:val="single"/>
        </w:rPr>
        <w:t xml:space="preserve">                </w:t>
      </w:r>
    </w:p>
    <w:p w14:paraId="26FB9A7A">
      <w:pPr>
        <w:spacing w:line="360" w:lineRule="auto"/>
        <w:ind w:right="-817" w:rightChars="-389" w:firstLine="4830" w:firstLineChars="2300"/>
        <w:contextualSpacing/>
        <w:rPr>
          <w:color w:val="auto"/>
          <w:szCs w:val="21"/>
          <w:highlight w:val="none"/>
          <w:u w:val="single"/>
        </w:rPr>
      </w:pPr>
      <w:r>
        <w:rPr>
          <w:rFonts w:hint="eastAsia"/>
          <w:color w:val="auto"/>
          <w:szCs w:val="21"/>
          <w:highlight w:val="none"/>
          <w:lang w:eastAsia="zh-CN"/>
        </w:rPr>
        <w:t>投标人名称</w:t>
      </w:r>
      <w:r>
        <w:rPr>
          <w:color w:val="auto"/>
          <w:szCs w:val="21"/>
          <w:highlight w:val="none"/>
        </w:rPr>
        <w:t>（电子</w:t>
      </w:r>
      <w:r>
        <w:rPr>
          <w:rFonts w:hint="eastAsia"/>
          <w:color w:val="auto"/>
          <w:szCs w:val="21"/>
          <w:highlight w:val="none"/>
          <w:lang w:eastAsia="zh-CN"/>
        </w:rPr>
        <w:t>签</w:t>
      </w:r>
      <w:r>
        <w:rPr>
          <w:color w:val="auto"/>
          <w:szCs w:val="21"/>
          <w:highlight w:val="none"/>
        </w:rPr>
        <w:t>章）：</w:t>
      </w:r>
      <w:r>
        <w:rPr>
          <w:color w:val="auto"/>
          <w:szCs w:val="21"/>
          <w:highlight w:val="none"/>
          <w:u w:val="single"/>
        </w:rPr>
        <w:t xml:space="preserve">                     </w:t>
      </w:r>
    </w:p>
    <w:p w14:paraId="3EA90BAD">
      <w:pPr>
        <w:spacing w:line="360" w:lineRule="auto"/>
        <w:ind w:right="-817" w:rightChars="-389" w:firstLine="5880" w:firstLineChars="2800"/>
        <w:contextualSpacing/>
        <w:rPr>
          <w:color w:val="auto"/>
          <w:szCs w:val="21"/>
          <w:highlight w:val="none"/>
        </w:rPr>
      </w:pPr>
      <w:r>
        <w:rPr>
          <w:color w:val="auto"/>
          <w:szCs w:val="21"/>
          <w:highlight w:val="none"/>
        </w:rPr>
        <w:t xml:space="preserve">   日  </w:t>
      </w:r>
      <w:r>
        <w:rPr>
          <w:rFonts w:hint="eastAsia"/>
          <w:color w:val="auto"/>
          <w:szCs w:val="21"/>
          <w:highlight w:val="none"/>
        </w:rPr>
        <w:t xml:space="preserve">  </w:t>
      </w:r>
      <w:r>
        <w:rPr>
          <w:color w:val="auto"/>
          <w:szCs w:val="21"/>
          <w:highlight w:val="none"/>
        </w:rPr>
        <w:t>期：</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14:paraId="6484B7A6">
      <w:pPr>
        <w:snapToGrid w:val="0"/>
        <w:spacing w:before="156" w:beforeLines="50" w:after="50"/>
        <w:ind w:left="142"/>
        <w:jc w:val="left"/>
        <w:rPr>
          <w:rFonts w:ascii="宋体" w:hAnsi="宋体"/>
          <w:b/>
          <w:color w:val="auto"/>
          <w:sz w:val="24"/>
          <w:highlight w:val="none"/>
        </w:rPr>
      </w:pPr>
      <w:r>
        <w:rPr>
          <w:rFonts w:ascii="宋体" w:hAnsi="宋体" w:cs="仿宋_GB2312"/>
          <w:color w:val="auto"/>
          <w:sz w:val="24"/>
          <w:highlight w:val="none"/>
        </w:rPr>
        <w:br w:type="page"/>
      </w:r>
      <w:r>
        <w:rPr>
          <w:rFonts w:hint="eastAsia" w:ascii="宋体" w:hAnsi="宋体"/>
          <w:b/>
          <w:color w:val="auto"/>
          <w:sz w:val="24"/>
          <w:highlight w:val="none"/>
        </w:rPr>
        <w:t>项目实施人员一览表格式</w:t>
      </w:r>
    </w:p>
    <w:p w14:paraId="63FEB4DE">
      <w:pPr>
        <w:snapToGrid w:val="0"/>
        <w:spacing w:before="156" w:beforeLines="50" w:after="50"/>
        <w:ind w:left="142"/>
        <w:jc w:val="left"/>
        <w:rPr>
          <w:rFonts w:ascii="宋体" w:hAnsi="宋体"/>
          <w:b/>
          <w:color w:val="auto"/>
          <w:sz w:val="24"/>
          <w:highlight w:val="none"/>
        </w:rPr>
      </w:pPr>
    </w:p>
    <w:p w14:paraId="396CC27D">
      <w:pPr>
        <w:adjustRightInd w:val="0"/>
        <w:snapToGrid w:val="0"/>
        <w:spacing w:line="300" w:lineRule="auto"/>
        <w:jc w:val="center"/>
        <w:rPr>
          <w:b/>
          <w:bCs/>
          <w:color w:val="auto"/>
          <w:sz w:val="36"/>
          <w:szCs w:val="36"/>
          <w:highlight w:val="none"/>
        </w:rPr>
      </w:pPr>
      <w:r>
        <w:rPr>
          <w:rFonts w:hint="eastAsia"/>
          <w:b/>
          <w:bCs/>
          <w:color w:val="auto"/>
          <w:sz w:val="36"/>
          <w:szCs w:val="36"/>
          <w:highlight w:val="none"/>
        </w:rPr>
        <w:t>项目实施人员一览表</w:t>
      </w:r>
    </w:p>
    <w:p w14:paraId="4FA22A69">
      <w:pPr>
        <w:pStyle w:val="7"/>
        <w:rPr>
          <w:color w:val="auto"/>
          <w:highlight w:val="none"/>
        </w:rPr>
      </w:pPr>
    </w:p>
    <w:tbl>
      <w:tblPr>
        <w:tblStyle w:val="32"/>
        <w:tblW w:w="9609" w:type="dxa"/>
        <w:tblInd w:w="8" w:type="dxa"/>
        <w:tblLayout w:type="fixed"/>
        <w:tblCellMar>
          <w:top w:w="0" w:type="dxa"/>
          <w:left w:w="108" w:type="dxa"/>
          <w:bottom w:w="0" w:type="dxa"/>
          <w:right w:w="108" w:type="dxa"/>
        </w:tblCellMar>
      </w:tblPr>
      <w:tblGrid>
        <w:gridCol w:w="520"/>
        <w:gridCol w:w="1276"/>
        <w:gridCol w:w="733"/>
        <w:gridCol w:w="2627"/>
        <w:gridCol w:w="1266"/>
        <w:gridCol w:w="1454"/>
        <w:gridCol w:w="1733"/>
      </w:tblGrid>
      <w:tr w14:paraId="4864D871">
        <w:tblPrEx>
          <w:tblCellMar>
            <w:top w:w="0" w:type="dxa"/>
            <w:left w:w="108" w:type="dxa"/>
            <w:bottom w:w="0" w:type="dxa"/>
            <w:right w:w="108" w:type="dxa"/>
          </w:tblCellMar>
        </w:tblPrEx>
        <w:trPr>
          <w:trHeight w:val="1123" w:hRule="atLeast"/>
        </w:trPr>
        <w:tc>
          <w:tcPr>
            <w:tcW w:w="520" w:type="dxa"/>
            <w:tcBorders>
              <w:top w:val="single" w:color="auto" w:sz="6" w:space="0"/>
              <w:left w:val="single" w:color="auto" w:sz="6" w:space="0"/>
              <w:bottom w:val="single" w:color="auto" w:sz="6" w:space="0"/>
              <w:right w:val="single" w:color="auto" w:sz="6" w:space="0"/>
            </w:tcBorders>
            <w:vAlign w:val="center"/>
          </w:tcPr>
          <w:p w14:paraId="09452D0D">
            <w:pPr>
              <w:autoSpaceDE w:val="0"/>
              <w:autoSpaceDN w:val="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76" w:type="dxa"/>
            <w:tcBorders>
              <w:top w:val="single" w:color="auto" w:sz="6" w:space="0"/>
              <w:left w:val="single" w:color="auto" w:sz="6" w:space="0"/>
              <w:bottom w:val="single" w:color="auto" w:sz="6" w:space="0"/>
              <w:right w:val="single" w:color="auto" w:sz="6" w:space="0"/>
            </w:tcBorders>
            <w:vAlign w:val="center"/>
          </w:tcPr>
          <w:p w14:paraId="4A3664C5">
            <w:pPr>
              <w:autoSpaceDE w:val="0"/>
              <w:autoSpaceDN w:val="0"/>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733" w:type="dxa"/>
            <w:tcBorders>
              <w:top w:val="single" w:color="auto" w:sz="6" w:space="0"/>
              <w:left w:val="single" w:color="auto" w:sz="6" w:space="0"/>
              <w:bottom w:val="single" w:color="auto" w:sz="6" w:space="0"/>
              <w:right w:val="single" w:color="auto" w:sz="6" w:space="0"/>
            </w:tcBorders>
            <w:vAlign w:val="center"/>
          </w:tcPr>
          <w:p w14:paraId="63EF5377">
            <w:pPr>
              <w:spacing w:line="320" w:lineRule="exact"/>
              <w:contextualSpacing/>
              <w:jc w:val="center"/>
              <w:rPr>
                <w:rFonts w:ascii="宋体" w:hAnsi="宋体" w:cs="宋体"/>
                <w:color w:val="auto"/>
                <w:szCs w:val="21"/>
                <w:highlight w:val="none"/>
              </w:rPr>
            </w:pPr>
            <w:r>
              <w:rPr>
                <w:rFonts w:hint="eastAsia" w:ascii="宋体" w:hAnsi="宋体"/>
                <w:color w:val="auto"/>
                <w:szCs w:val="21"/>
                <w:highlight w:val="none"/>
              </w:rPr>
              <w:t>职务</w:t>
            </w:r>
          </w:p>
        </w:tc>
        <w:tc>
          <w:tcPr>
            <w:tcW w:w="2627" w:type="dxa"/>
            <w:tcBorders>
              <w:top w:val="single" w:color="auto" w:sz="6" w:space="0"/>
              <w:left w:val="single" w:color="auto" w:sz="6" w:space="0"/>
              <w:bottom w:val="single" w:color="auto" w:sz="6" w:space="0"/>
              <w:right w:val="single" w:color="auto" w:sz="6" w:space="0"/>
            </w:tcBorders>
            <w:vAlign w:val="center"/>
          </w:tcPr>
          <w:p w14:paraId="74FE7E47">
            <w:pPr>
              <w:spacing w:line="320" w:lineRule="exact"/>
              <w:contextualSpacing/>
              <w:jc w:val="center"/>
              <w:rPr>
                <w:rFonts w:ascii="宋体" w:hAnsi="宋体"/>
                <w:color w:val="auto"/>
                <w:szCs w:val="21"/>
                <w:highlight w:val="none"/>
              </w:rPr>
            </w:pPr>
            <w:r>
              <w:rPr>
                <w:rFonts w:hint="eastAsia" w:ascii="宋体" w:hAnsi="宋体"/>
                <w:color w:val="auto"/>
                <w:szCs w:val="21"/>
                <w:highlight w:val="none"/>
              </w:rPr>
              <w:t>专业技术资格（职称）或者职业资格或者执业资格证或者其他证书</w:t>
            </w:r>
          </w:p>
        </w:tc>
        <w:tc>
          <w:tcPr>
            <w:tcW w:w="1266" w:type="dxa"/>
            <w:tcBorders>
              <w:top w:val="single" w:color="auto" w:sz="6" w:space="0"/>
              <w:left w:val="single" w:color="auto" w:sz="6" w:space="0"/>
              <w:bottom w:val="single" w:color="auto" w:sz="6" w:space="0"/>
              <w:right w:val="single" w:color="auto" w:sz="6" w:space="0"/>
            </w:tcBorders>
            <w:vAlign w:val="center"/>
          </w:tcPr>
          <w:p w14:paraId="17433F0D">
            <w:pPr>
              <w:spacing w:line="320" w:lineRule="exact"/>
              <w:contextualSpacing/>
              <w:jc w:val="center"/>
              <w:rPr>
                <w:rFonts w:ascii="宋体" w:hAnsi="宋体" w:cs="宋体"/>
                <w:color w:val="auto"/>
                <w:szCs w:val="21"/>
                <w:highlight w:val="none"/>
              </w:rPr>
            </w:pPr>
            <w:r>
              <w:rPr>
                <w:rFonts w:hint="eastAsia" w:ascii="宋体" w:hAnsi="宋体"/>
                <w:color w:val="auto"/>
                <w:szCs w:val="21"/>
                <w:highlight w:val="none"/>
              </w:rPr>
              <w:t>证书编号</w:t>
            </w:r>
          </w:p>
        </w:tc>
        <w:tc>
          <w:tcPr>
            <w:tcW w:w="1454" w:type="dxa"/>
            <w:tcBorders>
              <w:top w:val="single" w:color="auto" w:sz="6" w:space="0"/>
              <w:left w:val="single" w:color="auto" w:sz="6" w:space="0"/>
              <w:bottom w:val="single" w:color="auto" w:sz="6" w:space="0"/>
              <w:right w:val="single" w:color="auto" w:sz="6" w:space="0"/>
            </w:tcBorders>
            <w:vAlign w:val="center"/>
          </w:tcPr>
          <w:p w14:paraId="72F333EE">
            <w:pPr>
              <w:spacing w:line="320" w:lineRule="exact"/>
              <w:contextualSpacing/>
              <w:jc w:val="center"/>
              <w:rPr>
                <w:rFonts w:ascii="宋体" w:hAnsi="宋体"/>
                <w:color w:val="auto"/>
                <w:szCs w:val="21"/>
                <w:highlight w:val="none"/>
              </w:rPr>
            </w:pPr>
            <w:r>
              <w:rPr>
                <w:rFonts w:hint="eastAsia" w:ascii="宋体" w:hAnsi="宋体"/>
                <w:color w:val="auto"/>
                <w:szCs w:val="21"/>
                <w:highlight w:val="none"/>
              </w:rPr>
              <w:t>参加本单位</w:t>
            </w:r>
          </w:p>
          <w:p w14:paraId="1493B835">
            <w:pPr>
              <w:spacing w:line="320" w:lineRule="exact"/>
              <w:contextualSpacing/>
              <w:jc w:val="center"/>
              <w:rPr>
                <w:rFonts w:ascii="宋体" w:hAnsi="宋体" w:cs="宋体"/>
                <w:color w:val="auto"/>
                <w:szCs w:val="21"/>
                <w:highlight w:val="none"/>
              </w:rPr>
            </w:pPr>
            <w:r>
              <w:rPr>
                <w:rFonts w:hint="eastAsia" w:ascii="宋体" w:hAnsi="宋体"/>
                <w:color w:val="auto"/>
                <w:szCs w:val="21"/>
                <w:highlight w:val="none"/>
              </w:rPr>
              <w:t>工作时间</w:t>
            </w:r>
          </w:p>
        </w:tc>
        <w:tc>
          <w:tcPr>
            <w:tcW w:w="1733" w:type="dxa"/>
            <w:tcBorders>
              <w:top w:val="single" w:color="auto" w:sz="6" w:space="0"/>
              <w:left w:val="single" w:color="auto" w:sz="6" w:space="0"/>
              <w:bottom w:val="single" w:color="auto" w:sz="6" w:space="0"/>
              <w:right w:val="single" w:color="auto" w:sz="6" w:space="0"/>
            </w:tcBorders>
            <w:vAlign w:val="center"/>
          </w:tcPr>
          <w:p w14:paraId="09D640E7">
            <w:pPr>
              <w:spacing w:line="320" w:lineRule="exact"/>
              <w:contextualSpacing/>
              <w:jc w:val="center"/>
              <w:rPr>
                <w:rFonts w:ascii="宋体" w:hAnsi="宋体" w:cs="宋体"/>
                <w:color w:val="auto"/>
                <w:szCs w:val="21"/>
                <w:highlight w:val="none"/>
              </w:rPr>
            </w:pPr>
            <w:r>
              <w:rPr>
                <w:rFonts w:hint="eastAsia" w:ascii="宋体" w:hAnsi="宋体"/>
                <w:color w:val="auto"/>
                <w:szCs w:val="21"/>
                <w:highlight w:val="none"/>
              </w:rPr>
              <w:t>劳动合同编号</w:t>
            </w:r>
          </w:p>
        </w:tc>
      </w:tr>
      <w:tr w14:paraId="3CD9A151">
        <w:tblPrEx>
          <w:tblCellMar>
            <w:top w:w="0" w:type="dxa"/>
            <w:left w:w="108" w:type="dxa"/>
            <w:bottom w:w="0" w:type="dxa"/>
            <w:right w:w="108" w:type="dxa"/>
          </w:tblCellMar>
        </w:tblPrEx>
        <w:trPr>
          <w:trHeight w:val="479" w:hRule="atLeast"/>
        </w:trPr>
        <w:tc>
          <w:tcPr>
            <w:tcW w:w="520" w:type="dxa"/>
            <w:tcBorders>
              <w:top w:val="single" w:color="auto" w:sz="6" w:space="0"/>
              <w:left w:val="single" w:color="auto" w:sz="6" w:space="0"/>
              <w:bottom w:val="single" w:color="auto" w:sz="6" w:space="0"/>
              <w:right w:val="single" w:color="auto" w:sz="6" w:space="0"/>
            </w:tcBorders>
          </w:tcPr>
          <w:p w14:paraId="759DA47F">
            <w:pPr>
              <w:autoSpaceDE w:val="0"/>
              <w:autoSpaceDN w:val="0"/>
              <w:spacing w:line="400" w:lineRule="exact"/>
              <w:jc w:val="center"/>
              <w:rPr>
                <w:rFonts w:ascii="宋体" w:hAnsi="宋体" w:cs="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0F43B3F0">
            <w:pPr>
              <w:autoSpaceDE w:val="0"/>
              <w:autoSpaceDN w:val="0"/>
              <w:spacing w:line="400" w:lineRule="exact"/>
              <w:rPr>
                <w:rFonts w:ascii="宋体" w:hAnsi="宋体" w:cs="宋体"/>
                <w:color w:val="auto"/>
                <w:szCs w:val="21"/>
                <w:highlight w:val="none"/>
              </w:rPr>
            </w:pPr>
          </w:p>
        </w:tc>
        <w:tc>
          <w:tcPr>
            <w:tcW w:w="733" w:type="dxa"/>
            <w:tcBorders>
              <w:top w:val="single" w:color="auto" w:sz="6" w:space="0"/>
              <w:left w:val="single" w:color="auto" w:sz="6" w:space="0"/>
              <w:bottom w:val="single" w:color="auto" w:sz="6" w:space="0"/>
              <w:right w:val="single" w:color="auto" w:sz="6" w:space="0"/>
            </w:tcBorders>
          </w:tcPr>
          <w:p w14:paraId="0B5ECA23">
            <w:pPr>
              <w:autoSpaceDE w:val="0"/>
              <w:autoSpaceDN w:val="0"/>
              <w:spacing w:line="400" w:lineRule="exact"/>
              <w:rPr>
                <w:rFonts w:ascii="宋体" w:hAnsi="宋体" w:cs="宋体"/>
                <w:color w:val="auto"/>
                <w:szCs w:val="21"/>
                <w:highlight w:val="none"/>
              </w:rPr>
            </w:pPr>
          </w:p>
        </w:tc>
        <w:tc>
          <w:tcPr>
            <w:tcW w:w="2627" w:type="dxa"/>
            <w:tcBorders>
              <w:top w:val="single" w:color="auto" w:sz="6" w:space="0"/>
              <w:left w:val="single" w:color="auto" w:sz="6" w:space="0"/>
              <w:bottom w:val="single" w:color="auto" w:sz="6" w:space="0"/>
              <w:right w:val="single" w:color="auto" w:sz="6" w:space="0"/>
            </w:tcBorders>
          </w:tcPr>
          <w:p w14:paraId="24B45F90">
            <w:pPr>
              <w:autoSpaceDE w:val="0"/>
              <w:autoSpaceDN w:val="0"/>
              <w:spacing w:line="400" w:lineRule="exact"/>
              <w:rPr>
                <w:rFonts w:ascii="宋体" w:hAnsi="宋体" w:cs="宋体"/>
                <w:color w:val="auto"/>
                <w:szCs w:val="21"/>
                <w:highlight w:val="none"/>
              </w:rPr>
            </w:pPr>
          </w:p>
        </w:tc>
        <w:tc>
          <w:tcPr>
            <w:tcW w:w="1266" w:type="dxa"/>
            <w:tcBorders>
              <w:top w:val="single" w:color="auto" w:sz="6" w:space="0"/>
              <w:left w:val="single" w:color="auto" w:sz="6" w:space="0"/>
              <w:bottom w:val="single" w:color="auto" w:sz="6" w:space="0"/>
              <w:right w:val="single" w:color="auto" w:sz="6" w:space="0"/>
            </w:tcBorders>
          </w:tcPr>
          <w:p w14:paraId="5E5BF000">
            <w:pPr>
              <w:autoSpaceDE w:val="0"/>
              <w:autoSpaceDN w:val="0"/>
              <w:spacing w:line="400" w:lineRule="exact"/>
              <w:rPr>
                <w:rFonts w:ascii="宋体" w:hAnsi="宋体" w:cs="宋体"/>
                <w:color w:val="auto"/>
                <w:szCs w:val="21"/>
                <w:highlight w:val="none"/>
              </w:rPr>
            </w:pPr>
          </w:p>
        </w:tc>
        <w:tc>
          <w:tcPr>
            <w:tcW w:w="1454" w:type="dxa"/>
            <w:tcBorders>
              <w:top w:val="single" w:color="auto" w:sz="6" w:space="0"/>
              <w:left w:val="single" w:color="auto" w:sz="6" w:space="0"/>
              <w:bottom w:val="single" w:color="auto" w:sz="6" w:space="0"/>
              <w:right w:val="single" w:color="auto" w:sz="6" w:space="0"/>
            </w:tcBorders>
          </w:tcPr>
          <w:p w14:paraId="4819CB82">
            <w:pPr>
              <w:autoSpaceDE w:val="0"/>
              <w:autoSpaceDN w:val="0"/>
              <w:spacing w:line="400" w:lineRule="exact"/>
              <w:rPr>
                <w:rFonts w:ascii="宋体" w:hAnsi="宋体" w:cs="宋体"/>
                <w:color w:val="auto"/>
                <w:szCs w:val="21"/>
                <w:highlight w:val="none"/>
              </w:rPr>
            </w:pPr>
          </w:p>
        </w:tc>
        <w:tc>
          <w:tcPr>
            <w:tcW w:w="1733" w:type="dxa"/>
            <w:tcBorders>
              <w:top w:val="single" w:color="auto" w:sz="6" w:space="0"/>
              <w:left w:val="single" w:color="auto" w:sz="6" w:space="0"/>
              <w:bottom w:val="single" w:color="auto" w:sz="6" w:space="0"/>
              <w:right w:val="single" w:color="auto" w:sz="6" w:space="0"/>
            </w:tcBorders>
          </w:tcPr>
          <w:p w14:paraId="65EBADF0">
            <w:pPr>
              <w:autoSpaceDE w:val="0"/>
              <w:autoSpaceDN w:val="0"/>
              <w:spacing w:line="400" w:lineRule="exact"/>
              <w:rPr>
                <w:rFonts w:ascii="宋体" w:hAnsi="宋体" w:cs="宋体"/>
                <w:color w:val="auto"/>
                <w:szCs w:val="21"/>
                <w:highlight w:val="none"/>
              </w:rPr>
            </w:pPr>
          </w:p>
        </w:tc>
      </w:tr>
      <w:tr w14:paraId="3C57850D">
        <w:tblPrEx>
          <w:tblCellMar>
            <w:top w:w="0" w:type="dxa"/>
            <w:left w:w="108" w:type="dxa"/>
            <w:bottom w:w="0" w:type="dxa"/>
            <w:right w:w="108" w:type="dxa"/>
          </w:tblCellMar>
        </w:tblPrEx>
        <w:trPr>
          <w:trHeight w:val="473" w:hRule="atLeast"/>
        </w:trPr>
        <w:tc>
          <w:tcPr>
            <w:tcW w:w="520" w:type="dxa"/>
            <w:tcBorders>
              <w:top w:val="single" w:color="auto" w:sz="6" w:space="0"/>
              <w:left w:val="single" w:color="auto" w:sz="6" w:space="0"/>
              <w:bottom w:val="single" w:color="auto" w:sz="6" w:space="0"/>
              <w:right w:val="single" w:color="auto" w:sz="6" w:space="0"/>
            </w:tcBorders>
          </w:tcPr>
          <w:p w14:paraId="6D1948B7">
            <w:pPr>
              <w:autoSpaceDE w:val="0"/>
              <w:autoSpaceDN w:val="0"/>
              <w:spacing w:line="400" w:lineRule="exact"/>
              <w:jc w:val="center"/>
              <w:rPr>
                <w:rFonts w:ascii="宋体" w:hAnsi="宋体" w:cs="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695482B2">
            <w:pPr>
              <w:autoSpaceDE w:val="0"/>
              <w:autoSpaceDN w:val="0"/>
              <w:spacing w:line="400" w:lineRule="exact"/>
              <w:rPr>
                <w:rFonts w:ascii="宋体" w:hAnsi="宋体" w:cs="宋体"/>
                <w:color w:val="auto"/>
                <w:szCs w:val="21"/>
                <w:highlight w:val="none"/>
              </w:rPr>
            </w:pPr>
          </w:p>
        </w:tc>
        <w:tc>
          <w:tcPr>
            <w:tcW w:w="733" w:type="dxa"/>
            <w:tcBorders>
              <w:top w:val="single" w:color="auto" w:sz="6" w:space="0"/>
              <w:left w:val="single" w:color="auto" w:sz="6" w:space="0"/>
              <w:bottom w:val="single" w:color="auto" w:sz="6" w:space="0"/>
              <w:right w:val="single" w:color="auto" w:sz="6" w:space="0"/>
            </w:tcBorders>
          </w:tcPr>
          <w:p w14:paraId="2AB7D6C1">
            <w:pPr>
              <w:autoSpaceDE w:val="0"/>
              <w:autoSpaceDN w:val="0"/>
              <w:spacing w:line="400" w:lineRule="exact"/>
              <w:rPr>
                <w:rFonts w:ascii="宋体" w:hAnsi="宋体" w:cs="宋体"/>
                <w:color w:val="auto"/>
                <w:szCs w:val="21"/>
                <w:highlight w:val="none"/>
              </w:rPr>
            </w:pPr>
          </w:p>
        </w:tc>
        <w:tc>
          <w:tcPr>
            <w:tcW w:w="2627" w:type="dxa"/>
            <w:tcBorders>
              <w:top w:val="single" w:color="auto" w:sz="6" w:space="0"/>
              <w:left w:val="single" w:color="auto" w:sz="6" w:space="0"/>
              <w:bottom w:val="single" w:color="auto" w:sz="6" w:space="0"/>
              <w:right w:val="single" w:color="auto" w:sz="6" w:space="0"/>
            </w:tcBorders>
          </w:tcPr>
          <w:p w14:paraId="214D626F">
            <w:pPr>
              <w:autoSpaceDE w:val="0"/>
              <w:autoSpaceDN w:val="0"/>
              <w:spacing w:line="400" w:lineRule="exact"/>
              <w:rPr>
                <w:rFonts w:ascii="宋体" w:hAnsi="宋体" w:cs="宋体"/>
                <w:color w:val="auto"/>
                <w:szCs w:val="21"/>
                <w:highlight w:val="none"/>
              </w:rPr>
            </w:pPr>
          </w:p>
        </w:tc>
        <w:tc>
          <w:tcPr>
            <w:tcW w:w="1266" w:type="dxa"/>
            <w:tcBorders>
              <w:top w:val="single" w:color="auto" w:sz="6" w:space="0"/>
              <w:left w:val="single" w:color="auto" w:sz="6" w:space="0"/>
              <w:bottom w:val="single" w:color="auto" w:sz="6" w:space="0"/>
              <w:right w:val="single" w:color="auto" w:sz="6" w:space="0"/>
            </w:tcBorders>
          </w:tcPr>
          <w:p w14:paraId="6AE1F2D8">
            <w:pPr>
              <w:autoSpaceDE w:val="0"/>
              <w:autoSpaceDN w:val="0"/>
              <w:spacing w:line="400" w:lineRule="exact"/>
              <w:rPr>
                <w:rFonts w:ascii="宋体" w:hAnsi="宋体" w:cs="宋体"/>
                <w:color w:val="auto"/>
                <w:szCs w:val="21"/>
                <w:highlight w:val="none"/>
              </w:rPr>
            </w:pPr>
          </w:p>
        </w:tc>
        <w:tc>
          <w:tcPr>
            <w:tcW w:w="1454" w:type="dxa"/>
            <w:tcBorders>
              <w:top w:val="single" w:color="auto" w:sz="6" w:space="0"/>
              <w:left w:val="single" w:color="auto" w:sz="6" w:space="0"/>
              <w:bottom w:val="single" w:color="auto" w:sz="6" w:space="0"/>
              <w:right w:val="single" w:color="auto" w:sz="6" w:space="0"/>
            </w:tcBorders>
          </w:tcPr>
          <w:p w14:paraId="1AA13DE5">
            <w:pPr>
              <w:autoSpaceDE w:val="0"/>
              <w:autoSpaceDN w:val="0"/>
              <w:spacing w:line="400" w:lineRule="exact"/>
              <w:rPr>
                <w:rFonts w:ascii="宋体" w:hAnsi="宋体" w:cs="宋体"/>
                <w:color w:val="auto"/>
                <w:szCs w:val="21"/>
                <w:highlight w:val="none"/>
              </w:rPr>
            </w:pPr>
          </w:p>
        </w:tc>
        <w:tc>
          <w:tcPr>
            <w:tcW w:w="1733" w:type="dxa"/>
            <w:tcBorders>
              <w:top w:val="single" w:color="auto" w:sz="6" w:space="0"/>
              <w:left w:val="single" w:color="auto" w:sz="6" w:space="0"/>
              <w:bottom w:val="single" w:color="auto" w:sz="6" w:space="0"/>
              <w:right w:val="single" w:color="auto" w:sz="6" w:space="0"/>
            </w:tcBorders>
          </w:tcPr>
          <w:p w14:paraId="462B0D95">
            <w:pPr>
              <w:autoSpaceDE w:val="0"/>
              <w:autoSpaceDN w:val="0"/>
              <w:spacing w:line="400" w:lineRule="exact"/>
              <w:rPr>
                <w:rFonts w:ascii="宋体" w:hAnsi="宋体" w:cs="宋体"/>
                <w:color w:val="auto"/>
                <w:szCs w:val="21"/>
                <w:highlight w:val="none"/>
              </w:rPr>
            </w:pPr>
          </w:p>
        </w:tc>
      </w:tr>
      <w:tr w14:paraId="6A1252DB">
        <w:tblPrEx>
          <w:tblCellMar>
            <w:top w:w="0" w:type="dxa"/>
            <w:left w:w="108" w:type="dxa"/>
            <w:bottom w:w="0" w:type="dxa"/>
            <w:right w:w="108" w:type="dxa"/>
          </w:tblCellMar>
        </w:tblPrEx>
        <w:trPr>
          <w:trHeight w:val="473" w:hRule="atLeast"/>
        </w:trPr>
        <w:tc>
          <w:tcPr>
            <w:tcW w:w="520" w:type="dxa"/>
            <w:tcBorders>
              <w:top w:val="single" w:color="auto" w:sz="6" w:space="0"/>
              <w:left w:val="single" w:color="auto" w:sz="6" w:space="0"/>
              <w:bottom w:val="single" w:color="auto" w:sz="6" w:space="0"/>
              <w:right w:val="single" w:color="auto" w:sz="6" w:space="0"/>
            </w:tcBorders>
          </w:tcPr>
          <w:p w14:paraId="28E277AD">
            <w:pPr>
              <w:autoSpaceDE w:val="0"/>
              <w:autoSpaceDN w:val="0"/>
              <w:spacing w:line="400" w:lineRule="exact"/>
              <w:jc w:val="center"/>
              <w:rPr>
                <w:rFonts w:ascii="宋体" w:hAnsi="宋体" w:cs="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2BA46A43">
            <w:pPr>
              <w:autoSpaceDE w:val="0"/>
              <w:autoSpaceDN w:val="0"/>
              <w:spacing w:line="400" w:lineRule="exact"/>
              <w:rPr>
                <w:rFonts w:ascii="宋体" w:hAnsi="宋体" w:cs="宋体"/>
                <w:color w:val="auto"/>
                <w:szCs w:val="21"/>
                <w:highlight w:val="none"/>
              </w:rPr>
            </w:pPr>
          </w:p>
        </w:tc>
        <w:tc>
          <w:tcPr>
            <w:tcW w:w="733" w:type="dxa"/>
            <w:tcBorders>
              <w:top w:val="single" w:color="auto" w:sz="6" w:space="0"/>
              <w:left w:val="single" w:color="auto" w:sz="6" w:space="0"/>
              <w:bottom w:val="single" w:color="auto" w:sz="6" w:space="0"/>
              <w:right w:val="single" w:color="auto" w:sz="6" w:space="0"/>
            </w:tcBorders>
          </w:tcPr>
          <w:p w14:paraId="74735522">
            <w:pPr>
              <w:autoSpaceDE w:val="0"/>
              <w:autoSpaceDN w:val="0"/>
              <w:spacing w:line="400" w:lineRule="exact"/>
              <w:rPr>
                <w:rFonts w:ascii="宋体" w:hAnsi="宋体" w:cs="宋体"/>
                <w:color w:val="auto"/>
                <w:szCs w:val="21"/>
                <w:highlight w:val="none"/>
              </w:rPr>
            </w:pPr>
          </w:p>
        </w:tc>
        <w:tc>
          <w:tcPr>
            <w:tcW w:w="2627" w:type="dxa"/>
            <w:tcBorders>
              <w:top w:val="single" w:color="auto" w:sz="6" w:space="0"/>
              <w:left w:val="single" w:color="auto" w:sz="6" w:space="0"/>
              <w:bottom w:val="single" w:color="auto" w:sz="6" w:space="0"/>
              <w:right w:val="single" w:color="auto" w:sz="6" w:space="0"/>
            </w:tcBorders>
          </w:tcPr>
          <w:p w14:paraId="5CD6C9CC">
            <w:pPr>
              <w:autoSpaceDE w:val="0"/>
              <w:autoSpaceDN w:val="0"/>
              <w:spacing w:line="400" w:lineRule="exact"/>
              <w:rPr>
                <w:rFonts w:ascii="宋体" w:hAnsi="宋体" w:cs="宋体"/>
                <w:color w:val="auto"/>
                <w:szCs w:val="21"/>
                <w:highlight w:val="none"/>
              </w:rPr>
            </w:pPr>
          </w:p>
        </w:tc>
        <w:tc>
          <w:tcPr>
            <w:tcW w:w="1266" w:type="dxa"/>
            <w:tcBorders>
              <w:top w:val="single" w:color="auto" w:sz="6" w:space="0"/>
              <w:left w:val="single" w:color="auto" w:sz="6" w:space="0"/>
              <w:bottom w:val="single" w:color="auto" w:sz="6" w:space="0"/>
              <w:right w:val="single" w:color="auto" w:sz="6" w:space="0"/>
            </w:tcBorders>
          </w:tcPr>
          <w:p w14:paraId="3179A281">
            <w:pPr>
              <w:autoSpaceDE w:val="0"/>
              <w:autoSpaceDN w:val="0"/>
              <w:spacing w:line="400" w:lineRule="exact"/>
              <w:rPr>
                <w:rFonts w:ascii="宋体" w:hAnsi="宋体" w:cs="宋体"/>
                <w:color w:val="auto"/>
                <w:szCs w:val="21"/>
                <w:highlight w:val="none"/>
              </w:rPr>
            </w:pPr>
          </w:p>
        </w:tc>
        <w:tc>
          <w:tcPr>
            <w:tcW w:w="1454" w:type="dxa"/>
            <w:tcBorders>
              <w:top w:val="single" w:color="auto" w:sz="6" w:space="0"/>
              <w:left w:val="single" w:color="auto" w:sz="6" w:space="0"/>
              <w:bottom w:val="single" w:color="auto" w:sz="6" w:space="0"/>
              <w:right w:val="single" w:color="auto" w:sz="6" w:space="0"/>
            </w:tcBorders>
          </w:tcPr>
          <w:p w14:paraId="6A4E033B">
            <w:pPr>
              <w:autoSpaceDE w:val="0"/>
              <w:autoSpaceDN w:val="0"/>
              <w:spacing w:line="400" w:lineRule="exact"/>
              <w:rPr>
                <w:rFonts w:ascii="宋体" w:hAnsi="宋体" w:cs="宋体"/>
                <w:color w:val="auto"/>
                <w:szCs w:val="21"/>
                <w:highlight w:val="none"/>
              </w:rPr>
            </w:pPr>
          </w:p>
        </w:tc>
        <w:tc>
          <w:tcPr>
            <w:tcW w:w="1733" w:type="dxa"/>
            <w:tcBorders>
              <w:top w:val="single" w:color="auto" w:sz="6" w:space="0"/>
              <w:left w:val="single" w:color="auto" w:sz="6" w:space="0"/>
              <w:bottom w:val="single" w:color="auto" w:sz="6" w:space="0"/>
              <w:right w:val="single" w:color="auto" w:sz="6" w:space="0"/>
            </w:tcBorders>
          </w:tcPr>
          <w:p w14:paraId="5A6F0BD3">
            <w:pPr>
              <w:autoSpaceDE w:val="0"/>
              <w:autoSpaceDN w:val="0"/>
              <w:spacing w:line="400" w:lineRule="exact"/>
              <w:rPr>
                <w:rFonts w:ascii="宋体" w:hAnsi="宋体" w:cs="宋体"/>
                <w:color w:val="auto"/>
                <w:szCs w:val="21"/>
                <w:highlight w:val="none"/>
              </w:rPr>
            </w:pPr>
          </w:p>
        </w:tc>
      </w:tr>
      <w:tr w14:paraId="4CD44DC7">
        <w:tblPrEx>
          <w:tblCellMar>
            <w:top w:w="0" w:type="dxa"/>
            <w:left w:w="108" w:type="dxa"/>
            <w:bottom w:w="0" w:type="dxa"/>
            <w:right w:w="108" w:type="dxa"/>
          </w:tblCellMar>
        </w:tblPrEx>
        <w:trPr>
          <w:trHeight w:val="473" w:hRule="atLeast"/>
        </w:trPr>
        <w:tc>
          <w:tcPr>
            <w:tcW w:w="520" w:type="dxa"/>
            <w:tcBorders>
              <w:top w:val="single" w:color="auto" w:sz="6" w:space="0"/>
              <w:left w:val="single" w:color="auto" w:sz="6" w:space="0"/>
              <w:bottom w:val="single" w:color="auto" w:sz="6" w:space="0"/>
              <w:right w:val="single" w:color="auto" w:sz="6" w:space="0"/>
            </w:tcBorders>
          </w:tcPr>
          <w:p w14:paraId="457641B0">
            <w:pPr>
              <w:autoSpaceDE w:val="0"/>
              <w:autoSpaceDN w:val="0"/>
              <w:spacing w:line="400" w:lineRule="exact"/>
              <w:jc w:val="center"/>
              <w:rPr>
                <w:rFonts w:ascii="宋体" w:hAnsi="宋体" w:cs="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47422614">
            <w:pPr>
              <w:autoSpaceDE w:val="0"/>
              <w:autoSpaceDN w:val="0"/>
              <w:spacing w:line="400" w:lineRule="exact"/>
              <w:rPr>
                <w:rFonts w:ascii="宋体" w:hAnsi="宋体" w:cs="宋体"/>
                <w:color w:val="auto"/>
                <w:szCs w:val="21"/>
                <w:highlight w:val="none"/>
              </w:rPr>
            </w:pPr>
          </w:p>
        </w:tc>
        <w:tc>
          <w:tcPr>
            <w:tcW w:w="733" w:type="dxa"/>
            <w:tcBorders>
              <w:top w:val="single" w:color="auto" w:sz="6" w:space="0"/>
              <w:left w:val="single" w:color="auto" w:sz="6" w:space="0"/>
              <w:bottom w:val="single" w:color="auto" w:sz="6" w:space="0"/>
              <w:right w:val="single" w:color="auto" w:sz="6" w:space="0"/>
            </w:tcBorders>
          </w:tcPr>
          <w:p w14:paraId="26EB4DEB">
            <w:pPr>
              <w:autoSpaceDE w:val="0"/>
              <w:autoSpaceDN w:val="0"/>
              <w:spacing w:line="400" w:lineRule="exact"/>
              <w:rPr>
                <w:rFonts w:ascii="宋体" w:hAnsi="宋体" w:cs="宋体"/>
                <w:color w:val="auto"/>
                <w:szCs w:val="21"/>
                <w:highlight w:val="none"/>
              </w:rPr>
            </w:pPr>
          </w:p>
        </w:tc>
        <w:tc>
          <w:tcPr>
            <w:tcW w:w="2627" w:type="dxa"/>
            <w:tcBorders>
              <w:top w:val="single" w:color="auto" w:sz="6" w:space="0"/>
              <w:left w:val="single" w:color="auto" w:sz="6" w:space="0"/>
              <w:bottom w:val="single" w:color="auto" w:sz="6" w:space="0"/>
              <w:right w:val="single" w:color="auto" w:sz="6" w:space="0"/>
            </w:tcBorders>
          </w:tcPr>
          <w:p w14:paraId="6567CCD7">
            <w:pPr>
              <w:autoSpaceDE w:val="0"/>
              <w:autoSpaceDN w:val="0"/>
              <w:spacing w:line="400" w:lineRule="exact"/>
              <w:rPr>
                <w:rFonts w:ascii="宋体" w:hAnsi="宋体" w:cs="宋体"/>
                <w:color w:val="auto"/>
                <w:szCs w:val="21"/>
                <w:highlight w:val="none"/>
              </w:rPr>
            </w:pPr>
          </w:p>
        </w:tc>
        <w:tc>
          <w:tcPr>
            <w:tcW w:w="1266" w:type="dxa"/>
            <w:tcBorders>
              <w:top w:val="single" w:color="auto" w:sz="6" w:space="0"/>
              <w:left w:val="single" w:color="auto" w:sz="6" w:space="0"/>
              <w:bottom w:val="single" w:color="auto" w:sz="6" w:space="0"/>
              <w:right w:val="single" w:color="auto" w:sz="6" w:space="0"/>
            </w:tcBorders>
          </w:tcPr>
          <w:p w14:paraId="67755441">
            <w:pPr>
              <w:autoSpaceDE w:val="0"/>
              <w:autoSpaceDN w:val="0"/>
              <w:spacing w:line="400" w:lineRule="exact"/>
              <w:rPr>
                <w:rFonts w:ascii="宋体" w:hAnsi="宋体" w:cs="宋体"/>
                <w:color w:val="auto"/>
                <w:szCs w:val="21"/>
                <w:highlight w:val="none"/>
              </w:rPr>
            </w:pPr>
          </w:p>
        </w:tc>
        <w:tc>
          <w:tcPr>
            <w:tcW w:w="1454" w:type="dxa"/>
            <w:tcBorders>
              <w:top w:val="single" w:color="auto" w:sz="6" w:space="0"/>
              <w:left w:val="single" w:color="auto" w:sz="6" w:space="0"/>
              <w:bottom w:val="single" w:color="auto" w:sz="6" w:space="0"/>
              <w:right w:val="single" w:color="auto" w:sz="6" w:space="0"/>
            </w:tcBorders>
          </w:tcPr>
          <w:p w14:paraId="0E69ECCF">
            <w:pPr>
              <w:autoSpaceDE w:val="0"/>
              <w:autoSpaceDN w:val="0"/>
              <w:spacing w:line="400" w:lineRule="exact"/>
              <w:rPr>
                <w:rFonts w:ascii="宋体" w:hAnsi="宋体" w:cs="宋体"/>
                <w:color w:val="auto"/>
                <w:szCs w:val="21"/>
                <w:highlight w:val="none"/>
              </w:rPr>
            </w:pPr>
          </w:p>
        </w:tc>
        <w:tc>
          <w:tcPr>
            <w:tcW w:w="1733" w:type="dxa"/>
            <w:tcBorders>
              <w:top w:val="single" w:color="auto" w:sz="6" w:space="0"/>
              <w:left w:val="single" w:color="auto" w:sz="6" w:space="0"/>
              <w:bottom w:val="single" w:color="auto" w:sz="6" w:space="0"/>
              <w:right w:val="single" w:color="auto" w:sz="6" w:space="0"/>
            </w:tcBorders>
          </w:tcPr>
          <w:p w14:paraId="5541B34F">
            <w:pPr>
              <w:autoSpaceDE w:val="0"/>
              <w:autoSpaceDN w:val="0"/>
              <w:spacing w:line="400" w:lineRule="exact"/>
              <w:rPr>
                <w:rFonts w:ascii="宋体" w:hAnsi="宋体" w:cs="宋体"/>
                <w:color w:val="auto"/>
                <w:szCs w:val="21"/>
                <w:highlight w:val="none"/>
              </w:rPr>
            </w:pPr>
          </w:p>
        </w:tc>
      </w:tr>
      <w:tr w14:paraId="70E166C8">
        <w:tblPrEx>
          <w:tblCellMar>
            <w:top w:w="0" w:type="dxa"/>
            <w:left w:w="108" w:type="dxa"/>
            <w:bottom w:w="0" w:type="dxa"/>
            <w:right w:w="108" w:type="dxa"/>
          </w:tblCellMar>
        </w:tblPrEx>
        <w:trPr>
          <w:trHeight w:val="473" w:hRule="atLeast"/>
        </w:trPr>
        <w:tc>
          <w:tcPr>
            <w:tcW w:w="520" w:type="dxa"/>
            <w:tcBorders>
              <w:top w:val="single" w:color="auto" w:sz="6" w:space="0"/>
              <w:left w:val="single" w:color="auto" w:sz="6" w:space="0"/>
              <w:bottom w:val="single" w:color="auto" w:sz="6" w:space="0"/>
              <w:right w:val="single" w:color="auto" w:sz="6" w:space="0"/>
            </w:tcBorders>
          </w:tcPr>
          <w:p w14:paraId="23F62489">
            <w:pPr>
              <w:autoSpaceDE w:val="0"/>
              <w:autoSpaceDN w:val="0"/>
              <w:spacing w:line="400" w:lineRule="exact"/>
              <w:jc w:val="center"/>
              <w:rPr>
                <w:rFonts w:ascii="宋体" w:hAnsi="宋体" w:cs="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773D6DA0">
            <w:pPr>
              <w:autoSpaceDE w:val="0"/>
              <w:autoSpaceDN w:val="0"/>
              <w:spacing w:line="400" w:lineRule="exact"/>
              <w:rPr>
                <w:rFonts w:ascii="宋体" w:hAnsi="宋体" w:cs="宋体"/>
                <w:color w:val="auto"/>
                <w:szCs w:val="21"/>
                <w:highlight w:val="none"/>
              </w:rPr>
            </w:pPr>
          </w:p>
        </w:tc>
        <w:tc>
          <w:tcPr>
            <w:tcW w:w="733" w:type="dxa"/>
            <w:tcBorders>
              <w:top w:val="single" w:color="auto" w:sz="6" w:space="0"/>
              <w:left w:val="single" w:color="auto" w:sz="6" w:space="0"/>
              <w:bottom w:val="single" w:color="auto" w:sz="6" w:space="0"/>
              <w:right w:val="single" w:color="auto" w:sz="6" w:space="0"/>
            </w:tcBorders>
          </w:tcPr>
          <w:p w14:paraId="369E57B8">
            <w:pPr>
              <w:autoSpaceDE w:val="0"/>
              <w:autoSpaceDN w:val="0"/>
              <w:spacing w:line="400" w:lineRule="exact"/>
              <w:rPr>
                <w:rFonts w:ascii="宋体" w:hAnsi="宋体" w:cs="宋体"/>
                <w:color w:val="auto"/>
                <w:szCs w:val="21"/>
                <w:highlight w:val="none"/>
              </w:rPr>
            </w:pPr>
          </w:p>
        </w:tc>
        <w:tc>
          <w:tcPr>
            <w:tcW w:w="2627" w:type="dxa"/>
            <w:tcBorders>
              <w:top w:val="single" w:color="auto" w:sz="6" w:space="0"/>
              <w:left w:val="single" w:color="auto" w:sz="6" w:space="0"/>
              <w:bottom w:val="single" w:color="auto" w:sz="6" w:space="0"/>
              <w:right w:val="single" w:color="auto" w:sz="6" w:space="0"/>
            </w:tcBorders>
          </w:tcPr>
          <w:p w14:paraId="7E4325BA">
            <w:pPr>
              <w:autoSpaceDE w:val="0"/>
              <w:autoSpaceDN w:val="0"/>
              <w:spacing w:line="400" w:lineRule="exact"/>
              <w:rPr>
                <w:rFonts w:ascii="宋体" w:hAnsi="宋体" w:cs="宋体"/>
                <w:color w:val="auto"/>
                <w:szCs w:val="21"/>
                <w:highlight w:val="none"/>
              </w:rPr>
            </w:pPr>
          </w:p>
        </w:tc>
        <w:tc>
          <w:tcPr>
            <w:tcW w:w="1266" w:type="dxa"/>
            <w:tcBorders>
              <w:top w:val="single" w:color="auto" w:sz="6" w:space="0"/>
              <w:left w:val="single" w:color="auto" w:sz="6" w:space="0"/>
              <w:bottom w:val="single" w:color="auto" w:sz="6" w:space="0"/>
              <w:right w:val="single" w:color="auto" w:sz="6" w:space="0"/>
            </w:tcBorders>
          </w:tcPr>
          <w:p w14:paraId="5504E0B3">
            <w:pPr>
              <w:autoSpaceDE w:val="0"/>
              <w:autoSpaceDN w:val="0"/>
              <w:spacing w:line="400" w:lineRule="exact"/>
              <w:rPr>
                <w:rFonts w:ascii="宋体" w:hAnsi="宋体" w:cs="宋体"/>
                <w:color w:val="auto"/>
                <w:szCs w:val="21"/>
                <w:highlight w:val="none"/>
              </w:rPr>
            </w:pPr>
          </w:p>
        </w:tc>
        <w:tc>
          <w:tcPr>
            <w:tcW w:w="1454" w:type="dxa"/>
            <w:tcBorders>
              <w:top w:val="single" w:color="auto" w:sz="6" w:space="0"/>
              <w:left w:val="single" w:color="auto" w:sz="6" w:space="0"/>
              <w:bottom w:val="single" w:color="auto" w:sz="6" w:space="0"/>
              <w:right w:val="single" w:color="auto" w:sz="6" w:space="0"/>
            </w:tcBorders>
          </w:tcPr>
          <w:p w14:paraId="526B9CE4">
            <w:pPr>
              <w:autoSpaceDE w:val="0"/>
              <w:autoSpaceDN w:val="0"/>
              <w:spacing w:line="400" w:lineRule="exact"/>
              <w:rPr>
                <w:rFonts w:ascii="宋体" w:hAnsi="宋体" w:cs="宋体"/>
                <w:color w:val="auto"/>
                <w:szCs w:val="21"/>
                <w:highlight w:val="none"/>
              </w:rPr>
            </w:pPr>
          </w:p>
        </w:tc>
        <w:tc>
          <w:tcPr>
            <w:tcW w:w="1733" w:type="dxa"/>
            <w:tcBorders>
              <w:top w:val="single" w:color="auto" w:sz="6" w:space="0"/>
              <w:left w:val="single" w:color="auto" w:sz="6" w:space="0"/>
              <w:bottom w:val="single" w:color="auto" w:sz="6" w:space="0"/>
              <w:right w:val="single" w:color="auto" w:sz="6" w:space="0"/>
            </w:tcBorders>
          </w:tcPr>
          <w:p w14:paraId="1803FF0A">
            <w:pPr>
              <w:autoSpaceDE w:val="0"/>
              <w:autoSpaceDN w:val="0"/>
              <w:spacing w:line="400" w:lineRule="exact"/>
              <w:rPr>
                <w:rFonts w:ascii="宋体" w:hAnsi="宋体" w:cs="宋体"/>
                <w:color w:val="auto"/>
                <w:szCs w:val="21"/>
                <w:highlight w:val="none"/>
              </w:rPr>
            </w:pPr>
          </w:p>
        </w:tc>
      </w:tr>
      <w:tr w14:paraId="0D76CCA1">
        <w:tblPrEx>
          <w:tblCellMar>
            <w:top w:w="0" w:type="dxa"/>
            <w:left w:w="108" w:type="dxa"/>
            <w:bottom w:w="0" w:type="dxa"/>
            <w:right w:w="108" w:type="dxa"/>
          </w:tblCellMar>
        </w:tblPrEx>
        <w:trPr>
          <w:trHeight w:val="473" w:hRule="atLeast"/>
        </w:trPr>
        <w:tc>
          <w:tcPr>
            <w:tcW w:w="520" w:type="dxa"/>
            <w:tcBorders>
              <w:top w:val="single" w:color="auto" w:sz="6" w:space="0"/>
              <w:left w:val="single" w:color="auto" w:sz="6" w:space="0"/>
              <w:bottom w:val="single" w:color="auto" w:sz="6" w:space="0"/>
              <w:right w:val="single" w:color="auto" w:sz="6" w:space="0"/>
            </w:tcBorders>
          </w:tcPr>
          <w:p w14:paraId="41A96080">
            <w:pPr>
              <w:autoSpaceDE w:val="0"/>
              <w:autoSpaceDN w:val="0"/>
              <w:spacing w:line="400" w:lineRule="exact"/>
              <w:jc w:val="center"/>
              <w:rPr>
                <w:rFonts w:ascii="宋体" w:hAnsi="宋体" w:cs="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6BB82568">
            <w:pPr>
              <w:autoSpaceDE w:val="0"/>
              <w:autoSpaceDN w:val="0"/>
              <w:spacing w:line="400" w:lineRule="exact"/>
              <w:rPr>
                <w:rFonts w:ascii="宋体" w:hAnsi="宋体" w:cs="宋体"/>
                <w:color w:val="auto"/>
                <w:szCs w:val="21"/>
                <w:highlight w:val="none"/>
              </w:rPr>
            </w:pPr>
          </w:p>
        </w:tc>
        <w:tc>
          <w:tcPr>
            <w:tcW w:w="733" w:type="dxa"/>
            <w:tcBorders>
              <w:top w:val="single" w:color="auto" w:sz="6" w:space="0"/>
              <w:left w:val="single" w:color="auto" w:sz="6" w:space="0"/>
              <w:bottom w:val="single" w:color="auto" w:sz="6" w:space="0"/>
              <w:right w:val="single" w:color="auto" w:sz="6" w:space="0"/>
            </w:tcBorders>
          </w:tcPr>
          <w:p w14:paraId="4E1A5ADD">
            <w:pPr>
              <w:autoSpaceDE w:val="0"/>
              <w:autoSpaceDN w:val="0"/>
              <w:spacing w:line="400" w:lineRule="exact"/>
              <w:rPr>
                <w:rFonts w:ascii="宋体" w:hAnsi="宋体" w:cs="宋体"/>
                <w:color w:val="auto"/>
                <w:szCs w:val="21"/>
                <w:highlight w:val="none"/>
              </w:rPr>
            </w:pPr>
          </w:p>
        </w:tc>
        <w:tc>
          <w:tcPr>
            <w:tcW w:w="2627" w:type="dxa"/>
            <w:tcBorders>
              <w:top w:val="single" w:color="auto" w:sz="6" w:space="0"/>
              <w:left w:val="single" w:color="auto" w:sz="6" w:space="0"/>
              <w:bottom w:val="single" w:color="auto" w:sz="6" w:space="0"/>
              <w:right w:val="single" w:color="auto" w:sz="6" w:space="0"/>
            </w:tcBorders>
          </w:tcPr>
          <w:p w14:paraId="3A12E227">
            <w:pPr>
              <w:autoSpaceDE w:val="0"/>
              <w:autoSpaceDN w:val="0"/>
              <w:spacing w:line="400" w:lineRule="exact"/>
              <w:rPr>
                <w:rFonts w:ascii="宋体" w:hAnsi="宋体" w:cs="宋体"/>
                <w:color w:val="auto"/>
                <w:szCs w:val="21"/>
                <w:highlight w:val="none"/>
              </w:rPr>
            </w:pPr>
          </w:p>
        </w:tc>
        <w:tc>
          <w:tcPr>
            <w:tcW w:w="1266" w:type="dxa"/>
            <w:tcBorders>
              <w:top w:val="single" w:color="auto" w:sz="6" w:space="0"/>
              <w:left w:val="single" w:color="auto" w:sz="6" w:space="0"/>
              <w:bottom w:val="single" w:color="auto" w:sz="6" w:space="0"/>
              <w:right w:val="single" w:color="auto" w:sz="6" w:space="0"/>
            </w:tcBorders>
          </w:tcPr>
          <w:p w14:paraId="00A1A9B3">
            <w:pPr>
              <w:autoSpaceDE w:val="0"/>
              <w:autoSpaceDN w:val="0"/>
              <w:spacing w:line="400" w:lineRule="exact"/>
              <w:rPr>
                <w:rFonts w:ascii="宋体" w:hAnsi="宋体" w:cs="宋体"/>
                <w:color w:val="auto"/>
                <w:szCs w:val="21"/>
                <w:highlight w:val="none"/>
              </w:rPr>
            </w:pPr>
          </w:p>
        </w:tc>
        <w:tc>
          <w:tcPr>
            <w:tcW w:w="1454" w:type="dxa"/>
            <w:tcBorders>
              <w:top w:val="single" w:color="auto" w:sz="6" w:space="0"/>
              <w:left w:val="single" w:color="auto" w:sz="6" w:space="0"/>
              <w:bottom w:val="single" w:color="auto" w:sz="6" w:space="0"/>
              <w:right w:val="single" w:color="auto" w:sz="6" w:space="0"/>
            </w:tcBorders>
          </w:tcPr>
          <w:p w14:paraId="1A2AFBE7">
            <w:pPr>
              <w:autoSpaceDE w:val="0"/>
              <w:autoSpaceDN w:val="0"/>
              <w:spacing w:line="400" w:lineRule="exact"/>
              <w:rPr>
                <w:rFonts w:ascii="宋体" w:hAnsi="宋体" w:cs="宋体"/>
                <w:color w:val="auto"/>
                <w:szCs w:val="21"/>
                <w:highlight w:val="none"/>
              </w:rPr>
            </w:pPr>
          </w:p>
        </w:tc>
        <w:tc>
          <w:tcPr>
            <w:tcW w:w="1733" w:type="dxa"/>
            <w:tcBorders>
              <w:top w:val="single" w:color="auto" w:sz="6" w:space="0"/>
              <w:left w:val="single" w:color="auto" w:sz="6" w:space="0"/>
              <w:bottom w:val="single" w:color="auto" w:sz="6" w:space="0"/>
              <w:right w:val="single" w:color="auto" w:sz="6" w:space="0"/>
            </w:tcBorders>
          </w:tcPr>
          <w:p w14:paraId="72763E52">
            <w:pPr>
              <w:autoSpaceDE w:val="0"/>
              <w:autoSpaceDN w:val="0"/>
              <w:spacing w:line="400" w:lineRule="exact"/>
              <w:rPr>
                <w:rFonts w:ascii="宋体" w:hAnsi="宋体" w:cs="宋体"/>
                <w:color w:val="auto"/>
                <w:szCs w:val="21"/>
                <w:highlight w:val="none"/>
              </w:rPr>
            </w:pPr>
          </w:p>
        </w:tc>
      </w:tr>
      <w:tr w14:paraId="3D157474">
        <w:tblPrEx>
          <w:tblCellMar>
            <w:top w:w="0" w:type="dxa"/>
            <w:left w:w="108" w:type="dxa"/>
            <w:bottom w:w="0" w:type="dxa"/>
            <w:right w:w="108" w:type="dxa"/>
          </w:tblCellMar>
        </w:tblPrEx>
        <w:trPr>
          <w:trHeight w:val="473" w:hRule="atLeast"/>
        </w:trPr>
        <w:tc>
          <w:tcPr>
            <w:tcW w:w="520" w:type="dxa"/>
            <w:tcBorders>
              <w:top w:val="single" w:color="auto" w:sz="6" w:space="0"/>
              <w:left w:val="single" w:color="auto" w:sz="6" w:space="0"/>
              <w:bottom w:val="single" w:color="auto" w:sz="6" w:space="0"/>
              <w:right w:val="single" w:color="auto" w:sz="6" w:space="0"/>
            </w:tcBorders>
          </w:tcPr>
          <w:p w14:paraId="7B39FBFC">
            <w:pPr>
              <w:autoSpaceDE w:val="0"/>
              <w:autoSpaceDN w:val="0"/>
              <w:spacing w:line="400" w:lineRule="exact"/>
              <w:jc w:val="center"/>
              <w:rPr>
                <w:rFonts w:ascii="宋体" w:hAnsi="宋体" w:cs="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0B5B2698">
            <w:pPr>
              <w:autoSpaceDE w:val="0"/>
              <w:autoSpaceDN w:val="0"/>
              <w:spacing w:line="400" w:lineRule="exact"/>
              <w:rPr>
                <w:rFonts w:ascii="宋体" w:hAnsi="宋体" w:cs="宋体"/>
                <w:color w:val="auto"/>
                <w:szCs w:val="21"/>
                <w:highlight w:val="none"/>
              </w:rPr>
            </w:pPr>
          </w:p>
        </w:tc>
        <w:tc>
          <w:tcPr>
            <w:tcW w:w="733" w:type="dxa"/>
            <w:tcBorders>
              <w:top w:val="single" w:color="auto" w:sz="6" w:space="0"/>
              <w:left w:val="single" w:color="auto" w:sz="6" w:space="0"/>
              <w:bottom w:val="single" w:color="auto" w:sz="6" w:space="0"/>
              <w:right w:val="single" w:color="auto" w:sz="6" w:space="0"/>
            </w:tcBorders>
          </w:tcPr>
          <w:p w14:paraId="3D8A0C84">
            <w:pPr>
              <w:autoSpaceDE w:val="0"/>
              <w:autoSpaceDN w:val="0"/>
              <w:spacing w:line="400" w:lineRule="exact"/>
              <w:rPr>
                <w:rFonts w:ascii="宋体" w:hAnsi="宋体" w:cs="宋体"/>
                <w:color w:val="auto"/>
                <w:szCs w:val="21"/>
                <w:highlight w:val="none"/>
              </w:rPr>
            </w:pPr>
          </w:p>
        </w:tc>
        <w:tc>
          <w:tcPr>
            <w:tcW w:w="2627" w:type="dxa"/>
            <w:tcBorders>
              <w:top w:val="single" w:color="auto" w:sz="6" w:space="0"/>
              <w:left w:val="single" w:color="auto" w:sz="6" w:space="0"/>
              <w:bottom w:val="single" w:color="auto" w:sz="6" w:space="0"/>
              <w:right w:val="single" w:color="auto" w:sz="6" w:space="0"/>
            </w:tcBorders>
          </w:tcPr>
          <w:p w14:paraId="4B9E15F4">
            <w:pPr>
              <w:autoSpaceDE w:val="0"/>
              <w:autoSpaceDN w:val="0"/>
              <w:spacing w:line="400" w:lineRule="exact"/>
              <w:rPr>
                <w:rFonts w:ascii="宋体" w:hAnsi="宋体" w:cs="宋体"/>
                <w:color w:val="auto"/>
                <w:szCs w:val="21"/>
                <w:highlight w:val="none"/>
              </w:rPr>
            </w:pPr>
          </w:p>
        </w:tc>
        <w:tc>
          <w:tcPr>
            <w:tcW w:w="1266" w:type="dxa"/>
            <w:tcBorders>
              <w:top w:val="single" w:color="auto" w:sz="6" w:space="0"/>
              <w:left w:val="single" w:color="auto" w:sz="6" w:space="0"/>
              <w:bottom w:val="single" w:color="auto" w:sz="6" w:space="0"/>
              <w:right w:val="single" w:color="auto" w:sz="6" w:space="0"/>
            </w:tcBorders>
          </w:tcPr>
          <w:p w14:paraId="65C25A8E">
            <w:pPr>
              <w:autoSpaceDE w:val="0"/>
              <w:autoSpaceDN w:val="0"/>
              <w:spacing w:line="400" w:lineRule="exact"/>
              <w:rPr>
                <w:rFonts w:ascii="宋体" w:hAnsi="宋体" w:cs="宋体"/>
                <w:color w:val="auto"/>
                <w:szCs w:val="21"/>
                <w:highlight w:val="none"/>
              </w:rPr>
            </w:pPr>
          </w:p>
        </w:tc>
        <w:tc>
          <w:tcPr>
            <w:tcW w:w="1454" w:type="dxa"/>
            <w:tcBorders>
              <w:top w:val="single" w:color="auto" w:sz="6" w:space="0"/>
              <w:left w:val="single" w:color="auto" w:sz="6" w:space="0"/>
              <w:bottom w:val="single" w:color="auto" w:sz="6" w:space="0"/>
              <w:right w:val="single" w:color="auto" w:sz="6" w:space="0"/>
            </w:tcBorders>
          </w:tcPr>
          <w:p w14:paraId="64630B2D">
            <w:pPr>
              <w:autoSpaceDE w:val="0"/>
              <w:autoSpaceDN w:val="0"/>
              <w:spacing w:line="400" w:lineRule="exact"/>
              <w:rPr>
                <w:rFonts w:ascii="宋体" w:hAnsi="宋体" w:cs="宋体"/>
                <w:color w:val="auto"/>
                <w:szCs w:val="21"/>
                <w:highlight w:val="none"/>
              </w:rPr>
            </w:pPr>
          </w:p>
        </w:tc>
        <w:tc>
          <w:tcPr>
            <w:tcW w:w="1733" w:type="dxa"/>
            <w:tcBorders>
              <w:top w:val="single" w:color="auto" w:sz="6" w:space="0"/>
              <w:left w:val="single" w:color="auto" w:sz="6" w:space="0"/>
              <w:bottom w:val="single" w:color="auto" w:sz="6" w:space="0"/>
              <w:right w:val="single" w:color="auto" w:sz="6" w:space="0"/>
            </w:tcBorders>
          </w:tcPr>
          <w:p w14:paraId="2382D175">
            <w:pPr>
              <w:autoSpaceDE w:val="0"/>
              <w:autoSpaceDN w:val="0"/>
              <w:spacing w:line="400" w:lineRule="exact"/>
              <w:rPr>
                <w:rFonts w:ascii="宋体" w:hAnsi="宋体" w:cs="宋体"/>
                <w:color w:val="auto"/>
                <w:szCs w:val="21"/>
                <w:highlight w:val="none"/>
              </w:rPr>
            </w:pPr>
          </w:p>
        </w:tc>
      </w:tr>
      <w:tr w14:paraId="231DA9F5">
        <w:tblPrEx>
          <w:tblCellMar>
            <w:top w:w="0" w:type="dxa"/>
            <w:left w:w="108" w:type="dxa"/>
            <w:bottom w:w="0" w:type="dxa"/>
            <w:right w:w="108" w:type="dxa"/>
          </w:tblCellMar>
        </w:tblPrEx>
        <w:trPr>
          <w:trHeight w:val="473" w:hRule="atLeast"/>
        </w:trPr>
        <w:tc>
          <w:tcPr>
            <w:tcW w:w="520" w:type="dxa"/>
            <w:tcBorders>
              <w:top w:val="single" w:color="auto" w:sz="6" w:space="0"/>
              <w:left w:val="single" w:color="auto" w:sz="6" w:space="0"/>
              <w:bottom w:val="single" w:color="auto" w:sz="6" w:space="0"/>
              <w:right w:val="single" w:color="auto" w:sz="6" w:space="0"/>
            </w:tcBorders>
          </w:tcPr>
          <w:p w14:paraId="6DF84FA9">
            <w:pPr>
              <w:autoSpaceDE w:val="0"/>
              <w:autoSpaceDN w:val="0"/>
              <w:spacing w:line="400" w:lineRule="exact"/>
              <w:jc w:val="center"/>
              <w:rPr>
                <w:rFonts w:ascii="宋体" w:hAnsi="宋体" w:cs="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2575145E">
            <w:pPr>
              <w:autoSpaceDE w:val="0"/>
              <w:autoSpaceDN w:val="0"/>
              <w:spacing w:line="400" w:lineRule="exact"/>
              <w:rPr>
                <w:rFonts w:ascii="宋体" w:hAnsi="宋体" w:cs="宋体"/>
                <w:color w:val="auto"/>
                <w:szCs w:val="21"/>
                <w:highlight w:val="none"/>
              </w:rPr>
            </w:pPr>
          </w:p>
        </w:tc>
        <w:tc>
          <w:tcPr>
            <w:tcW w:w="733" w:type="dxa"/>
            <w:tcBorders>
              <w:top w:val="single" w:color="auto" w:sz="6" w:space="0"/>
              <w:left w:val="single" w:color="auto" w:sz="6" w:space="0"/>
              <w:bottom w:val="single" w:color="auto" w:sz="6" w:space="0"/>
              <w:right w:val="single" w:color="auto" w:sz="6" w:space="0"/>
            </w:tcBorders>
          </w:tcPr>
          <w:p w14:paraId="19FC35C0">
            <w:pPr>
              <w:autoSpaceDE w:val="0"/>
              <w:autoSpaceDN w:val="0"/>
              <w:spacing w:line="400" w:lineRule="exact"/>
              <w:rPr>
                <w:rFonts w:ascii="宋体" w:hAnsi="宋体" w:cs="宋体"/>
                <w:color w:val="auto"/>
                <w:szCs w:val="21"/>
                <w:highlight w:val="none"/>
              </w:rPr>
            </w:pPr>
          </w:p>
        </w:tc>
        <w:tc>
          <w:tcPr>
            <w:tcW w:w="2627" w:type="dxa"/>
            <w:tcBorders>
              <w:top w:val="single" w:color="auto" w:sz="6" w:space="0"/>
              <w:left w:val="single" w:color="auto" w:sz="6" w:space="0"/>
              <w:bottom w:val="single" w:color="auto" w:sz="6" w:space="0"/>
              <w:right w:val="single" w:color="auto" w:sz="6" w:space="0"/>
            </w:tcBorders>
          </w:tcPr>
          <w:p w14:paraId="3C81AC36">
            <w:pPr>
              <w:autoSpaceDE w:val="0"/>
              <w:autoSpaceDN w:val="0"/>
              <w:spacing w:line="400" w:lineRule="exact"/>
              <w:rPr>
                <w:rFonts w:ascii="宋体" w:hAnsi="宋体" w:cs="宋体"/>
                <w:color w:val="auto"/>
                <w:szCs w:val="21"/>
                <w:highlight w:val="none"/>
              </w:rPr>
            </w:pPr>
          </w:p>
        </w:tc>
        <w:tc>
          <w:tcPr>
            <w:tcW w:w="1266" w:type="dxa"/>
            <w:tcBorders>
              <w:top w:val="single" w:color="auto" w:sz="6" w:space="0"/>
              <w:left w:val="single" w:color="auto" w:sz="6" w:space="0"/>
              <w:bottom w:val="single" w:color="auto" w:sz="6" w:space="0"/>
              <w:right w:val="single" w:color="auto" w:sz="6" w:space="0"/>
            </w:tcBorders>
          </w:tcPr>
          <w:p w14:paraId="24379435">
            <w:pPr>
              <w:autoSpaceDE w:val="0"/>
              <w:autoSpaceDN w:val="0"/>
              <w:spacing w:line="400" w:lineRule="exact"/>
              <w:rPr>
                <w:rFonts w:ascii="宋体" w:hAnsi="宋体" w:cs="宋体"/>
                <w:color w:val="auto"/>
                <w:szCs w:val="21"/>
                <w:highlight w:val="none"/>
              </w:rPr>
            </w:pPr>
          </w:p>
        </w:tc>
        <w:tc>
          <w:tcPr>
            <w:tcW w:w="1454" w:type="dxa"/>
            <w:tcBorders>
              <w:top w:val="single" w:color="auto" w:sz="6" w:space="0"/>
              <w:left w:val="single" w:color="auto" w:sz="6" w:space="0"/>
              <w:bottom w:val="single" w:color="auto" w:sz="6" w:space="0"/>
              <w:right w:val="single" w:color="auto" w:sz="6" w:space="0"/>
            </w:tcBorders>
          </w:tcPr>
          <w:p w14:paraId="61775F3D">
            <w:pPr>
              <w:autoSpaceDE w:val="0"/>
              <w:autoSpaceDN w:val="0"/>
              <w:spacing w:line="400" w:lineRule="exact"/>
              <w:rPr>
                <w:rFonts w:ascii="宋体" w:hAnsi="宋体" w:cs="宋体"/>
                <w:color w:val="auto"/>
                <w:szCs w:val="21"/>
                <w:highlight w:val="none"/>
              </w:rPr>
            </w:pPr>
          </w:p>
        </w:tc>
        <w:tc>
          <w:tcPr>
            <w:tcW w:w="1733" w:type="dxa"/>
            <w:tcBorders>
              <w:top w:val="single" w:color="auto" w:sz="6" w:space="0"/>
              <w:left w:val="single" w:color="auto" w:sz="6" w:space="0"/>
              <w:bottom w:val="single" w:color="auto" w:sz="6" w:space="0"/>
              <w:right w:val="single" w:color="auto" w:sz="6" w:space="0"/>
            </w:tcBorders>
          </w:tcPr>
          <w:p w14:paraId="03148EBD">
            <w:pPr>
              <w:autoSpaceDE w:val="0"/>
              <w:autoSpaceDN w:val="0"/>
              <w:spacing w:line="400" w:lineRule="exact"/>
              <w:rPr>
                <w:rFonts w:ascii="宋体" w:hAnsi="宋体" w:cs="宋体"/>
                <w:color w:val="auto"/>
                <w:szCs w:val="21"/>
                <w:highlight w:val="none"/>
              </w:rPr>
            </w:pPr>
          </w:p>
        </w:tc>
      </w:tr>
    </w:tbl>
    <w:p w14:paraId="5BC89036">
      <w:pPr>
        <w:spacing w:line="360" w:lineRule="auto"/>
        <w:contextualSpacing/>
        <w:jc w:val="left"/>
        <w:rPr>
          <w:rFonts w:hint="default" w:ascii="Times New Roman" w:hAnsi="Times New Roman" w:cs="Times New Roman"/>
          <w:b/>
          <w:bCs/>
          <w:color w:val="auto"/>
          <w:szCs w:val="21"/>
          <w:highlight w:val="none"/>
        </w:rPr>
      </w:pPr>
    </w:p>
    <w:p w14:paraId="0E75FFC8">
      <w:pPr>
        <w:spacing w:line="360" w:lineRule="auto"/>
        <w:contextualSpacing/>
        <w:jc w:val="left"/>
        <w:rPr>
          <w:rFonts w:hint="default" w:ascii="Times New Roman" w:hAnsi="Times New Roman" w:cs="Times New Roman"/>
          <w:color w:val="auto"/>
          <w:szCs w:val="21"/>
          <w:highlight w:val="none"/>
        </w:rPr>
      </w:pPr>
      <w:r>
        <w:rPr>
          <w:rFonts w:hint="default" w:ascii="Times New Roman" w:hAnsi="Times New Roman" w:cs="Times New Roman"/>
          <w:b/>
          <w:bCs/>
          <w:color w:val="auto"/>
          <w:szCs w:val="21"/>
          <w:highlight w:val="none"/>
        </w:rPr>
        <w:t>注：</w:t>
      </w:r>
      <w:r>
        <w:rPr>
          <w:rFonts w:hint="default" w:ascii="Times New Roman" w:hAnsi="Times New Roman" w:eastAsia="宋体" w:cs="Times New Roman"/>
          <w:b w:val="0"/>
          <w:bCs/>
          <w:color w:val="auto"/>
          <w:spacing w:val="-2"/>
          <w:sz w:val="21"/>
          <w:szCs w:val="21"/>
          <w:highlight w:val="none"/>
          <w:lang w:val="en-US" w:eastAsia="zh-CN"/>
        </w:rPr>
        <w:t>在填写时，如本</w:t>
      </w:r>
      <w:r>
        <w:rPr>
          <w:rFonts w:hint="default" w:ascii="Times New Roman" w:hAnsi="Times New Roman" w:cs="Times New Roman"/>
          <w:color w:val="auto"/>
          <w:szCs w:val="21"/>
          <w:highlight w:val="none"/>
        </w:rPr>
        <w:t>表格不适合</w:t>
      </w:r>
      <w:r>
        <w:rPr>
          <w:rFonts w:hint="default" w:ascii="Times New Roman" w:hAnsi="Times New Roman" w:cs="Times New Roman"/>
          <w:color w:val="auto"/>
          <w:szCs w:val="21"/>
          <w:highlight w:val="none"/>
          <w:lang w:eastAsia="zh-CN"/>
        </w:rPr>
        <w:t>投标人</w:t>
      </w:r>
      <w:r>
        <w:rPr>
          <w:rFonts w:hint="default" w:ascii="Times New Roman" w:hAnsi="Times New Roman" w:cs="Times New Roman"/>
          <w:color w:val="auto"/>
          <w:szCs w:val="21"/>
          <w:highlight w:val="none"/>
        </w:rPr>
        <w:t>的实际情况，可根据本表格式自行制表填写。</w:t>
      </w:r>
    </w:p>
    <w:p w14:paraId="1B2C5C9D">
      <w:pPr>
        <w:spacing w:line="360" w:lineRule="auto"/>
        <w:ind w:right="-817" w:rightChars="-389" w:firstLine="3150" w:firstLineChars="1500"/>
        <w:contextualSpacing/>
        <w:rPr>
          <w:color w:val="auto"/>
          <w:szCs w:val="21"/>
          <w:highlight w:val="none"/>
        </w:rPr>
      </w:pPr>
    </w:p>
    <w:p w14:paraId="3EEE1822">
      <w:pPr>
        <w:spacing w:line="360" w:lineRule="auto"/>
        <w:ind w:right="-817" w:rightChars="-389" w:firstLine="3150" w:firstLineChars="1500"/>
        <w:contextualSpacing/>
        <w:rPr>
          <w:color w:val="auto"/>
          <w:szCs w:val="21"/>
          <w:highlight w:val="none"/>
        </w:rPr>
      </w:pPr>
    </w:p>
    <w:p w14:paraId="481CDA32">
      <w:pPr>
        <w:spacing w:line="360" w:lineRule="auto"/>
        <w:ind w:right="-817" w:rightChars="-389" w:firstLine="3150" w:firstLineChars="1500"/>
        <w:contextualSpacing/>
        <w:rPr>
          <w:color w:val="auto"/>
          <w:szCs w:val="21"/>
          <w:highlight w:val="none"/>
        </w:rPr>
      </w:pPr>
    </w:p>
    <w:p w14:paraId="11D97BFF">
      <w:pPr>
        <w:spacing w:line="360" w:lineRule="auto"/>
        <w:ind w:right="-817" w:rightChars="-389" w:firstLine="3150" w:firstLineChars="1500"/>
        <w:contextualSpacing/>
        <w:rPr>
          <w:color w:val="auto"/>
          <w:szCs w:val="21"/>
          <w:highlight w:val="none"/>
          <w:u w:val="single"/>
        </w:rPr>
      </w:pPr>
      <w:r>
        <w:rPr>
          <w:color w:val="auto"/>
          <w:szCs w:val="21"/>
          <w:highlight w:val="none"/>
        </w:rPr>
        <w:t>法定代表人或者委托代理人（签字或电子签名）：</w:t>
      </w:r>
      <w:r>
        <w:rPr>
          <w:color w:val="auto"/>
          <w:szCs w:val="21"/>
          <w:highlight w:val="none"/>
          <w:u w:val="single"/>
        </w:rPr>
        <w:t xml:space="preserve">                     </w:t>
      </w:r>
    </w:p>
    <w:p w14:paraId="4358D914">
      <w:pPr>
        <w:spacing w:line="360" w:lineRule="auto"/>
        <w:ind w:right="-817" w:rightChars="-389" w:firstLine="4830" w:firstLineChars="2300"/>
        <w:contextualSpacing/>
        <w:rPr>
          <w:color w:val="auto"/>
          <w:szCs w:val="21"/>
          <w:highlight w:val="none"/>
          <w:u w:val="single"/>
        </w:rPr>
      </w:pPr>
      <w:r>
        <w:rPr>
          <w:rFonts w:hint="eastAsia"/>
          <w:color w:val="auto"/>
          <w:szCs w:val="21"/>
          <w:highlight w:val="none"/>
          <w:lang w:eastAsia="zh-CN"/>
        </w:rPr>
        <w:t>投标人名称</w:t>
      </w:r>
      <w:r>
        <w:rPr>
          <w:color w:val="auto"/>
          <w:szCs w:val="21"/>
          <w:highlight w:val="none"/>
        </w:rPr>
        <w:t>（电子</w:t>
      </w:r>
      <w:r>
        <w:rPr>
          <w:rFonts w:hint="eastAsia"/>
          <w:color w:val="auto"/>
          <w:szCs w:val="21"/>
          <w:highlight w:val="none"/>
          <w:lang w:eastAsia="zh-CN"/>
        </w:rPr>
        <w:t>签</w:t>
      </w:r>
      <w:r>
        <w:rPr>
          <w:color w:val="auto"/>
          <w:szCs w:val="21"/>
          <w:highlight w:val="none"/>
        </w:rPr>
        <w:t>章）：</w:t>
      </w:r>
      <w:r>
        <w:rPr>
          <w:color w:val="auto"/>
          <w:szCs w:val="21"/>
          <w:highlight w:val="none"/>
          <w:u w:val="single"/>
        </w:rPr>
        <w:t xml:space="preserve">                     </w:t>
      </w:r>
    </w:p>
    <w:p w14:paraId="479D4FF8">
      <w:pPr>
        <w:spacing w:line="360" w:lineRule="auto"/>
        <w:ind w:right="-817" w:rightChars="-389" w:firstLine="5880" w:firstLineChars="2800"/>
        <w:contextualSpacing/>
        <w:rPr>
          <w:color w:val="auto"/>
          <w:szCs w:val="21"/>
          <w:highlight w:val="none"/>
        </w:rPr>
      </w:pPr>
      <w:r>
        <w:rPr>
          <w:color w:val="auto"/>
          <w:szCs w:val="21"/>
          <w:highlight w:val="none"/>
        </w:rPr>
        <w:t xml:space="preserve">日  </w:t>
      </w:r>
      <w:r>
        <w:rPr>
          <w:rFonts w:hint="eastAsia"/>
          <w:color w:val="auto"/>
          <w:szCs w:val="21"/>
          <w:highlight w:val="none"/>
        </w:rPr>
        <w:t xml:space="preserve">  </w:t>
      </w:r>
      <w:r>
        <w:rPr>
          <w:color w:val="auto"/>
          <w:szCs w:val="21"/>
          <w:highlight w:val="none"/>
        </w:rPr>
        <w:t>期：</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14:paraId="46CC1EC2">
      <w:pPr>
        <w:rPr>
          <w:color w:val="auto"/>
          <w:highlight w:val="none"/>
        </w:rPr>
      </w:pPr>
      <w:r>
        <w:rPr>
          <w:color w:val="auto"/>
          <w:highlight w:val="none"/>
        </w:rPr>
        <w:br w:type="page"/>
      </w:r>
    </w:p>
    <w:p w14:paraId="69B5E97B">
      <w:pPr>
        <w:adjustRightInd w:val="0"/>
        <w:snapToGrid w:val="0"/>
        <w:spacing w:line="300" w:lineRule="auto"/>
        <w:jc w:val="center"/>
        <w:rPr>
          <w:b/>
          <w:bCs/>
          <w:color w:val="auto"/>
          <w:sz w:val="36"/>
          <w:szCs w:val="36"/>
          <w:highlight w:val="none"/>
        </w:rPr>
      </w:pPr>
    </w:p>
    <w:p w14:paraId="51A3634D">
      <w:pPr>
        <w:adjustRightInd w:val="0"/>
        <w:snapToGrid w:val="0"/>
        <w:spacing w:line="300" w:lineRule="auto"/>
        <w:jc w:val="center"/>
        <w:rPr>
          <w:b/>
          <w:bCs/>
          <w:color w:val="auto"/>
          <w:sz w:val="32"/>
          <w:szCs w:val="32"/>
          <w:highlight w:val="none"/>
        </w:rPr>
      </w:pPr>
      <w:r>
        <w:rPr>
          <w:rFonts w:hint="eastAsia"/>
          <w:b/>
          <w:bCs/>
          <w:color w:val="auto"/>
          <w:sz w:val="32"/>
          <w:szCs w:val="32"/>
          <w:highlight w:val="none"/>
          <w:lang w:eastAsia="zh-CN"/>
        </w:rPr>
        <w:t>投标人</w:t>
      </w:r>
      <w:r>
        <w:rPr>
          <w:b/>
          <w:bCs/>
          <w:color w:val="auto"/>
          <w:sz w:val="32"/>
          <w:szCs w:val="32"/>
          <w:highlight w:val="none"/>
        </w:rPr>
        <w:t>业绩证明材料</w:t>
      </w:r>
    </w:p>
    <w:p w14:paraId="355CA275">
      <w:pPr>
        <w:pStyle w:val="24"/>
        <w:snapToGrid w:val="0"/>
        <w:ind w:left="480" w:hanging="480"/>
        <w:rPr>
          <w:color w:val="auto"/>
          <w:sz w:val="24"/>
          <w:highlight w:val="none"/>
        </w:rPr>
      </w:pPr>
    </w:p>
    <w:p w14:paraId="72B6B35C">
      <w:pPr>
        <w:pStyle w:val="24"/>
        <w:snapToGrid w:val="0"/>
        <w:ind w:left="420" w:hanging="420"/>
        <w:rPr>
          <w:color w:val="auto"/>
          <w:sz w:val="21"/>
          <w:szCs w:val="21"/>
          <w:highlight w:val="none"/>
        </w:rPr>
      </w:pPr>
      <w:r>
        <w:rPr>
          <w:rFonts w:hint="eastAsia"/>
          <w:color w:val="auto"/>
          <w:sz w:val="21"/>
          <w:szCs w:val="21"/>
          <w:highlight w:val="none"/>
          <w:lang w:eastAsia="zh-CN"/>
        </w:rPr>
        <w:t>投标人</w:t>
      </w:r>
      <w:r>
        <w:rPr>
          <w:color w:val="auto"/>
          <w:sz w:val="21"/>
          <w:szCs w:val="21"/>
          <w:highlight w:val="none"/>
        </w:rPr>
        <w:t xml:space="preserve">业绩情况一览表格式： </w:t>
      </w:r>
    </w:p>
    <w:tbl>
      <w:tblPr>
        <w:tblStyle w:val="32"/>
        <w:tblW w:w="946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8"/>
        <w:gridCol w:w="1590"/>
        <w:gridCol w:w="2745"/>
        <w:gridCol w:w="1759"/>
        <w:gridCol w:w="2385"/>
      </w:tblGrid>
      <w:tr w14:paraId="591E42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2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1C83E3EB">
            <w:pPr>
              <w:snapToGrid w:val="0"/>
              <w:spacing w:line="320" w:lineRule="exact"/>
              <w:jc w:val="center"/>
              <w:rPr>
                <w:color w:val="auto"/>
                <w:szCs w:val="21"/>
                <w:highlight w:val="none"/>
              </w:rPr>
            </w:pPr>
            <w:r>
              <w:rPr>
                <w:rFonts w:hint="eastAsia"/>
                <w:color w:val="auto"/>
                <w:szCs w:val="21"/>
                <w:highlight w:val="none"/>
              </w:rPr>
              <w:t>序号</w:t>
            </w:r>
          </w:p>
        </w:tc>
        <w:tc>
          <w:tcPr>
            <w:tcW w:w="1590" w:type="dxa"/>
            <w:tcBorders>
              <w:top w:val="single" w:color="auto" w:sz="4" w:space="0"/>
              <w:left w:val="single" w:color="auto" w:sz="4" w:space="0"/>
              <w:bottom w:val="single" w:color="auto" w:sz="4" w:space="0"/>
              <w:right w:val="single" w:color="auto" w:sz="4" w:space="0"/>
            </w:tcBorders>
            <w:vAlign w:val="center"/>
          </w:tcPr>
          <w:p w14:paraId="3A3DDAE6">
            <w:pPr>
              <w:snapToGrid w:val="0"/>
              <w:spacing w:line="320" w:lineRule="exact"/>
              <w:jc w:val="center"/>
              <w:rPr>
                <w:color w:val="auto"/>
                <w:szCs w:val="21"/>
                <w:highlight w:val="none"/>
              </w:rPr>
            </w:pPr>
            <w:r>
              <w:rPr>
                <w:color w:val="auto"/>
                <w:szCs w:val="21"/>
                <w:highlight w:val="none"/>
              </w:rPr>
              <w:t>采购人名称</w:t>
            </w:r>
          </w:p>
        </w:tc>
        <w:tc>
          <w:tcPr>
            <w:tcW w:w="2745" w:type="dxa"/>
            <w:tcBorders>
              <w:top w:val="single" w:color="auto" w:sz="4" w:space="0"/>
              <w:left w:val="single" w:color="auto" w:sz="4" w:space="0"/>
              <w:bottom w:val="single" w:color="auto" w:sz="4" w:space="0"/>
              <w:right w:val="single" w:color="auto" w:sz="4" w:space="0"/>
            </w:tcBorders>
            <w:vAlign w:val="center"/>
          </w:tcPr>
          <w:p w14:paraId="60D400E0">
            <w:pPr>
              <w:snapToGrid w:val="0"/>
              <w:spacing w:line="320" w:lineRule="exact"/>
              <w:jc w:val="center"/>
              <w:rPr>
                <w:color w:val="auto"/>
                <w:szCs w:val="21"/>
                <w:highlight w:val="none"/>
              </w:rPr>
            </w:pPr>
            <w:r>
              <w:rPr>
                <w:color w:val="auto"/>
                <w:szCs w:val="21"/>
                <w:highlight w:val="none"/>
              </w:rPr>
              <w:t>项目名称</w:t>
            </w:r>
          </w:p>
        </w:tc>
        <w:tc>
          <w:tcPr>
            <w:tcW w:w="1759" w:type="dxa"/>
            <w:tcBorders>
              <w:top w:val="single" w:color="auto" w:sz="4" w:space="0"/>
              <w:left w:val="single" w:color="auto" w:sz="4" w:space="0"/>
              <w:bottom w:val="single" w:color="auto" w:sz="4" w:space="0"/>
              <w:right w:val="single" w:color="auto" w:sz="4" w:space="0"/>
            </w:tcBorders>
            <w:vAlign w:val="center"/>
          </w:tcPr>
          <w:p w14:paraId="5510680F">
            <w:pPr>
              <w:snapToGrid w:val="0"/>
              <w:spacing w:line="320" w:lineRule="exact"/>
              <w:jc w:val="center"/>
              <w:rPr>
                <w:color w:val="auto"/>
                <w:szCs w:val="21"/>
                <w:highlight w:val="none"/>
              </w:rPr>
            </w:pPr>
            <w:r>
              <w:rPr>
                <w:color w:val="auto"/>
                <w:szCs w:val="21"/>
                <w:highlight w:val="none"/>
              </w:rPr>
              <w:t>合同金额</w:t>
            </w:r>
          </w:p>
          <w:p w14:paraId="3669A512">
            <w:pPr>
              <w:snapToGrid w:val="0"/>
              <w:spacing w:line="320" w:lineRule="exact"/>
              <w:jc w:val="center"/>
              <w:rPr>
                <w:color w:val="auto"/>
                <w:szCs w:val="21"/>
                <w:highlight w:val="none"/>
              </w:rPr>
            </w:pPr>
            <w:r>
              <w:rPr>
                <w:color w:val="auto"/>
                <w:szCs w:val="21"/>
                <w:highlight w:val="none"/>
              </w:rPr>
              <w:t>（万元）</w:t>
            </w:r>
          </w:p>
        </w:tc>
        <w:tc>
          <w:tcPr>
            <w:tcW w:w="2385" w:type="dxa"/>
            <w:tcBorders>
              <w:top w:val="single" w:color="auto" w:sz="4" w:space="0"/>
              <w:left w:val="single" w:color="auto" w:sz="4" w:space="0"/>
              <w:bottom w:val="single" w:color="auto" w:sz="4" w:space="0"/>
              <w:right w:val="single" w:color="auto" w:sz="4" w:space="0"/>
            </w:tcBorders>
            <w:vAlign w:val="center"/>
          </w:tcPr>
          <w:p w14:paraId="09D5BCDB">
            <w:pPr>
              <w:snapToGrid w:val="0"/>
              <w:spacing w:line="320" w:lineRule="exact"/>
              <w:jc w:val="center"/>
              <w:rPr>
                <w:color w:val="auto"/>
                <w:szCs w:val="21"/>
                <w:highlight w:val="none"/>
              </w:rPr>
            </w:pPr>
            <w:r>
              <w:rPr>
                <w:color w:val="auto"/>
                <w:szCs w:val="21"/>
                <w:highlight w:val="none"/>
              </w:rPr>
              <w:t>采购人联系人</w:t>
            </w:r>
          </w:p>
          <w:p w14:paraId="68167240">
            <w:pPr>
              <w:snapToGrid w:val="0"/>
              <w:spacing w:line="320" w:lineRule="exact"/>
              <w:jc w:val="center"/>
              <w:rPr>
                <w:color w:val="auto"/>
                <w:szCs w:val="21"/>
                <w:highlight w:val="none"/>
              </w:rPr>
            </w:pPr>
            <w:r>
              <w:rPr>
                <w:color w:val="auto"/>
                <w:szCs w:val="21"/>
                <w:highlight w:val="none"/>
              </w:rPr>
              <w:t>及联系电话</w:t>
            </w:r>
          </w:p>
        </w:tc>
      </w:tr>
      <w:tr w14:paraId="19E541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988" w:type="dxa"/>
            <w:tcBorders>
              <w:top w:val="single" w:color="auto" w:sz="4" w:space="0"/>
              <w:left w:val="single" w:color="auto" w:sz="4" w:space="0"/>
              <w:bottom w:val="single" w:color="auto" w:sz="4" w:space="0"/>
              <w:right w:val="single" w:color="auto" w:sz="4" w:space="0"/>
            </w:tcBorders>
          </w:tcPr>
          <w:p w14:paraId="1AA77525">
            <w:pPr>
              <w:snapToGrid w:val="0"/>
              <w:spacing w:line="240" w:lineRule="exact"/>
              <w:jc w:val="left"/>
              <w:rPr>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tcPr>
          <w:p w14:paraId="4B9CC2BC">
            <w:pPr>
              <w:snapToGrid w:val="0"/>
              <w:spacing w:line="240" w:lineRule="exact"/>
              <w:jc w:val="left"/>
              <w:rPr>
                <w:color w:val="auto"/>
                <w:szCs w:val="21"/>
                <w:highlight w:val="none"/>
              </w:rPr>
            </w:pPr>
          </w:p>
        </w:tc>
        <w:tc>
          <w:tcPr>
            <w:tcW w:w="2745" w:type="dxa"/>
            <w:tcBorders>
              <w:top w:val="single" w:color="auto" w:sz="4" w:space="0"/>
              <w:left w:val="single" w:color="auto" w:sz="4" w:space="0"/>
              <w:bottom w:val="single" w:color="auto" w:sz="4" w:space="0"/>
              <w:right w:val="single" w:color="auto" w:sz="4" w:space="0"/>
            </w:tcBorders>
          </w:tcPr>
          <w:p w14:paraId="51FE6189">
            <w:pPr>
              <w:snapToGrid w:val="0"/>
              <w:spacing w:line="240" w:lineRule="exact"/>
              <w:jc w:val="left"/>
              <w:rPr>
                <w:color w:val="auto"/>
                <w:szCs w:val="21"/>
                <w:highlight w:val="none"/>
              </w:rPr>
            </w:pPr>
          </w:p>
        </w:tc>
        <w:tc>
          <w:tcPr>
            <w:tcW w:w="1759" w:type="dxa"/>
            <w:tcBorders>
              <w:top w:val="single" w:color="auto" w:sz="4" w:space="0"/>
              <w:left w:val="single" w:color="auto" w:sz="4" w:space="0"/>
              <w:bottom w:val="single" w:color="auto" w:sz="4" w:space="0"/>
              <w:right w:val="single" w:color="auto" w:sz="4" w:space="0"/>
            </w:tcBorders>
          </w:tcPr>
          <w:p w14:paraId="29B97F1F">
            <w:pPr>
              <w:snapToGrid w:val="0"/>
              <w:spacing w:line="240" w:lineRule="exact"/>
              <w:jc w:val="left"/>
              <w:rPr>
                <w:color w:val="auto"/>
                <w:szCs w:val="21"/>
                <w:highlight w:val="none"/>
              </w:rPr>
            </w:pPr>
          </w:p>
        </w:tc>
        <w:tc>
          <w:tcPr>
            <w:tcW w:w="2385" w:type="dxa"/>
            <w:tcBorders>
              <w:top w:val="single" w:color="auto" w:sz="4" w:space="0"/>
              <w:left w:val="single" w:color="auto" w:sz="4" w:space="0"/>
              <w:bottom w:val="single" w:color="auto" w:sz="4" w:space="0"/>
              <w:right w:val="single" w:color="auto" w:sz="4" w:space="0"/>
            </w:tcBorders>
          </w:tcPr>
          <w:p w14:paraId="60E07536">
            <w:pPr>
              <w:snapToGrid w:val="0"/>
              <w:spacing w:line="240" w:lineRule="exact"/>
              <w:jc w:val="left"/>
              <w:rPr>
                <w:color w:val="auto"/>
                <w:szCs w:val="21"/>
                <w:highlight w:val="none"/>
              </w:rPr>
            </w:pPr>
          </w:p>
        </w:tc>
      </w:tr>
      <w:tr w14:paraId="6CDC11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tcPr>
          <w:p w14:paraId="36BB58D2">
            <w:pPr>
              <w:snapToGrid w:val="0"/>
              <w:spacing w:before="50" w:after="156" w:afterLines="50" w:line="400" w:lineRule="exact"/>
              <w:jc w:val="left"/>
              <w:rPr>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tcPr>
          <w:p w14:paraId="133E6AAC">
            <w:pPr>
              <w:snapToGrid w:val="0"/>
              <w:spacing w:before="50" w:after="156" w:afterLines="50" w:line="400" w:lineRule="exact"/>
              <w:jc w:val="left"/>
              <w:rPr>
                <w:color w:val="auto"/>
                <w:szCs w:val="21"/>
                <w:highlight w:val="none"/>
              </w:rPr>
            </w:pPr>
          </w:p>
        </w:tc>
        <w:tc>
          <w:tcPr>
            <w:tcW w:w="2745" w:type="dxa"/>
            <w:tcBorders>
              <w:top w:val="single" w:color="auto" w:sz="4" w:space="0"/>
              <w:left w:val="single" w:color="auto" w:sz="4" w:space="0"/>
              <w:bottom w:val="single" w:color="auto" w:sz="4" w:space="0"/>
              <w:right w:val="single" w:color="auto" w:sz="4" w:space="0"/>
            </w:tcBorders>
          </w:tcPr>
          <w:p w14:paraId="7BAFA093">
            <w:pPr>
              <w:snapToGrid w:val="0"/>
              <w:spacing w:before="50" w:after="156" w:afterLines="50" w:line="400" w:lineRule="exact"/>
              <w:jc w:val="left"/>
              <w:rPr>
                <w:color w:val="auto"/>
                <w:szCs w:val="21"/>
                <w:highlight w:val="none"/>
              </w:rPr>
            </w:pPr>
          </w:p>
        </w:tc>
        <w:tc>
          <w:tcPr>
            <w:tcW w:w="1759" w:type="dxa"/>
            <w:tcBorders>
              <w:top w:val="single" w:color="auto" w:sz="4" w:space="0"/>
              <w:left w:val="single" w:color="auto" w:sz="4" w:space="0"/>
              <w:bottom w:val="single" w:color="auto" w:sz="4" w:space="0"/>
              <w:right w:val="single" w:color="auto" w:sz="4" w:space="0"/>
            </w:tcBorders>
          </w:tcPr>
          <w:p w14:paraId="30C4ED57">
            <w:pPr>
              <w:snapToGrid w:val="0"/>
              <w:spacing w:before="50" w:after="156" w:afterLines="50" w:line="400" w:lineRule="exact"/>
              <w:jc w:val="left"/>
              <w:rPr>
                <w:color w:val="auto"/>
                <w:szCs w:val="21"/>
                <w:highlight w:val="none"/>
              </w:rPr>
            </w:pPr>
          </w:p>
        </w:tc>
        <w:tc>
          <w:tcPr>
            <w:tcW w:w="2385" w:type="dxa"/>
            <w:tcBorders>
              <w:top w:val="single" w:color="auto" w:sz="4" w:space="0"/>
              <w:left w:val="single" w:color="auto" w:sz="4" w:space="0"/>
              <w:bottom w:val="single" w:color="auto" w:sz="4" w:space="0"/>
              <w:right w:val="single" w:color="auto" w:sz="4" w:space="0"/>
            </w:tcBorders>
          </w:tcPr>
          <w:p w14:paraId="27AC0C8B">
            <w:pPr>
              <w:snapToGrid w:val="0"/>
              <w:spacing w:before="50" w:after="156" w:afterLines="50" w:line="400" w:lineRule="exact"/>
              <w:jc w:val="left"/>
              <w:rPr>
                <w:color w:val="auto"/>
                <w:szCs w:val="21"/>
                <w:highlight w:val="none"/>
              </w:rPr>
            </w:pPr>
          </w:p>
        </w:tc>
      </w:tr>
      <w:tr w14:paraId="30F5EA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988" w:type="dxa"/>
            <w:tcBorders>
              <w:top w:val="single" w:color="auto" w:sz="4" w:space="0"/>
              <w:left w:val="single" w:color="auto" w:sz="4" w:space="0"/>
              <w:bottom w:val="single" w:color="auto" w:sz="4" w:space="0"/>
              <w:right w:val="single" w:color="auto" w:sz="4" w:space="0"/>
            </w:tcBorders>
          </w:tcPr>
          <w:p w14:paraId="3963ED12">
            <w:pPr>
              <w:snapToGrid w:val="0"/>
              <w:spacing w:before="50" w:after="156" w:afterLines="50" w:line="400" w:lineRule="exact"/>
              <w:jc w:val="left"/>
              <w:rPr>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tcPr>
          <w:p w14:paraId="436DB134">
            <w:pPr>
              <w:snapToGrid w:val="0"/>
              <w:spacing w:before="50" w:after="156" w:afterLines="50" w:line="400" w:lineRule="exact"/>
              <w:jc w:val="left"/>
              <w:rPr>
                <w:color w:val="auto"/>
                <w:szCs w:val="21"/>
                <w:highlight w:val="none"/>
              </w:rPr>
            </w:pPr>
          </w:p>
        </w:tc>
        <w:tc>
          <w:tcPr>
            <w:tcW w:w="2745" w:type="dxa"/>
            <w:tcBorders>
              <w:top w:val="single" w:color="auto" w:sz="4" w:space="0"/>
              <w:left w:val="single" w:color="auto" w:sz="4" w:space="0"/>
              <w:bottom w:val="single" w:color="auto" w:sz="4" w:space="0"/>
              <w:right w:val="single" w:color="auto" w:sz="4" w:space="0"/>
            </w:tcBorders>
          </w:tcPr>
          <w:p w14:paraId="58622A38">
            <w:pPr>
              <w:snapToGrid w:val="0"/>
              <w:spacing w:before="50" w:after="156" w:afterLines="50" w:line="400" w:lineRule="exact"/>
              <w:jc w:val="left"/>
              <w:rPr>
                <w:color w:val="auto"/>
                <w:szCs w:val="21"/>
                <w:highlight w:val="none"/>
              </w:rPr>
            </w:pPr>
          </w:p>
        </w:tc>
        <w:tc>
          <w:tcPr>
            <w:tcW w:w="1759" w:type="dxa"/>
            <w:tcBorders>
              <w:top w:val="single" w:color="auto" w:sz="4" w:space="0"/>
              <w:left w:val="single" w:color="auto" w:sz="4" w:space="0"/>
              <w:bottom w:val="single" w:color="auto" w:sz="4" w:space="0"/>
              <w:right w:val="single" w:color="auto" w:sz="4" w:space="0"/>
            </w:tcBorders>
          </w:tcPr>
          <w:p w14:paraId="238FE1CA">
            <w:pPr>
              <w:snapToGrid w:val="0"/>
              <w:spacing w:before="50" w:after="156" w:afterLines="50" w:line="400" w:lineRule="exact"/>
              <w:jc w:val="left"/>
              <w:rPr>
                <w:color w:val="auto"/>
                <w:szCs w:val="21"/>
                <w:highlight w:val="none"/>
              </w:rPr>
            </w:pPr>
          </w:p>
        </w:tc>
        <w:tc>
          <w:tcPr>
            <w:tcW w:w="2385" w:type="dxa"/>
            <w:tcBorders>
              <w:top w:val="single" w:color="auto" w:sz="4" w:space="0"/>
              <w:left w:val="single" w:color="auto" w:sz="4" w:space="0"/>
              <w:bottom w:val="single" w:color="auto" w:sz="4" w:space="0"/>
              <w:right w:val="single" w:color="auto" w:sz="4" w:space="0"/>
            </w:tcBorders>
          </w:tcPr>
          <w:p w14:paraId="474D66B6">
            <w:pPr>
              <w:snapToGrid w:val="0"/>
              <w:spacing w:before="50" w:after="156" w:afterLines="50" w:line="400" w:lineRule="exact"/>
              <w:jc w:val="left"/>
              <w:rPr>
                <w:color w:val="auto"/>
                <w:szCs w:val="21"/>
                <w:highlight w:val="none"/>
              </w:rPr>
            </w:pPr>
          </w:p>
        </w:tc>
      </w:tr>
      <w:tr w14:paraId="45B809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tcPr>
          <w:p w14:paraId="73C40F5C">
            <w:pPr>
              <w:snapToGrid w:val="0"/>
              <w:spacing w:before="50" w:after="156" w:afterLines="50" w:line="400" w:lineRule="exact"/>
              <w:jc w:val="left"/>
              <w:rPr>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tcPr>
          <w:p w14:paraId="161B423B">
            <w:pPr>
              <w:snapToGrid w:val="0"/>
              <w:spacing w:before="50" w:after="156" w:afterLines="50" w:line="400" w:lineRule="exact"/>
              <w:jc w:val="left"/>
              <w:rPr>
                <w:color w:val="auto"/>
                <w:szCs w:val="21"/>
                <w:highlight w:val="none"/>
              </w:rPr>
            </w:pPr>
          </w:p>
        </w:tc>
        <w:tc>
          <w:tcPr>
            <w:tcW w:w="2745" w:type="dxa"/>
            <w:tcBorders>
              <w:top w:val="single" w:color="auto" w:sz="4" w:space="0"/>
              <w:left w:val="single" w:color="auto" w:sz="4" w:space="0"/>
              <w:bottom w:val="single" w:color="auto" w:sz="4" w:space="0"/>
              <w:right w:val="single" w:color="auto" w:sz="4" w:space="0"/>
            </w:tcBorders>
          </w:tcPr>
          <w:p w14:paraId="1DDAC592">
            <w:pPr>
              <w:snapToGrid w:val="0"/>
              <w:spacing w:before="50" w:after="156" w:afterLines="50" w:line="400" w:lineRule="exact"/>
              <w:jc w:val="left"/>
              <w:rPr>
                <w:color w:val="auto"/>
                <w:szCs w:val="21"/>
                <w:highlight w:val="none"/>
              </w:rPr>
            </w:pPr>
          </w:p>
        </w:tc>
        <w:tc>
          <w:tcPr>
            <w:tcW w:w="1759" w:type="dxa"/>
            <w:tcBorders>
              <w:top w:val="single" w:color="auto" w:sz="4" w:space="0"/>
              <w:left w:val="single" w:color="auto" w:sz="4" w:space="0"/>
              <w:bottom w:val="single" w:color="auto" w:sz="4" w:space="0"/>
              <w:right w:val="single" w:color="auto" w:sz="4" w:space="0"/>
            </w:tcBorders>
          </w:tcPr>
          <w:p w14:paraId="3932511C">
            <w:pPr>
              <w:snapToGrid w:val="0"/>
              <w:spacing w:before="50" w:after="156" w:afterLines="50" w:line="400" w:lineRule="exact"/>
              <w:jc w:val="left"/>
              <w:rPr>
                <w:color w:val="auto"/>
                <w:szCs w:val="21"/>
                <w:highlight w:val="none"/>
              </w:rPr>
            </w:pPr>
          </w:p>
        </w:tc>
        <w:tc>
          <w:tcPr>
            <w:tcW w:w="2385" w:type="dxa"/>
            <w:tcBorders>
              <w:top w:val="single" w:color="auto" w:sz="4" w:space="0"/>
              <w:left w:val="single" w:color="auto" w:sz="4" w:space="0"/>
              <w:bottom w:val="single" w:color="auto" w:sz="4" w:space="0"/>
              <w:right w:val="single" w:color="auto" w:sz="4" w:space="0"/>
            </w:tcBorders>
          </w:tcPr>
          <w:p w14:paraId="504DB2A7">
            <w:pPr>
              <w:snapToGrid w:val="0"/>
              <w:spacing w:before="50" w:after="156" w:afterLines="50" w:line="400" w:lineRule="exact"/>
              <w:jc w:val="left"/>
              <w:rPr>
                <w:color w:val="auto"/>
                <w:szCs w:val="21"/>
                <w:highlight w:val="none"/>
              </w:rPr>
            </w:pPr>
          </w:p>
        </w:tc>
      </w:tr>
      <w:tr w14:paraId="4202CA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tcPr>
          <w:p w14:paraId="5021E291">
            <w:pPr>
              <w:snapToGrid w:val="0"/>
              <w:spacing w:before="50" w:after="156" w:afterLines="50" w:line="400" w:lineRule="exact"/>
              <w:jc w:val="left"/>
              <w:rPr>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tcPr>
          <w:p w14:paraId="52CDA465">
            <w:pPr>
              <w:snapToGrid w:val="0"/>
              <w:spacing w:before="50" w:after="156" w:afterLines="50" w:line="400" w:lineRule="exact"/>
              <w:jc w:val="left"/>
              <w:rPr>
                <w:color w:val="auto"/>
                <w:szCs w:val="21"/>
                <w:highlight w:val="none"/>
              </w:rPr>
            </w:pPr>
          </w:p>
        </w:tc>
        <w:tc>
          <w:tcPr>
            <w:tcW w:w="2745" w:type="dxa"/>
            <w:tcBorders>
              <w:top w:val="single" w:color="auto" w:sz="4" w:space="0"/>
              <w:left w:val="single" w:color="auto" w:sz="4" w:space="0"/>
              <w:bottom w:val="single" w:color="auto" w:sz="4" w:space="0"/>
              <w:right w:val="single" w:color="auto" w:sz="4" w:space="0"/>
            </w:tcBorders>
          </w:tcPr>
          <w:p w14:paraId="6EA1B813">
            <w:pPr>
              <w:snapToGrid w:val="0"/>
              <w:spacing w:before="50" w:after="156" w:afterLines="50" w:line="400" w:lineRule="exact"/>
              <w:jc w:val="left"/>
              <w:rPr>
                <w:color w:val="auto"/>
                <w:szCs w:val="21"/>
                <w:highlight w:val="none"/>
              </w:rPr>
            </w:pPr>
          </w:p>
        </w:tc>
        <w:tc>
          <w:tcPr>
            <w:tcW w:w="1759" w:type="dxa"/>
            <w:tcBorders>
              <w:top w:val="single" w:color="auto" w:sz="4" w:space="0"/>
              <w:left w:val="single" w:color="auto" w:sz="4" w:space="0"/>
              <w:bottom w:val="single" w:color="auto" w:sz="4" w:space="0"/>
              <w:right w:val="single" w:color="auto" w:sz="4" w:space="0"/>
            </w:tcBorders>
          </w:tcPr>
          <w:p w14:paraId="6B5FF4B0">
            <w:pPr>
              <w:snapToGrid w:val="0"/>
              <w:spacing w:before="50" w:after="156" w:afterLines="50" w:line="400" w:lineRule="exact"/>
              <w:jc w:val="left"/>
              <w:rPr>
                <w:color w:val="auto"/>
                <w:szCs w:val="21"/>
                <w:highlight w:val="none"/>
              </w:rPr>
            </w:pPr>
          </w:p>
        </w:tc>
        <w:tc>
          <w:tcPr>
            <w:tcW w:w="2385" w:type="dxa"/>
            <w:tcBorders>
              <w:top w:val="single" w:color="auto" w:sz="4" w:space="0"/>
              <w:left w:val="single" w:color="auto" w:sz="4" w:space="0"/>
              <w:bottom w:val="single" w:color="auto" w:sz="4" w:space="0"/>
              <w:right w:val="single" w:color="auto" w:sz="4" w:space="0"/>
            </w:tcBorders>
          </w:tcPr>
          <w:p w14:paraId="27B9B9B0">
            <w:pPr>
              <w:snapToGrid w:val="0"/>
              <w:spacing w:before="50" w:after="156" w:afterLines="50" w:line="400" w:lineRule="exact"/>
              <w:jc w:val="left"/>
              <w:rPr>
                <w:color w:val="auto"/>
                <w:szCs w:val="21"/>
                <w:highlight w:val="none"/>
              </w:rPr>
            </w:pPr>
          </w:p>
        </w:tc>
      </w:tr>
    </w:tbl>
    <w:p w14:paraId="4F282647">
      <w:pPr>
        <w:pStyle w:val="10"/>
        <w:spacing w:before="0" w:after="0" w:line="360" w:lineRule="auto"/>
        <w:contextualSpacing/>
        <w:rPr>
          <w:rFonts w:ascii="Times New Roman" w:hAnsi="Times New Roman" w:eastAsia="宋体" w:cs="Times New Roman"/>
          <w:color w:val="auto"/>
          <w:sz w:val="21"/>
          <w:szCs w:val="21"/>
          <w:highlight w:val="none"/>
        </w:rPr>
      </w:pPr>
    </w:p>
    <w:p w14:paraId="5FE9C906">
      <w:pPr>
        <w:pStyle w:val="10"/>
        <w:spacing w:before="0" w:after="0" w:line="360" w:lineRule="auto"/>
        <w:contextualSpacing/>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注：</w:t>
      </w:r>
      <w:r>
        <w:rPr>
          <w:rFonts w:hint="eastAsia" w:ascii="Times New Roman" w:hAnsi="Times New Roman" w:eastAsia="宋体" w:cs="Times New Roman"/>
          <w:color w:val="auto"/>
          <w:sz w:val="21"/>
          <w:szCs w:val="21"/>
          <w:highlight w:val="none"/>
          <w:lang w:eastAsia="zh-CN"/>
        </w:rPr>
        <w:t>投标人</w:t>
      </w:r>
      <w:r>
        <w:rPr>
          <w:rFonts w:ascii="Times New Roman" w:hAnsi="Times New Roman" w:eastAsia="宋体" w:cs="Times New Roman"/>
          <w:color w:val="auto"/>
          <w:sz w:val="21"/>
          <w:szCs w:val="21"/>
          <w:highlight w:val="none"/>
        </w:rPr>
        <w:t>根据评标标准具体要求附业绩证明材料。</w:t>
      </w:r>
    </w:p>
    <w:p w14:paraId="1C0CDFDA">
      <w:pPr>
        <w:snapToGrid w:val="0"/>
        <w:spacing w:before="50" w:after="50"/>
        <w:ind w:firstLine="2520" w:firstLineChars="1200"/>
        <w:rPr>
          <w:color w:val="auto"/>
          <w:szCs w:val="21"/>
          <w:highlight w:val="none"/>
        </w:rPr>
      </w:pPr>
    </w:p>
    <w:p w14:paraId="389FE7AD">
      <w:pPr>
        <w:snapToGrid w:val="0"/>
        <w:spacing w:before="50" w:after="50"/>
        <w:ind w:firstLine="2520" w:firstLineChars="1200"/>
        <w:rPr>
          <w:color w:val="auto"/>
          <w:szCs w:val="21"/>
          <w:highlight w:val="none"/>
        </w:rPr>
      </w:pPr>
    </w:p>
    <w:p w14:paraId="1330390B">
      <w:pPr>
        <w:snapToGrid w:val="0"/>
        <w:spacing w:before="50" w:after="50"/>
        <w:ind w:firstLine="2520" w:firstLineChars="1200"/>
        <w:rPr>
          <w:color w:val="auto"/>
          <w:szCs w:val="21"/>
          <w:highlight w:val="none"/>
        </w:rPr>
      </w:pPr>
    </w:p>
    <w:p w14:paraId="2E2C32D1">
      <w:pPr>
        <w:snapToGrid w:val="0"/>
        <w:spacing w:before="50" w:after="50"/>
        <w:ind w:firstLine="3578" w:firstLineChars="1704"/>
        <w:rPr>
          <w:color w:val="auto"/>
          <w:szCs w:val="21"/>
          <w:highlight w:val="none"/>
          <w:u w:val="single"/>
        </w:rPr>
      </w:pPr>
      <w:r>
        <w:rPr>
          <w:color w:val="auto"/>
          <w:szCs w:val="21"/>
          <w:highlight w:val="none"/>
        </w:rPr>
        <w:t>法定代表人或者委托代理人（签字或电子签名）：</w:t>
      </w:r>
      <w:r>
        <w:rPr>
          <w:color w:val="auto"/>
          <w:szCs w:val="21"/>
          <w:highlight w:val="none"/>
          <w:u w:val="single"/>
        </w:rPr>
        <w:t xml:space="preserve">        </w:t>
      </w:r>
    </w:p>
    <w:p w14:paraId="2A61B795">
      <w:pPr>
        <w:snapToGrid w:val="0"/>
        <w:spacing w:before="156" w:beforeLines="50"/>
        <w:ind w:firstLine="3998" w:firstLineChars="1904"/>
        <w:rPr>
          <w:color w:val="auto"/>
          <w:szCs w:val="21"/>
          <w:highlight w:val="none"/>
        </w:rPr>
      </w:pPr>
      <w:r>
        <w:rPr>
          <w:rFonts w:hint="eastAsia"/>
          <w:color w:val="auto"/>
          <w:szCs w:val="21"/>
          <w:highlight w:val="none"/>
          <w:lang w:eastAsia="zh-CN"/>
        </w:rPr>
        <w:t>投标人名称</w:t>
      </w:r>
      <w:r>
        <w:rPr>
          <w:color w:val="auto"/>
          <w:szCs w:val="21"/>
          <w:highlight w:val="none"/>
        </w:rPr>
        <w:t>（电子</w:t>
      </w:r>
      <w:r>
        <w:rPr>
          <w:rFonts w:hint="eastAsia"/>
          <w:color w:val="auto"/>
          <w:szCs w:val="21"/>
          <w:highlight w:val="none"/>
          <w:lang w:eastAsia="zh-CN"/>
        </w:rPr>
        <w:t>签</w:t>
      </w:r>
      <w:r>
        <w:rPr>
          <w:color w:val="auto"/>
          <w:szCs w:val="21"/>
          <w:highlight w:val="none"/>
        </w:rPr>
        <w:t>章）：</w:t>
      </w:r>
      <w:r>
        <w:rPr>
          <w:color w:val="auto"/>
          <w:szCs w:val="21"/>
          <w:highlight w:val="none"/>
          <w:u w:val="single"/>
        </w:rPr>
        <w:t xml:space="preserve">   </w:t>
      </w:r>
      <w:r>
        <w:rPr>
          <w:rFonts w:hint="eastAsia"/>
          <w:color w:val="auto"/>
          <w:szCs w:val="21"/>
          <w:highlight w:val="none"/>
          <w:u w:val="single"/>
          <w:lang w:val="en-US" w:eastAsia="zh-CN"/>
        </w:rPr>
        <w:t xml:space="preserve">            </w:t>
      </w:r>
      <w:r>
        <w:rPr>
          <w:color w:val="auto"/>
          <w:szCs w:val="21"/>
          <w:highlight w:val="none"/>
          <w:u w:val="single"/>
        </w:rPr>
        <w:t xml:space="preserve">         </w:t>
      </w:r>
      <w:r>
        <w:rPr>
          <w:color w:val="auto"/>
          <w:szCs w:val="21"/>
          <w:highlight w:val="none"/>
        </w:rPr>
        <w:t xml:space="preserve">   </w:t>
      </w:r>
    </w:p>
    <w:p w14:paraId="6152AFB3">
      <w:pPr>
        <w:snapToGrid w:val="0"/>
        <w:spacing w:before="156" w:beforeLines="50"/>
        <w:ind w:firstLine="5048" w:firstLineChars="2404"/>
        <w:rPr>
          <w:color w:val="auto"/>
          <w:sz w:val="24"/>
          <w:szCs w:val="20"/>
          <w:highlight w:val="none"/>
        </w:rPr>
      </w:pPr>
      <w:r>
        <w:rPr>
          <w:color w:val="auto"/>
          <w:szCs w:val="21"/>
          <w:highlight w:val="none"/>
        </w:rPr>
        <w:t xml:space="preserve">日  </w:t>
      </w:r>
      <w:r>
        <w:rPr>
          <w:rFonts w:hint="eastAsia"/>
          <w:color w:val="auto"/>
          <w:szCs w:val="21"/>
          <w:highlight w:val="none"/>
        </w:rPr>
        <w:t xml:space="preserve">  </w:t>
      </w:r>
      <w:r>
        <w:rPr>
          <w:color w:val="auto"/>
          <w:szCs w:val="21"/>
          <w:highlight w:val="none"/>
        </w:rPr>
        <w:t>期：</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14:paraId="3C98BE86">
      <w:pPr>
        <w:rPr>
          <w:color w:val="auto"/>
          <w:highlight w:val="none"/>
        </w:rPr>
      </w:pPr>
    </w:p>
    <w:p w14:paraId="7639EB9C">
      <w:pPr>
        <w:snapToGrid w:val="0"/>
        <w:spacing w:before="50" w:after="156" w:afterLines="50"/>
        <w:jc w:val="left"/>
        <w:rPr>
          <w:rFonts w:ascii="宋体" w:hAnsi="宋体"/>
          <w:color w:val="auto"/>
          <w:sz w:val="24"/>
          <w:szCs w:val="20"/>
          <w:highlight w:val="none"/>
        </w:rPr>
      </w:pPr>
    </w:p>
    <w:p w14:paraId="42764826">
      <w:pPr>
        <w:snapToGrid w:val="0"/>
        <w:spacing w:before="50" w:after="50" w:line="360" w:lineRule="auto"/>
        <w:ind w:right="-817" w:rightChars="-389" w:firstLine="5461" w:firstLineChars="1700"/>
        <w:rPr>
          <w:rFonts w:ascii="仿宋_GB2312" w:hAnsi="仿宋_GB2312" w:eastAsia="仿宋_GB2312" w:cs="仿宋_GB2312"/>
          <w:b/>
          <w:color w:val="auto"/>
          <w:sz w:val="32"/>
          <w:szCs w:val="32"/>
          <w:highlight w:val="none"/>
        </w:rPr>
      </w:pPr>
    </w:p>
    <w:p w14:paraId="6166E675">
      <w:pPr>
        <w:snapToGrid w:val="0"/>
        <w:spacing w:before="156" w:beforeLines="50" w:after="50" w:line="360" w:lineRule="auto"/>
        <w:rPr>
          <w:color w:val="auto"/>
          <w:szCs w:val="21"/>
          <w:highlight w:val="none"/>
        </w:rPr>
      </w:pPr>
      <w:r>
        <w:rPr>
          <w:rFonts w:ascii="宋体" w:hAnsi="宋体"/>
          <w:b/>
          <w:bCs/>
          <w:color w:val="auto"/>
          <w:sz w:val="24"/>
          <w:highlight w:val="none"/>
        </w:rPr>
        <w:br w:type="page"/>
      </w:r>
      <w:r>
        <w:rPr>
          <w:b/>
          <w:bCs/>
          <w:color w:val="auto"/>
          <w:sz w:val="24"/>
          <w:highlight w:val="none"/>
        </w:rPr>
        <w:t>其他文书、文件格式</w:t>
      </w:r>
    </w:p>
    <w:p w14:paraId="4D98BBB0">
      <w:pPr>
        <w:spacing w:before="156" w:beforeLines="50" w:after="156" w:afterLines="50" w:line="528" w:lineRule="exact"/>
        <w:jc w:val="center"/>
        <w:rPr>
          <w:b/>
          <w:bCs/>
          <w:color w:val="auto"/>
          <w:kern w:val="44"/>
          <w:sz w:val="30"/>
          <w:szCs w:val="30"/>
          <w:highlight w:val="none"/>
        </w:rPr>
      </w:pPr>
      <w:r>
        <w:rPr>
          <w:b/>
          <w:bCs/>
          <w:color w:val="auto"/>
          <w:kern w:val="44"/>
          <w:sz w:val="30"/>
          <w:szCs w:val="30"/>
          <w:highlight w:val="none"/>
        </w:rPr>
        <w:t>中小微企业划型标准</w:t>
      </w:r>
    </w:p>
    <w:tbl>
      <w:tblPr>
        <w:tblStyle w:val="32"/>
        <w:tblW w:w="9727" w:type="dxa"/>
        <w:jc w:val="center"/>
        <w:tblLayout w:type="fixed"/>
        <w:tblCellMar>
          <w:top w:w="0" w:type="dxa"/>
          <w:left w:w="108" w:type="dxa"/>
          <w:bottom w:w="0" w:type="dxa"/>
          <w:right w:w="108" w:type="dxa"/>
        </w:tblCellMar>
      </w:tblPr>
      <w:tblGrid>
        <w:gridCol w:w="1875"/>
        <w:gridCol w:w="1642"/>
        <w:gridCol w:w="1185"/>
        <w:gridCol w:w="1815"/>
        <w:gridCol w:w="1620"/>
        <w:gridCol w:w="1590"/>
      </w:tblGrid>
      <w:tr w14:paraId="30D25CAA">
        <w:tblPrEx>
          <w:tblCellMar>
            <w:top w:w="0" w:type="dxa"/>
            <w:left w:w="108" w:type="dxa"/>
            <w:bottom w:w="0" w:type="dxa"/>
            <w:right w:w="108" w:type="dxa"/>
          </w:tblCellMar>
        </w:tblPrEx>
        <w:trPr>
          <w:trHeight w:val="527" w:hRule="atLeast"/>
          <w:jc w:val="center"/>
        </w:trPr>
        <w:tc>
          <w:tcPr>
            <w:tcW w:w="1875" w:type="dxa"/>
            <w:tcBorders>
              <w:top w:val="single" w:color="auto" w:sz="4" w:space="0"/>
              <w:left w:val="single" w:color="auto" w:sz="4" w:space="0"/>
              <w:bottom w:val="single" w:color="auto" w:sz="4" w:space="0"/>
              <w:right w:val="single" w:color="auto" w:sz="4" w:space="0"/>
            </w:tcBorders>
            <w:vAlign w:val="center"/>
          </w:tcPr>
          <w:p w14:paraId="48265C89">
            <w:pPr>
              <w:widowControl/>
              <w:jc w:val="center"/>
              <w:rPr>
                <w:b/>
                <w:color w:val="auto"/>
                <w:kern w:val="0"/>
                <w:szCs w:val="21"/>
                <w:highlight w:val="none"/>
              </w:rPr>
            </w:pPr>
            <w:r>
              <w:rPr>
                <w:b/>
                <w:color w:val="auto"/>
                <w:kern w:val="0"/>
                <w:szCs w:val="21"/>
                <w:highlight w:val="none"/>
              </w:rPr>
              <w:t>行业名称</w:t>
            </w:r>
          </w:p>
        </w:tc>
        <w:tc>
          <w:tcPr>
            <w:tcW w:w="1642" w:type="dxa"/>
            <w:tcBorders>
              <w:top w:val="single" w:color="auto" w:sz="4" w:space="0"/>
              <w:left w:val="nil"/>
              <w:bottom w:val="single" w:color="auto" w:sz="4" w:space="0"/>
              <w:right w:val="single" w:color="auto" w:sz="4" w:space="0"/>
            </w:tcBorders>
            <w:vAlign w:val="center"/>
          </w:tcPr>
          <w:p w14:paraId="4C8CB2A8">
            <w:pPr>
              <w:widowControl/>
              <w:jc w:val="center"/>
              <w:rPr>
                <w:b/>
                <w:color w:val="auto"/>
                <w:kern w:val="0"/>
                <w:szCs w:val="21"/>
                <w:highlight w:val="none"/>
              </w:rPr>
            </w:pPr>
            <w:r>
              <w:rPr>
                <w:b/>
                <w:color w:val="auto"/>
                <w:kern w:val="0"/>
                <w:szCs w:val="21"/>
                <w:highlight w:val="none"/>
              </w:rPr>
              <w:t>指标名称</w:t>
            </w:r>
          </w:p>
        </w:tc>
        <w:tc>
          <w:tcPr>
            <w:tcW w:w="1185" w:type="dxa"/>
            <w:tcBorders>
              <w:top w:val="single" w:color="auto" w:sz="4" w:space="0"/>
              <w:left w:val="nil"/>
              <w:bottom w:val="single" w:color="auto" w:sz="4" w:space="0"/>
              <w:right w:val="single" w:color="auto" w:sz="4" w:space="0"/>
            </w:tcBorders>
            <w:vAlign w:val="center"/>
          </w:tcPr>
          <w:p w14:paraId="18E67F72">
            <w:pPr>
              <w:widowControl/>
              <w:jc w:val="center"/>
              <w:rPr>
                <w:b/>
                <w:color w:val="auto"/>
                <w:kern w:val="0"/>
                <w:szCs w:val="21"/>
                <w:highlight w:val="none"/>
              </w:rPr>
            </w:pPr>
            <w:r>
              <w:rPr>
                <w:b/>
                <w:color w:val="auto"/>
                <w:kern w:val="0"/>
                <w:szCs w:val="21"/>
                <w:highlight w:val="none"/>
              </w:rPr>
              <w:t>计量单位</w:t>
            </w:r>
          </w:p>
        </w:tc>
        <w:tc>
          <w:tcPr>
            <w:tcW w:w="1815" w:type="dxa"/>
            <w:tcBorders>
              <w:top w:val="single" w:color="auto" w:sz="4" w:space="0"/>
              <w:left w:val="nil"/>
              <w:bottom w:val="single" w:color="auto" w:sz="4" w:space="0"/>
              <w:right w:val="single" w:color="auto" w:sz="4" w:space="0"/>
            </w:tcBorders>
            <w:vAlign w:val="center"/>
          </w:tcPr>
          <w:p w14:paraId="3AEF8BE9">
            <w:pPr>
              <w:widowControl/>
              <w:jc w:val="center"/>
              <w:rPr>
                <w:b/>
                <w:color w:val="auto"/>
                <w:kern w:val="0"/>
                <w:szCs w:val="21"/>
                <w:highlight w:val="none"/>
              </w:rPr>
            </w:pPr>
            <w:r>
              <w:rPr>
                <w:b/>
                <w:color w:val="auto"/>
                <w:kern w:val="0"/>
                <w:szCs w:val="21"/>
                <w:highlight w:val="none"/>
              </w:rPr>
              <w:t>中型</w:t>
            </w:r>
          </w:p>
        </w:tc>
        <w:tc>
          <w:tcPr>
            <w:tcW w:w="1620" w:type="dxa"/>
            <w:tcBorders>
              <w:top w:val="single" w:color="auto" w:sz="4" w:space="0"/>
              <w:left w:val="nil"/>
              <w:bottom w:val="single" w:color="auto" w:sz="4" w:space="0"/>
              <w:right w:val="single" w:color="auto" w:sz="4" w:space="0"/>
            </w:tcBorders>
            <w:vAlign w:val="center"/>
          </w:tcPr>
          <w:p w14:paraId="3FBFFCC1">
            <w:pPr>
              <w:widowControl/>
              <w:jc w:val="center"/>
              <w:rPr>
                <w:b/>
                <w:color w:val="auto"/>
                <w:kern w:val="0"/>
                <w:szCs w:val="21"/>
                <w:highlight w:val="none"/>
              </w:rPr>
            </w:pPr>
            <w:r>
              <w:rPr>
                <w:b/>
                <w:color w:val="auto"/>
                <w:kern w:val="0"/>
                <w:szCs w:val="21"/>
                <w:highlight w:val="none"/>
              </w:rPr>
              <w:t>小型</w:t>
            </w:r>
          </w:p>
        </w:tc>
        <w:tc>
          <w:tcPr>
            <w:tcW w:w="1590" w:type="dxa"/>
            <w:tcBorders>
              <w:top w:val="single" w:color="auto" w:sz="4" w:space="0"/>
              <w:left w:val="nil"/>
              <w:bottom w:val="single" w:color="auto" w:sz="4" w:space="0"/>
              <w:right w:val="single" w:color="auto" w:sz="4" w:space="0"/>
            </w:tcBorders>
            <w:vAlign w:val="center"/>
          </w:tcPr>
          <w:p w14:paraId="308E3F71">
            <w:pPr>
              <w:widowControl/>
              <w:jc w:val="center"/>
              <w:rPr>
                <w:b/>
                <w:color w:val="auto"/>
                <w:kern w:val="0"/>
                <w:szCs w:val="21"/>
                <w:highlight w:val="none"/>
              </w:rPr>
            </w:pPr>
            <w:r>
              <w:rPr>
                <w:b/>
                <w:color w:val="auto"/>
                <w:kern w:val="0"/>
                <w:szCs w:val="21"/>
                <w:highlight w:val="none"/>
              </w:rPr>
              <w:t>微型</w:t>
            </w:r>
          </w:p>
        </w:tc>
      </w:tr>
      <w:tr w14:paraId="468A4E86">
        <w:tblPrEx>
          <w:tblCellMar>
            <w:top w:w="0" w:type="dxa"/>
            <w:left w:w="108" w:type="dxa"/>
            <w:bottom w:w="0" w:type="dxa"/>
            <w:right w:w="108" w:type="dxa"/>
          </w:tblCellMar>
        </w:tblPrEx>
        <w:trPr>
          <w:trHeight w:val="369" w:hRule="exact"/>
          <w:jc w:val="center"/>
        </w:trPr>
        <w:tc>
          <w:tcPr>
            <w:tcW w:w="1875" w:type="dxa"/>
            <w:tcBorders>
              <w:top w:val="nil"/>
              <w:left w:val="single" w:color="auto" w:sz="4" w:space="0"/>
              <w:bottom w:val="single" w:color="auto" w:sz="4" w:space="0"/>
              <w:right w:val="single" w:color="auto" w:sz="4" w:space="0"/>
            </w:tcBorders>
            <w:vAlign w:val="bottom"/>
          </w:tcPr>
          <w:p w14:paraId="00881AB2">
            <w:pPr>
              <w:widowControl/>
              <w:jc w:val="center"/>
              <w:rPr>
                <w:b/>
                <w:bCs/>
                <w:color w:val="auto"/>
                <w:kern w:val="0"/>
                <w:szCs w:val="21"/>
                <w:highlight w:val="none"/>
              </w:rPr>
            </w:pPr>
            <w:r>
              <w:rPr>
                <w:b/>
                <w:bCs/>
                <w:color w:val="auto"/>
                <w:kern w:val="0"/>
                <w:szCs w:val="21"/>
                <w:highlight w:val="none"/>
              </w:rPr>
              <w:t>农、林、牧、渔</w:t>
            </w:r>
          </w:p>
        </w:tc>
        <w:tc>
          <w:tcPr>
            <w:tcW w:w="1642" w:type="dxa"/>
            <w:tcBorders>
              <w:top w:val="nil"/>
              <w:left w:val="nil"/>
              <w:bottom w:val="single" w:color="auto" w:sz="4" w:space="0"/>
              <w:right w:val="single" w:color="auto" w:sz="4" w:space="0"/>
            </w:tcBorders>
            <w:vAlign w:val="center"/>
          </w:tcPr>
          <w:p w14:paraId="2E205392">
            <w:pPr>
              <w:widowControl/>
              <w:jc w:val="left"/>
              <w:rPr>
                <w:color w:val="auto"/>
                <w:kern w:val="0"/>
                <w:szCs w:val="21"/>
                <w:highlight w:val="none"/>
              </w:rPr>
            </w:pPr>
            <w:r>
              <w:rPr>
                <w:color w:val="auto"/>
                <w:kern w:val="0"/>
                <w:szCs w:val="21"/>
                <w:highlight w:val="none"/>
              </w:rPr>
              <w:t>营业收入（Y）</w:t>
            </w:r>
          </w:p>
        </w:tc>
        <w:tc>
          <w:tcPr>
            <w:tcW w:w="1185" w:type="dxa"/>
            <w:tcBorders>
              <w:top w:val="nil"/>
              <w:left w:val="nil"/>
              <w:bottom w:val="single" w:color="auto" w:sz="4" w:space="0"/>
              <w:right w:val="single" w:color="auto" w:sz="4" w:space="0"/>
            </w:tcBorders>
            <w:vAlign w:val="center"/>
          </w:tcPr>
          <w:p w14:paraId="2FB48B46">
            <w:pPr>
              <w:widowControl/>
              <w:jc w:val="left"/>
              <w:rPr>
                <w:color w:val="auto"/>
                <w:kern w:val="0"/>
                <w:szCs w:val="21"/>
                <w:highlight w:val="none"/>
              </w:rPr>
            </w:pPr>
            <w:r>
              <w:rPr>
                <w:color w:val="auto"/>
                <w:kern w:val="0"/>
                <w:szCs w:val="21"/>
                <w:highlight w:val="none"/>
              </w:rPr>
              <w:t>万元</w:t>
            </w:r>
          </w:p>
        </w:tc>
        <w:tc>
          <w:tcPr>
            <w:tcW w:w="1815" w:type="dxa"/>
            <w:tcBorders>
              <w:top w:val="nil"/>
              <w:left w:val="nil"/>
              <w:bottom w:val="single" w:color="auto" w:sz="4" w:space="0"/>
              <w:right w:val="single" w:color="auto" w:sz="4" w:space="0"/>
            </w:tcBorders>
            <w:vAlign w:val="center"/>
          </w:tcPr>
          <w:p w14:paraId="75AE2084">
            <w:pPr>
              <w:widowControl/>
              <w:jc w:val="left"/>
              <w:rPr>
                <w:color w:val="auto"/>
                <w:kern w:val="0"/>
                <w:szCs w:val="21"/>
                <w:highlight w:val="none"/>
              </w:rPr>
            </w:pPr>
            <w:r>
              <w:rPr>
                <w:color w:val="auto"/>
                <w:kern w:val="0"/>
                <w:szCs w:val="21"/>
                <w:highlight w:val="none"/>
              </w:rPr>
              <w:t>500≤Y＜20000</w:t>
            </w:r>
          </w:p>
        </w:tc>
        <w:tc>
          <w:tcPr>
            <w:tcW w:w="1620" w:type="dxa"/>
            <w:tcBorders>
              <w:top w:val="nil"/>
              <w:left w:val="nil"/>
              <w:bottom w:val="single" w:color="auto" w:sz="4" w:space="0"/>
              <w:right w:val="single" w:color="auto" w:sz="4" w:space="0"/>
            </w:tcBorders>
            <w:vAlign w:val="center"/>
          </w:tcPr>
          <w:p w14:paraId="37EACB39">
            <w:pPr>
              <w:widowControl/>
              <w:jc w:val="left"/>
              <w:rPr>
                <w:color w:val="auto"/>
                <w:kern w:val="0"/>
                <w:szCs w:val="21"/>
                <w:highlight w:val="none"/>
              </w:rPr>
            </w:pPr>
            <w:r>
              <w:rPr>
                <w:color w:val="auto"/>
                <w:kern w:val="0"/>
                <w:szCs w:val="21"/>
                <w:highlight w:val="none"/>
              </w:rPr>
              <w:t>50≤Y＜500</w:t>
            </w:r>
          </w:p>
        </w:tc>
        <w:tc>
          <w:tcPr>
            <w:tcW w:w="1590" w:type="dxa"/>
            <w:tcBorders>
              <w:top w:val="nil"/>
              <w:left w:val="nil"/>
              <w:bottom w:val="single" w:color="auto" w:sz="4" w:space="0"/>
              <w:right w:val="single" w:color="auto" w:sz="4" w:space="0"/>
            </w:tcBorders>
            <w:vAlign w:val="center"/>
          </w:tcPr>
          <w:p w14:paraId="401FA5D0">
            <w:pPr>
              <w:widowControl/>
              <w:jc w:val="left"/>
              <w:rPr>
                <w:color w:val="auto"/>
                <w:kern w:val="0"/>
                <w:szCs w:val="21"/>
                <w:highlight w:val="none"/>
              </w:rPr>
            </w:pPr>
            <w:r>
              <w:rPr>
                <w:color w:val="auto"/>
                <w:kern w:val="0"/>
                <w:szCs w:val="21"/>
                <w:highlight w:val="none"/>
              </w:rPr>
              <w:t>Y＜50</w:t>
            </w:r>
          </w:p>
        </w:tc>
      </w:tr>
      <w:tr w14:paraId="5679C028">
        <w:tblPrEx>
          <w:tblCellMar>
            <w:top w:w="0" w:type="dxa"/>
            <w:left w:w="108" w:type="dxa"/>
            <w:bottom w:w="0" w:type="dxa"/>
            <w:right w:w="108" w:type="dxa"/>
          </w:tblCellMar>
        </w:tblPrEx>
        <w:trPr>
          <w:trHeight w:val="369" w:hRule="exact"/>
          <w:jc w:val="center"/>
        </w:trPr>
        <w:tc>
          <w:tcPr>
            <w:tcW w:w="1875" w:type="dxa"/>
            <w:vMerge w:val="restart"/>
            <w:tcBorders>
              <w:top w:val="nil"/>
              <w:left w:val="single" w:color="auto" w:sz="4" w:space="0"/>
              <w:bottom w:val="single" w:color="auto" w:sz="4" w:space="0"/>
              <w:right w:val="single" w:color="auto" w:sz="4" w:space="0"/>
            </w:tcBorders>
            <w:vAlign w:val="center"/>
          </w:tcPr>
          <w:p w14:paraId="1353E429">
            <w:pPr>
              <w:widowControl/>
              <w:jc w:val="center"/>
              <w:rPr>
                <w:b/>
                <w:bCs/>
                <w:color w:val="auto"/>
                <w:kern w:val="0"/>
                <w:szCs w:val="21"/>
                <w:highlight w:val="none"/>
              </w:rPr>
            </w:pPr>
            <w:r>
              <w:rPr>
                <w:b/>
                <w:bCs/>
                <w:color w:val="auto"/>
                <w:kern w:val="0"/>
                <w:szCs w:val="21"/>
                <w:highlight w:val="none"/>
              </w:rPr>
              <w:t>工业</w:t>
            </w:r>
          </w:p>
        </w:tc>
        <w:tc>
          <w:tcPr>
            <w:tcW w:w="1642" w:type="dxa"/>
            <w:tcBorders>
              <w:top w:val="nil"/>
              <w:left w:val="nil"/>
              <w:bottom w:val="single" w:color="auto" w:sz="4" w:space="0"/>
              <w:right w:val="single" w:color="auto" w:sz="4" w:space="0"/>
            </w:tcBorders>
            <w:vAlign w:val="center"/>
          </w:tcPr>
          <w:p w14:paraId="11BF0655">
            <w:pPr>
              <w:widowControl/>
              <w:jc w:val="left"/>
              <w:rPr>
                <w:color w:val="auto"/>
                <w:kern w:val="0"/>
                <w:szCs w:val="21"/>
                <w:highlight w:val="none"/>
              </w:rPr>
            </w:pPr>
            <w:r>
              <w:rPr>
                <w:color w:val="auto"/>
                <w:kern w:val="0"/>
                <w:szCs w:val="21"/>
                <w:highlight w:val="none"/>
              </w:rPr>
              <w:t>从业人员（X）</w:t>
            </w:r>
          </w:p>
        </w:tc>
        <w:tc>
          <w:tcPr>
            <w:tcW w:w="1185" w:type="dxa"/>
            <w:tcBorders>
              <w:top w:val="nil"/>
              <w:left w:val="nil"/>
              <w:bottom w:val="single" w:color="auto" w:sz="4" w:space="0"/>
              <w:right w:val="single" w:color="auto" w:sz="4" w:space="0"/>
            </w:tcBorders>
            <w:vAlign w:val="center"/>
          </w:tcPr>
          <w:p w14:paraId="37073E63">
            <w:pPr>
              <w:widowControl/>
              <w:jc w:val="left"/>
              <w:rPr>
                <w:color w:val="auto"/>
                <w:kern w:val="0"/>
                <w:szCs w:val="21"/>
                <w:highlight w:val="none"/>
              </w:rPr>
            </w:pPr>
            <w:r>
              <w:rPr>
                <w:color w:val="auto"/>
                <w:kern w:val="0"/>
                <w:szCs w:val="21"/>
                <w:highlight w:val="none"/>
              </w:rPr>
              <w:t>人</w:t>
            </w:r>
          </w:p>
        </w:tc>
        <w:tc>
          <w:tcPr>
            <w:tcW w:w="1815" w:type="dxa"/>
            <w:tcBorders>
              <w:top w:val="nil"/>
              <w:left w:val="nil"/>
              <w:bottom w:val="single" w:color="auto" w:sz="4" w:space="0"/>
              <w:right w:val="single" w:color="auto" w:sz="4" w:space="0"/>
            </w:tcBorders>
            <w:vAlign w:val="center"/>
          </w:tcPr>
          <w:p w14:paraId="1F10F432">
            <w:pPr>
              <w:widowControl/>
              <w:jc w:val="left"/>
              <w:rPr>
                <w:color w:val="auto"/>
                <w:kern w:val="0"/>
                <w:szCs w:val="21"/>
                <w:highlight w:val="none"/>
              </w:rPr>
            </w:pPr>
            <w:r>
              <w:rPr>
                <w:color w:val="auto"/>
                <w:kern w:val="0"/>
                <w:szCs w:val="21"/>
                <w:highlight w:val="none"/>
              </w:rPr>
              <w:t>300≤X＜1000</w:t>
            </w:r>
          </w:p>
        </w:tc>
        <w:tc>
          <w:tcPr>
            <w:tcW w:w="1620" w:type="dxa"/>
            <w:tcBorders>
              <w:top w:val="nil"/>
              <w:left w:val="nil"/>
              <w:bottom w:val="single" w:color="auto" w:sz="4" w:space="0"/>
              <w:right w:val="single" w:color="auto" w:sz="4" w:space="0"/>
            </w:tcBorders>
            <w:vAlign w:val="center"/>
          </w:tcPr>
          <w:p w14:paraId="38274AC2">
            <w:pPr>
              <w:widowControl/>
              <w:jc w:val="left"/>
              <w:rPr>
                <w:color w:val="auto"/>
                <w:kern w:val="0"/>
                <w:szCs w:val="21"/>
                <w:highlight w:val="none"/>
              </w:rPr>
            </w:pPr>
            <w:r>
              <w:rPr>
                <w:color w:val="auto"/>
                <w:kern w:val="0"/>
                <w:szCs w:val="21"/>
                <w:highlight w:val="none"/>
              </w:rPr>
              <w:t>20≤X＜300</w:t>
            </w:r>
          </w:p>
        </w:tc>
        <w:tc>
          <w:tcPr>
            <w:tcW w:w="1590" w:type="dxa"/>
            <w:tcBorders>
              <w:top w:val="nil"/>
              <w:left w:val="nil"/>
              <w:bottom w:val="single" w:color="auto" w:sz="4" w:space="0"/>
              <w:right w:val="single" w:color="auto" w:sz="4" w:space="0"/>
            </w:tcBorders>
            <w:vAlign w:val="center"/>
          </w:tcPr>
          <w:p w14:paraId="394DF5FB">
            <w:pPr>
              <w:widowControl/>
              <w:jc w:val="left"/>
              <w:rPr>
                <w:color w:val="auto"/>
                <w:kern w:val="0"/>
                <w:szCs w:val="21"/>
                <w:highlight w:val="none"/>
              </w:rPr>
            </w:pPr>
            <w:r>
              <w:rPr>
                <w:color w:val="auto"/>
                <w:kern w:val="0"/>
                <w:szCs w:val="21"/>
                <w:highlight w:val="none"/>
              </w:rPr>
              <w:t>X＜20</w:t>
            </w:r>
          </w:p>
        </w:tc>
      </w:tr>
      <w:tr w14:paraId="2316220B">
        <w:tblPrEx>
          <w:tblCellMar>
            <w:top w:w="0" w:type="dxa"/>
            <w:left w:w="108" w:type="dxa"/>
            <w:bottom w:w="0" w:type="dxa"/>
            <w:right w:w="108" w:type="dxa"/>
          </w:tblCellMar>
        </w:tblPrEx>
        <w:trPr>
          <w:trHeight w:val="369" w:hRule="exact"/>
          <w:jc w:val="center"/>
        </w:trPr>
        <w:tc>
          <w:tcPr>
            <w:tcW w:w="1875" w:type="dxa"/>
            <w:vMerge w:val="continue"/>
            <w:tcBorders>
              <w:top w:val="nil"/>
              <w:left w:val="single" w:color="auto" w:sz="4" w:space="0"/>
              <w:bottom w:val="single" w:color="auto" w:sz="4" w:space="0"/>
              <w:right w:val="single" w:color="auto" w:sz="4" w:space="0"/>
            </w:tcBorders>
            <w:vAlign w:val="center"/>
          </w:tcPr>
          <w:p w14:paraId="7F64E00F">
            <w:pPr>
              <w:widowControl/>
              <w:jc w:val="center"/>
              <w:rPr>
                <w:b/>
                <w:bCs/>
                <w:color w:val="auto"/>
                <w:kern w:val="0"/>
                <w:szCs w:val="21"/>
                <w:highlight w:val="none"/>
              </w:rPr>
            </w:pPr>
          </w:p>
        </w:tc>
        <w:tc>
          <w:tcPr>
            <w:tcW w:w="1642" w:type="dxa"/>
            <w:tcBorders>
              <w:top w:val="nil"/>
              <w:left w:val="nil"/>
              <w:bottom w:val="single" w:color="auto" w:sz="4" w:space="0"/>
              <w:right w:val="single" w:color="auto" w:sz="4" w:space="0"/>
            </w:tcBorders>
            <w:vAlign w:val="center"/>
          </w:tcPr>
          <w:p w14:paraId="117A2FB5">
            <w:pPr>
              <w:widowControl/>
              <w:jc w:val="left"/>
              <w:rPr>
                <w:color w:val="auto"/>
                <w:kern w:val="0"/>
                <w:szCs w:val="21"/>
                <w:highlight w:val="none"/>
              </w:rPr>
            </w:pPr>
            <w:r>
              <w:rPr>
                <w:color w:val="auto"/>
                <w:kern w:val="0"/>
                <w:szCs w:val="21"/>
                <w:highlight w:val="none"/>
              </w:rPr>
              <w:t>营业收入（Y）</w:t>
            </w:r>
          </w:p>
        </w:tc>
        <w:tc>
          <w:tcPr>
            <w:tcW w:w="1185" w:type="dxa"/>
            <w:tcBorders>
              <w:top w:val="nil"/>
              <w:left w:val="nil"/>
              <w:bottom w:val="single" w:color="auto" w:sz="4" w:space="0"/>
              <w:right w:val="single" w:color="auto" w:sz="4" w:space="0"/>
            </w:tcBorders>
            <w:vAlign w:val="center"/>
          </w:tcPr>
          <w:p w14:paraId="25D9F8FE">
            <w:pPr>
              <w:widowControl/>
              <w:jc w:val="left"/>
              <w:rPr>
                <w:color w:val="auto"/>
                <w:kern w:val="0"/>
                <w:szCs w:val="21"/>
                <w:highlight w:val="none"/>
              </w:rPr>
            </w:pPr>
            <w:r>
              <w:rPr>
                <w:color w:val="auto"/>
                <w:kern w:val="0"/>
                <w:szCs w:val="21"/>
                <w:highlight w:val="none"/>
              </w:rPr>
              <w:t>万元</w:t>
            </w:r>
          </w:p>
        </w:tc>
        <w:tc>
          <w:tcPr>
            <w:tcW w:w="1815" w:type="dxa"/>
            <w:tcBorders>
              <w:top w:val="nil"/>
              <w:left w:val="nil"/>
              <w:bottom w:val="single" w:color="auto" w:sz="4" w:space="0"/>
              <w:right w:val="single" w:color="auto" w:sz="4" w:space="0"/>
            </w:tcBorders>
            <w:vAlign w:val="center"/>
          </w:tcPr>
          <w:p w14:paraId="795CF505">
            <w:pPr>
              <w:widowControl/>
              <w:jc w:val="left"/>
              <w:rPr>
                <w:color w:val="auto"/>
                <w:kern w:val="0"/>
                <w:szCs w:val="21"/>
                <w:highlight w:val="none"/>
              </w:rPr>
            </w:pPr>
            <w:r>
              <w:rPr>
                <w:color w:val="auto"/>
                <w:kern w:val="0"/>
                <w:szCs w:val="21"/>
                <w:highlight w:val="none"/>
              </w:rPr>
              <w:t>2000≤Y＜40000</w:t>
            </w:r>
          </w:p>
        </w:tc>
        <w:tc>
          <w:tcPr>
            <w:tcW w:w="1620" w:type="dxa"/>
            <w:tcBorders>
              <w:top w:val="nil"/>
              <w:left w:val="nil"/>
              <w:bottom w:val="single" w:color="auto" w:sz="4" w:space="0"/>
              <w:right w:val="single" w:color="auto" w:sz="4" w:space="0"/>
            </w:tcBorders>
            <w:vAlign w:val="center"/>
          </w:tcPr>
          <w:p w14:paraId="1F9E2EF8">
            <w:pPr>
              <w:widowControl/>
              <w:jc w:val="left"/>
              <w:rPr>
                <w:color w:val="auto"/>
                <w:kern w:val="0"/>
                <w:szCs w:val="21"/>
                <w:highlight w:val="none"/>
              </w:rPr>
            </w:pPr>
            <w:r>
              <w:rPr>
                <w:color w:val="auto"/>
                <w:kern w:val="0"/>
                <w:szCs w:val="21"/>
                <w:highlight w:val="none"/>
              </w:rPr>
              <w:t>300≤Y＜2000</w:t>
            </w:r>
          </w:p>
        </w:tc>
        <w:tc>
          <w:tcPr>
            <w:tcW w:w="1590" w:type="dxa"/>
            <w:tcBorders>
              <w:top w:val="nil"/>
              <w:left w:val="nil"/>
              <w:bottom w:val="single" w:color="auto" w:sz="4" w:space="0"/>
              <w:right w:val="single" w:color="auto" w:sz="4" w:space="0"/>
            </w:tcBorders>
            <w:vAlign w:val="center"/>
          </w:tcPr>
          <w:p w14:paraId="41AC6BA6">
            <w:pPr>
              <w:widowControl/>
              <w:jc w:val="left"/>
              <w:rPr>
                <w:color w:val="auto"/>
                <w:kern w:val="0"/>
                <w:szCs w:val="21"/>
                <w:highlight w:val="none"/>
              </w:rPr>
            </w:pPr>
            <w:r>
              <w:rPr>
                <w:color w:val="auto"/>
                <w:kern w:val="0"/>
                <w:szCs w:val="21"/>
                <w:highlight w:val="none"/>
              </w:rPr>
              <w:t>Y＜300</w:t>
            </w:r>
          </w:p>
        </w:tc>
      </w:tr>
      <w:tr w14:paraId="62447836">
        <w:tblPrEx>
          <w:tblCellMar>
            <w:top w:w="0" w:type="dxa"/>
            <w:left w:w="108" w:type="dxa"/>
            <w:bottom w:w="0" w:type="dxa"/>
            <w:right w:w="108" w:type="dxa"/>
          </w:tblCellMar>
        </w:tblPrEx>
        <w:trPr>
          <w:trHeight w:val="369" w:hRule="exact"/>
          <w:jc w:val="center"/>
        </w:trPr>
        <w:tc>
          <w:tcPr>
            <w:tcW w:w="1875" w:type="dxa"/>
            <w:vMerge w:val="restart"/>
            <w:tcBorders>
              <w:top w:val="nil"/>
              <w:left w:val="single" w:color="auto" w:sz="4" w:space="0"/>
              <w:bottom w:val="single" w:color="auto" w:sz="4" w:space="0"/>
              <w:right w:val="single" w:color="auto" w:sz="4" w:space="0"/>
            </w:tcBorders>
            <w:vAlign w:val="center"/>
          </w:tcPr>
          <w:p w14:paraId="217A4AFA">
            <w:pPr>
              <w:widowControl/>
              <w:jc w:val="center"/>
              <w:rPr>
                <w:b/>
                <w:bCs/>
                <w:color w:val="auto"/>
                <w:kern w:val="0"/>
                <w:szCs w:val="21"/>
                <w:highlight w:val="none"/>
              </w:rPr>
            </w:pPr>
            <w:r>
              <w:rPr>
                <w:b/>
                <w:bCs/>
                <w:color w:val="auto"/>
                <w:kern w:val="0"/>
                <w:szCs w:val="21"/>
                <w:highlight w:val="none"/>
              </w:rPr>
              <w:t>建筑业</w:t>
            </w:r>
          </w:p>
        </w:tc>
        <w:tc>
          <w:tcPr>
            <w:tcW w:w="1642" w:type="dxa"/>
            <w:tcBorders>
              <w:top w:val="nil"/>
              <w:left w:val="nil"/>
              <w:bottom w:val="single" w:color="auto" w:sz="4" w:space="0"/>
              <w:right w:val="single" w:color="auto" w:sz="4" w:space="0"/>
            </w:tcBorders>
            <w:vAlign w:val="center"/>
          </w:tcPr>
          <w:p w14:paraId="47EE6C97">
            <w:pPr>
              <w:widowControl/>
              <w:jc w:val="left"/>
              <w:rPr>
                <w:color w:val="auto"/>
                <w:kern w:val="0"/>
                <w:szCs w:val="21"/>
                <w:highlight w:val="none"/>
              </w:rPr>
            </w:pPr>
            <w:r>
              <w:rPr>
                <w:color w:val="auto"/>
                <w:kern w:val="0"/>
                <w:szCs w:val="21"/>
                <w:highlight w:val="none"/>
              </w:rPr>
              <w:t>营业收入（Y）</w:t>
            </w:r>
          </w:p>
        </w:tc>
        <w:tc>
          <w:tcPr>
            <w:tcW w:w="1185" w:type="dxa"/>
            <w:tcBorders>
              <w:top w:val="nil"/>
              <w:left w:val="nil"/>
              <w:bottom w:val="single" w:color="auto" w:sz="4" w:space="0"/>
              <w:right w:val="single" w:color="auto" w:sz="4" w:space="0"/>
            </w:tcBorders>
            <w:vAlign w:val="center"/>
          </w:tcPr>
          <w:p w14:paraId="2C80E58A">
            <w:pPr>
              <w:widowControl/>
              <w:jc w:val="left"/>
              <w:rPr>
                <w:color w:val="auto"/>
                <w:kern w:val="0"/>
                <w:szCs w:val="21"/>
                <w:highlight w:val="none"/>
              </w:rPr>
            </w:pPr>
            <w:r>
              <w:rPr>
                <w:color w:val="auto"/>
                <w:kern w:val="0"/>
                <w:szCs w:val="21"/>
                <w:highlight w:val="none"/>
              </w:rPr>
              <w:t>万元</w:t>
            </w:r>
          </w:p>
        </w:tc>
        <w:tc>
          <w:tcPr>
            <w:tcW w:w="1815" w:type="dxa"/>
            <w:tcBorders>
              <w:top w:val="nil"/>
              <w:left w:val="nil"/>
              <w:bottom w:val="single" w:color="auto" w:sz="4" w:space="0"/>
              <w:right w:val="single" w:color="auto" w:sz="4" w:space="0"/>
            </w:tcBorders>
            <w:vAlign w:val="center"/>
          </w:tcPr>
          <w:p w14:paraId="39AFB48C">
            <w:pPr>
              <w:widowControl/>
              <w:jc w:val="left"/>
              <w:rPr>
                <w:color w:val="auto"/>
                <w:kern w:val="0"/>
                <w:szCs w:val="21"/>
                <w:highlight w:val="none"/>
              </w:rPr>
            </w:pPr>
            <w:r>
              <w:rPr>
                <w:color w:val="auto"/>
                <w:kern w:val="0"/>
                <w:szCs w:val="21"/>
                <w:highlight w:val="none"/>
              </w:rPr>
              <w:t>6000≤Y＜80000</w:t>
            </w:r>
          </w:p>
        </w:tc>
        <w:tc>
          <w:tcPr>
            <w:tcW w:w="1620" w:type="dxa"/>
            <w:tcBorders>
              <w:top w:val="nil"/>
              <w:left w:val="nil"/>
              <w:bottom w:val="single" w:color="auto" w:sz="4" w:space="0"/>
              <w:right w:val="single" w:color="auto" w:sz="4" w:space="0"/>
            </w:tcBorders>
            <w:vAlign w:val="center"/>
          </w:tcPr>
          <w:p w14:paraId="2CF3DDA1">
            <w:pPr>
              <w:widowControl/>
              <w:jc w:val="left"/>
              <w:rPr>
                <w:color w:val="auto"/>
                <w:kern w:val="0"/>
                <w:szCs w:val="21"/>
                <w:highlight w:val="none"/>
              </w:rPr>
            </w:pPr>
            <w:r>
              <w:rPr>
                <w:color w:val="auto"/>
                <w:kern w:val="0"/>
                <w:szCs w:val="21"/>
                <w:highlight w:val="none"/>
              </w:rPr>
              <w:t>300≤Y＜6000</w:t>
            </w:r>
          </w:p>
        </w:tc>
        <w:tc>
          <w:tcPr>
            <w:tcW w:w="1590" w:type="dxa"/>
            <w:tcBorders>
              <w:top w:val="nil"/>
              <w:left w:val="nil"/>
              <w:bottom w:val="single" w:color="auto" w:sz="4" w:space="0"/>
              <w:right w:val="single" w:color="auto" w:sz="4" w:space="0"/>
            </w:tcBorders>
            <w:vAlign w:val="center"/>
          </w:tcPr>
          <w:p w14:paraId="579B9AAA">
            <w:pPr>
              <w:widowControl/>
              <w:jc w:val="left"/>
              <w:rPr>
                <w:color w:val="auto"/>
                <w:kern w:val="0"/>
                <w:szCs w:val="21"/>
                <w:highlight w:val="none"/>
              </w:rPr>
            </w:pPr>
            <w:r>
              <w:rPr>
                <w:color w:val="auto"/>
                <w:kern w:val="0"/>
                <w:szCs w:val="21"/>
                <w:highlight w:val="none"/>
              </w:rPr>
              <w:t>Y＜300</w:t>
            </w:r>
          </w:p>
        </w:tc>
      </w:tr>
      <w:tr w14:paraId="5A5BC898">
        <w:tblPrEx>
          <w:tblCellMar>
            <w:top w:w="0" w:type="dxa"/>
            <w:left w:w="108" w:type="dxa"/>
            <w:bottom w:w="0" w:type="dxa"/>
            <w:right w:w="108" w:type="dxa"/>
          </w:tblCellMar>
        </w:tblPrEx>
        <w:trPr>
          <w:trHeight w:val="369" w:hRule="exact"/>
          <w:jc w:val="center"/>
        </w:trPr>
        <w:tc>
          <w:tcPr>
            <w:tcW w:w="1875" w:type="dxa"/>
            <w:vMerge w:val="continue"/>
            <w:tcBorders>
              <w:top w:val="nil"/>
              <w:left w:val="single" w:color="auto" w:sz="4" w:space="0"/>
              <w:bottom w:val="single" w:color="auto" w:sz="4" w:space="0"/>
              <w:right w:val="single" w:color="auto" w:sz="4" w:space="0"/>
            </w:tcBorders>
            <w:vAlign w:val="center"/>
          </w:tcPr>
          <w:p w14:paraId="632F7079">
            <w:pPr>
              <w:widowControl/>
              <w:jc w:val="center"/>
              <w:rPr>
                <w:b/>
                <w:bCs/>
                <w:color w:val="auto"/>
                <w:kern w:val="0"/>
                <w:szCs w:val="21"/>
                <w:highlight w:val="none"/>
              </w:rPr>
            </w:pPr>
          </w:p>
        </w:tc>
        <w:tc>
          <w:tcPr>
            <w:tcW w:w="1642" w:type="dxa"/>
            <w:tcBorders>
              <w:top w:val="nil"/>
              <w:left w:val="nil"/>
              <w:bottom w:val="single" w:color="auto" w:sz="4" w:space="0"/>
              <w:right w:val="single" w:color="auto" w:sz="4" w:space="0"/>
            </w:tcBorders>
            <w:vAlign w:val="center"/>
          </w:tcPr>
          <w:p w14:paraId="7A1F87E8">
            <w:pPr>
              <w:widowControl/>
              <w:jc w:val="left"/>
              <w:rPr>
                <w:color w:val="auto"/>
                <w:kern w:val="0"/>
                <w:szCs w:val="21"/>
                <w:highlight w:val="none"/>
              </w:rPr>
            </w:pPr>
            <w:r>
              <w:rPr>
                <w:color w:val="auto"/>
                <w:kern w:val="0"/>
                <w:szCs w:val="21"/>
                <w:highlight w:val="none"/>
              </w:rPr>
              <w:t>资产总额（Z）</w:t>
            </w:r>
          </w:p>
        </w:tc>
        <w:tc>
          <w:tcPr>
            <w:tcW w:w="1185" w:type="dxa"/>
            <w:tcBorders>
              <w:top w:val="nil"/>
              <w:left w:val="nil"/>
              <w:bottom w:val="single" w:color="auto" w:sz="4" w:space="0"/>
              <w:right w:val="single" w:color="auto" w:sz="4" w:space="0"/>
            </w:tcBorders>
            <w:vAlign w:val="center"/>
          </w:tcPr>
          <w:p w14:paraId="3423FB64">
            <w:pPr>
              <w:widowControl/>
              <w:jc w:val="left"/>
              <w:rPr>
                <w:color w:val="auto"/>
                <w:kern w:val="0"/>
                <w:szCs w:val="21"/>
                <w:highlight w:val="none"/>
              </w:rPr>
            </w:pPr>
            <w:r>
              <w:rPr>
                <w:color w:val="auto"/>
                <w:kern w:val="0"/>
                <w:szCs w:val="21"/>
                <w:highlight w:val="none"/>
              </w:rPr>
              <w:t>万元</w:t>
            </w:r>
          </w:p>
        </w:tc>
        <w:tc>
          <w:tcPr>
            <w:tcW w:w="1815" w:type="dxa"/>
            <w:tcBorders>
              <w:top w:val="nil"/>
              <w:left w:val="nil"/>
              <w:bottom w:val="single" w:color="auto" w:sz="4" w:space="0"/>
              <w:right w:val="single" w:color="auto" w:sz="4" w:space="0"/>
            </w:tcBorders>
            <w:vAlign w:val="center"/>
          </w:tcPr>
          <w:p w14:paraId="6214C19E">
            <w:pPr>
              <w:widowControl/>
              <w:jc w:val="left"/>
              <w:rPr>
                <w:color w:val="auto"/>
                <w:kern w:val="0"/>
                <w:szCs w:val="21"/>
                <w:highlight w:val="none"/>
              </w:rPr>
            </w:pPr>
            <w:r>
              <w:rPr>
                <w:color w:val="auto"/>
                <w:kern w:val="0"/>
                <w:szCs w:val="21"/>
                <w:highlight w:val="none"/>
              </w:rPr>
              <w:t>5000≤Z＜80000</w:t>
            </w:r>
          </w:p>
        </w:tc>
        <w:tc>
          <w:tcPr>
            <w:tcW w:w="1620" w:type="dxa"/>
            <w:tcBorders>
              <w:top w:val="nil"/>
              <w:left w:val="nil"/>
              <w:bottom w:val="single" w:color="auto" w:sz="4" w:space="0"/>
              <w:right w:val="single" w:color="auto" w:sz="4" w:space="0"/>
            </w:tcBorders>
            <w:vAlign w:val="center"/>
          </w:tcPr>
          <w:p w14:paraId="1A87617E">
            <w:pPr>
              <w:widowControl/>
              <w:jc w:val="left"/>
              <w:rPr>
                <w:color w:val="auto"/>
                <w:kern w:val="0"/>
                <w:szCs w:val="21"/>
                <w:highlight w:val="none"/>
              </w:rPr>
            </w:pPr>
            <w:r>
              <w:rPr>
                <w:color w:val="auto"/>
                <w:kern w:val="0"/>
                <w:szCs w:val="21"/>
                <w:highlight w:val="none"/>
              </w:rPr>
              <w:t>300≤Z＜5000</w:t>
            </w:r>
          </w:p>
        </w:tc>
        <w:tc>
          <w:tcPr>
            <w:tcW w:w="1590" w:type="dxa"/>
            <w:tcBorders>
              <w:top w:val="nil"/>
              <w:left w:val="nil"/>
              <w:bottom w:val="single" w:color="auto" w:sz="4" w:space="0"/>
              <w:right w:val="single" w:color="auto" w:sz="4" w:space="0"/>
            </w:tcBorders>
            <w:vAlign w:val="center"/>
          </w:tcPr>
          <w:p w14:paraId="12A40B99">
            <w:pPr>
              <w:widowControl/>
              <w:jc w:val="left"/>
              <w:rPr>
                <w:color w:val="auto"/>
                <w:kern w:val="0"/>
                <w:szCs w:val="21"/>
                <w:highlight w:val="none"/>
              </w:rPr>
            </w:pPr>
            <w:r>
              <w:rPr>
                <w:color w:val="auto"/>
                <w:kern w:val="0"/>
                <w:szCs w:val="21"/>
                <w:highlight w:val="none"/>
              </w:rPr>
              <w:t>Z＜300</w:t>
            </w:r>
          </w:p>
        </w:tc>
      </w:tr>
      <w:tr w14:paraId="72B4DEAB">
        <w:tblPrEx>
          <w:tblCellMar>
            <w:top w:w="0" w:type="dxa"/>
            <w:left w:w="108" w:type="dxa"/>
            <w:bottom w:w="0" w:type="dxa"/>
            <w:right w:w="108" w:type="dxa"/>
          </w:tblCellMar>
        </w:tblPrEx>
        <w:trPr>
          <w:trHeight w:val="369" w:hRule="exact"/>
          <w:jc w:val="center"/>
        </w:trPr>
        <w:tc>
          <w:tcPr>
            <w:tcW w:w="1875" w:type="dxa"/>
            <w:vMerge w:val="restart"/>
            <w:tcBorders>
              <w:top w:val="nil"/>
              <w:left w:val="single" w:color="auto" w:sz="4" w:space="0"/>
              <w:bottom w:val="single" w:color="auto" w:sz="4" w:space="0"/>
              <w:right w:val="single" w:color="auto" w:sz="4" w:space="0"/>
            </w:tcBorders>
            <w:vAlign w:val="center"/>
          </w:tcPr>
          <w:p w14:paraId="6AD81762">
            <w:pPr>
              <w:widowControl/>
              <w:jc w:val="center"/>
              <w:rPr>
                <w:b/>
                <w:bCs/>
                <w:color w:val="auto"/>
                <w:kern w:val="0"/>
                <w:szCs w:val="21"/>
                <w:highlight w:val="none"/>
              </w:rPr>
            </w:pPr>
            <w:r>
              <w:rPr>
                <w:b/>
                <w:bCs/>
                <w:color w:val="auto"/>
                <w:kern w:val="0"/>
                <w:szCs w:val="21"/>
                <w:highlight w:val="none"/>
              </w:rPr>
              <w:t>批发业</w:t>
            </w:r>
          </w:p>
        </w:tc>
        <w:tc>
          <w:tcPr>
            <w:tcW w:w="1642" w:type="dxa"/>
            <w:tcBorders>
              <w:top w:val="nil"/>
              <w:left w:val="nil"/>
              <w:bottom w:val="single" w:color="auto" w:sz="4" w:space="0"/>
              <w:right w:val="single" w:color="auto" w:sz="4" w:space="0"/>
            </w:tcBorders>
            <w:vAlign w:val="center"/>
          </w:tcPr>
          <w:p w14:paraId="0F3C617C">
            <w:pPr>
              <w:widowControl/>
              <w:jc w:val="left"/>
              <w:rPr>
                <w:color w:val="auto"/>
                <w:kern w:val="0"/>
                <w:szCs w:val="21"/>
                <w:highlight w:val="none"/>
              </w:rPr>
            </w:pPr>
            <w:r>
              <w:rPr>
                <w:color w:val="auto"/>
                <w:kern w:val="0"/>
                <w:szCs w:val="21"/>
                <w:highlight w:val="none"/>
              </w:rPr>
              <w:t>从业人员（X）</w:t>
            </w:r>
          </w:p>
        </w:tc>
        <w:tc>
          <w:tcPr>
            <w:tcW w:w="1185" w:type="dxa"/>
            <w:tcBorders>
              <w:top w:val="nil"/>
              <w:left w:val="nil"/>
              <w:bottom w:val="single" w:color="auto" w:sz="4" w:space="0"/>
              <w:right w:val="single" w:color="auto" w:sz="4" w:space="0"/>
            </w:tcBorders>
            <w:vAlign w:val="center"/>
          </w:tcPr>
          <w:p w14:paraId="09C01099">
            <w:pPr>
              <w:widowControl/>
              <w:jc w:val="left"/>
              <w:rPr>
                <w:color w:val="auto"/>
                <w:kern w:val="0"/>
                <w:szCs w:val="21"/>
                <w:highlight w:val="none"/>
              </w:rPr>
            </w:pPr>
            <w:r>
              <w:rPr>
                <w:color w:val="auto"/>
                <w:kern w:val="0"/>
                <w:szCs w:val="21"/>
                <w:highlight w:val="none"/>
              </w:rPr>
              <w:t>人</w:t>
            </w:r>
          </w:p>
        </w:tc>
        <w:tc>
          <w:tcPr>
            <w:tcW w:w="1815" w:type="dxa"/>
            <w:tcBorders>
              <w:top w:val="nil"/>
              <w:left w:val="nil"/>
              <w:bottom w:val="single" w:color="auto" w:sz="4" w:space="0"/>
              <w:right w:val="single" w:color="auto" w:sz="4" w:space="0"/>
            </w:tcBorders>
            <w:vAlign w:val="center"/>
          </w:tcPr>
          <w:p w14:paraId="560E1848">
            <w:pPr>
              <w:widowControl/>
              <w:jc w:val="left"/>
              <w:rPr>
                <w:color w:val="auto"/>
                <w:kern w:val="0"/>
                <w:szCs w:val="21"/>
                <w:highlight w:val="none"/>
              </w:rPr>
            </w:pPr>
            <w:r>
              <w:rPr>
                <w:color w:val="auto"/>
                <w:kern w:val="0"/>
                <w:szCs w:val="21"/>
                <w:highlight w:val="none"/>
              </w:rPr>
              <w:t>20≤X＜200</w:t>
            </w:r>
          </w:p>
        </w:tc>
        <w:tc>
          <w:tcPr>
            <w:tcW w:w="1620" w:type="dxa"/>
            <w:tcBorders>
              <w:top w:val="nil"/>
              <w:left w:val="nil"/>
              <w:bottom w:val="single" w:color="auto" w:sz="4" w:space="0"/>
              <w:right w:val="single" w:color="auto" w:sz="4" w:space="0"/>
            </w:tcBorders>
            <w:vAlign w:val="center"/>
          </w:tcPr>
          <w:p w14:paraId="40EE4514">
            <w:pPr>
              <w:widowControl/>
              <w:jc w:val="left"/>
              <w:rPr>
                <w:color w:val="auto"/>
                <w:kern w:val="0"/>
                <w:szCs w:val="21"/>
                <w:highlight w:val="none"/>
              </w:rPr>
            </w:pPr>
            <w:r>
              <w:rPr>
                <w:color w:val="auto"/>
                <w:kern w:val="0"/>
                <w:szCs w:val="21"/>
                <w:highlight w:val="none"/>
              </w:rPr>
              <w:t>5≤X＜20</w:t>
            </w:r>
          </w:p>
        </w:tc>
        <w:tc>
          <w:tcPr>
            <w:tcW w:w="1590" w:type="dxa"/>
            <w:tcBorders>
              <w:top w:val="nil"/>
              <w:left w:val="nil"/>
              <w:bottom w:val="single" w:color="auto" w:sz="4" w:space="0"/>
              <w:right w:val="single" w:color="auto" w:sz="4" w:space="0"/>
            </w:tcBorders>
            <w:vAlign w:val="center"/>
          </w:tcPr>
          <w:p w14:paraId="6257175A">
            <w:pPr>
              <w:widowControl/>
              <w:jc w:val="left"/>
              <w:rPr>
                <w:color w:val="auto"/>
                <w:kern w:val="0"/>
                <w:szCs w:val="21"/>
                <w:highlight w:val="none"/>
              </w:rPr>
            </w:pPr>
            <w:r>
              <w:rPr>
                <w:color w:val="auto"/>
                <w:kern w:val="0"/>
                <w:szCs w:val="21"/>
                <w:highlight w:val="none"/>
              </w:rPr>
              <w:t>X＜5</w:t>
            </w:r>
          </w:p>
        </w:tc>
      </w:tr>
      <w:tr w14:paraId="695E18F6">
        <w:tblPrEx>
          <w:tblCellMar>
            <w:top w:w="0" w:type="dxa"/>
            <w:left w:w="108" w:type="dxa"/>
            <w:bottom w:w="0" w:type="dxa"/>
            <w:right w:w="108" w:type="dxa"/>
          </w:tblCellMar>
        </w:tblPrEx>
        <w:trPr>
          <w:trHeight w:val="369" w:hRule="exact"/>
          <w:jc w:val="center"/>
        </w:trPr>
        <w:tc>
          <w:tcPr>
            <w:tcW w:w="1875" w:type="dxa"/>
            <w:vMerge w:val="continue"/>
            <w:tcBorders>
              <w:top w:val="nil"/>
              <w:left w:val="single" w:color="auto" w:sz="4" w:space="0"/>
              <w:bottom w:val="single" w:color="auto" w:sz="4" w:space="0"/>
              <w:right w:val="single" w:color="auto" w:sz="4" w:space="0"/>
            </w:tcBorders>
            <w:vAlign w:val="center"/>
          </w:tcPr>
          <w:p w14:paraId="655AB850">
            <w:pPr>
              <w:widowControl/>
              <w:jc w:val="center"/>
              <w:rPr>
                <w:b/>
                <w:bCs/>
                <w:color w:val="auto"/>
                <w:kern w:val="0"/>
                <w:szCs w:val="21"/>
                <w:highlight w:val="none"/>
              </w:rPr>
            </w:pPr>
          </w:p>
        </w:tc>
        <w:tc>
          <w:tcPr>
            <w:tcW w:w="1642" w:type="dxa"/>
            <w:tcBorders>
              <w:top w:val="nil"/>
              <w:left w:val="nil"/>
              <w:bottom w:val="single" w:color="auto" w:sz="4" w:space="0"/>
              <w:right w:val="single" w:color="auto" w:sz="4" w:space="0"/>
            </w:tcBorders>
            <w:vAlign w:val="center"/>
          </w:tcPr>
          <w:p w14:paraId="0D59B50C">
            <w:pPr>
              <w:widowControl/>
              <w:jc w:val="left"/>
              <w:rPr>
                <w:color w:val="auto"/>
                <w:kern w:val="0"/>
                <w:szCs w:val="21"/>
                <w:highlight w:val="none"/>
              </w:rPr>
            </w:pPr>
            <w:r>
              <w:rPr>
                <w:color w:val="auto"/>
                <w:kern w:val="0"/>
                <w:szCs w:val="21"/>
                <w:highlight w:val="none"/>
              </w:rPr>
              <w:t>营业收入（Y）</w:t>
            </w:r>
          </w:p>
        </w:tc>
        <w:tc>
          <w:tcPr>
            <w:tcW w:w="1185" w:type="dxa"/>
            <w:tcBorders>
              <w:top w:val="nil"/>
              <w:left w:val="nil"/>
              <w:bottom w:val="single" w:color="auto" w:sz="4" w:space="0"/>
              <w:right w:val="single" w:color="auto" w:sz="4" w:space="0"/>
            </w:tcBorders>
            <w:vAlign w:val="center"/>
          </w:tcPr>
          <w:p w14:paraId="7BFC1BCF">
            <w:pPr>
              <w:widowControl/>
              <w:jc w:val="left"/>
              <w:rPr>
                <w:color w:val="auto"/>
                <w:kern w:val="0"/>
                <w:szCs w:val="21"/>
                <w:highlight w:val="none"/>
              </w:rPr>
            </w:pPr>
            <w:r>
              <w:rPr>
                <w:color w:val="auto"/>
                <w:kern w:val="0"/>
                <w:szCs w:val="21"/>
                <w:highlight w:val="none"/>
              </w:rPr>
              <w:t>万元</w:t>
            </w:r>
          </w:p>
        </w:tc>
        <w:tc>
          <w:tcPr>
            <w:tcW w:w="1815" w:type="dxa"/>
            <w:tcBorders>
              <w:top w:val="nil"/>
              <w:left w:val="nil"/>
              <w:bottom w:val="single" w:color="auto" w:sz="4" w:space="0"/>
              <w:right w:val="single" w:color="auto" w:sz="4" w:space="0"/>
            </w:tcBorders>
            <w:vAlign w:val="center"/>
          </w:tcPr>
          <w:p w14:paraId="3827DE1D">
            <w:pPr>
              <w:widowControl/>
              <w:jc w:val="left"/>
              <w:rPr>
                <w:color w:val="auto"/>
                <w:kern w:val="0"/>
                <w:szCs w:val="21"/>
                <w:highlight w:val="none"/>
              </w:rPr>
            </w:pPr>
            <w:r>
              <w:rPr>
                <w:color w:val="auto"/>
                <w:kern w:val="0"/>
                <w:szCs w:val="21"/>
                <w:highlight w:val="none"/>
              </w:rPr>
              <w:t>5000≤Y＜40000</w:t>
            </w:r>
          </w:p>
        </w:tc>
        <w:tc>
          <w:tcPr>
            <w:tcW w:w="1620" w:type="dxa"/>
            <w:tcBorders>
              <w:top w:val="nil"/>
              <w:left w:val="nil"/>
              <w:bottom w:val="single" w:color="auto" w:sz="4" w:space="0"/>
              <w:right w:val="single" w:color="auto" w:sz="4" w:space="0"/>
            </w:tcBorders>
            <w:vAlign w:val="center"/>
          </w:tcPr>
          <w:p w14:paraId="3FBE1F5B">
            <w:pPr>
              <w:widowControl/>
              <w:jc w:val="left"/>
              <w:rPr>
                <w:color w:val="auto"/>
                <w:kern w:val="0"/>
                <w:szCs w:val="21"/>
                <w:highlight w:val="none"/>
              </w:rPr>
            </w:pPr>
            <w:r>
              <w:rPr>
                <w:color w:val="auto"/>
                <w:kern w:val="0"/>
                <w:szCs w:val="21"/>
                <w:highlight w:val="none"/>
              </w:rPr>
              <w:t>1000≤Y＜5000</w:t>
            </w:r>
          </w:p>
        </w:tc>
        <w:tc>
          <w:tcPr>
            <w:tcW w:w="1590" w:type="dxa"/>
            <w:tcBorders>
              <w:top w:val="nil"/>
              <w:left w:val="nil"/>
              <w:bottom w:val="single" w:color="auto" w:sz="4" w:space="0"/>
              <w:right w:val="single" w:color="auto" w:sz="4" w:space="0"/>
            </w:tcBorders>
            <w:vAlign w:val="center"/>
          </w:tcPr>
          <w:p w14:paraId="3AAE84D3">
            <w:pPr>
              <w:widowControl/>
              <w:jc w:val="left"/>
              <w:rPr>
                <w:color w:val="auto"/>
                <w:kern w:val="0"/>
                <w:szCs w:val="21"/>
                <w:highlight w:val="none"/>
              </w:rPr>
            </w:pPr>
            <w:r>
              <w:rPr>
                <w:color w:val="auto"/>
                <w:kern w:val="0"/>
                <w:szCs w:val="21"/>
                <w:highlight w:val="none"/>
              </w:rPr>
              <w:t>Y＜1000</w:t>
            </w:r>
          </w:p>
        </w:tc>
      </w:tr>
      <w:tr w14:paraId="1DE7BA7A">
        <w:tblPrEx>
          <w:tblCellMar>
            <w:top w:w="0" w:type="dxa"/>
            <w:left w:w="108" w:type="dxa"/>
            <w:bottom w:w="0" w:type="dxa"/>
            <w:right w:w="108" w:type="dxa"/>
          </w:tblCellMar>
        </w:tblPrEx>
        <w:trPr>
          <w:trHeight w:val="369" w:hRule="exact"/>
          <w:jc w:val="center"/>
        </w:trPr>
        <w:tc>
          <w:tcPr>
            <w:tcW w:w="1875" w:type="dxa"/>
            <w:vMerge w:val="restart"/>
            <w:tcBorders>
              <w:top w:val="nil"/>
              <w:left w:val="single" w:color="auto" w:sz="4" w:space="0"/>
              <w:bottom w:val="single" w:color="auto" w:sz="4" w:space="0"/>
              <w:right w:val="single" w:color="auto" w:sz="4" w:space="0"/>
            </w:tcBorders>
            <w:vAlign w:val="center"/>
          </w:tcPr>
          <w:p w14:paraId="5CC1B4ED">
            <w:pPr>
              <w:widowControl/>
              <w:jc w:val="center"/>
              <w:rPr>
                <w:b/>
                <w:bCs/>
                <w:color w:val="auto"/>
                <w:kern w:val="0"/>
                <w:szCs w:val="21"/>
                <w:highlight w:val="none"/>
              </w:rPr>
            </w:pPr>
            <w:r>
              <w:rPr>
                <w:b/>
                <w:bCs/>
                <w:color w:val="auto"/>
                <w:kern w:val="0"/>
                <w:szCs w:val="21"/>
                <w:highlight w:val="none"/>
              </w:rPr>
              <w:t>零售业</w:t>
            </w:r>
          </w:p>
        </w:tc>
        <w:tc>
          <w:tcPr>
            <w:tcW w:w="1642" w:type="dxa"/>
            <w:tcBorders>
              <w:top w:val="nil"/>
              <w:left w:val="nil"/>
              <w:bottom w:val="single" w:color="auto" w:sz="4" w:space="0"/>
              <w:right w:val="single" w:color="auto" w:sz="4" w:space="0"/>
            </w:tcBorders>
            <w:vAlign w:val="center"/>
          </w:tcPr>
          <w:p w14:paraId="4C77B975">
            <w:pPr>
              <w:widowControl/>
              <w:jc w:val="left"/>
              <w:rPr>
                <w:color w:val="auto"/>
                <w:kern w:val="0"/>
                <w:szCs w:val="21"/>
                <w:highlight w:val="none"/>
              </w:rPr>
            </w:pPr>
            <w:r>
              <w:rPr>
                <w:color w:val="auto"/>
                <w:kern w:val="0"/>
                <w:szCs w:val="21"/>
                <w:highlight w:val="none"/>
              </w:rPr>
              <w:t>从业人员（X）</w:t>
            </w:r>
          </w:p>
        </w:tc>
        <w:tc>
          <w:tcPr>
            <w:tcW w:w="1185" w:type="dxa"/>
            <w:tcBorders>
              <w:top w:val="nil"/>
              <w:left w:val="nil"/>
              <w:bottom w:val="single" w:color="auto" w:sz="4" w:space="0"/>
              <w:right w:val="single" w:color="auto" w:sz="4" w:space="0"/>
            </w:tcBorders>
            <w:vAlign w:val="center"/>
          </w:tcPr>
          <w:p w14:paraId="791734E1">
            <w:pPr>
              <w:widowControl/>
              <w:jc w:val="left"/>
              <w:rPr>
                <w:color w:val="auto"/>
                <w:kern w:val="0"/>
                <w:szCs w:val="21"/>
                <w:highlight w:val="none"/>
              </w:rPr>
            </w:pPr>
            <w:r>
              <w:rPr>
                <w:color w:val="auto"/>
                <w:kern w:val="0"/>
                <w:szCs w:val="21"/>
                <w:highlight w:val="none"/>
              </w:rPr>
              <w:t>人</w:t>
            </w:r>
          </w:p>
        </w:tc>
        <w:tc>
          <w:tcPr>
            <w:tcW w:w="1815" w:type="dxa"/>
            <w:tcBorders>
              <w:top w:val="nil"/>
              <w:left w:val="nil"/>
              <w:bottom w:val="single" w:color="auto" w:sz="4" w:space="0"/>
              <w:right w:val="single" w:color="auto" w:sz="4" w:space="0"/>
            </w:tcBorders>
            <w:vAlign w:val="center"/>
          </w:tcPr>
          <w:p w14:paraId="4DC49F7C">
            <w:pPr>
              <w:widowControl/>
              <w:jc w:val="left"/>
              <w:rPr>
                <w:color w:val="auto"/>
                <w:kern w:val="0"/>
                <w:szCs w:val="21"/>
                <w:highlight w:val="none"/>
              </w:rPr>
            </w:pPr>
            <w:r>
              <w:rPr>
                <w:color w:val="auto"/>
                <w:kern w:val="0"/>
                <w:szCs w:val="21"/>
                <w:highlight w:val="none"/>
              </w:rPr>
              <w:t>50≤X＜300</w:t>
            </w:r>
          </w:p>
        </w:tc>
        <w:tc>
          <w:tcPr>
            <w:tcW w:w="1620" w:type="dxa"/>
            <w:tcBorders>
              <w:top w:val="nil"/>
              <w:left w:val="nil"/>
              <w:bottom w:val="single" w:color="auto" w:sz="4" w:space="0"/>
              <w:right w:val="single" w:color="auto" w:sz="4" w:space="0"/>
            </w:tcBorders>
            <w:vAlign w:val="center"/>
          </w:tcPr>
          <w:p w14:paraId="233EB382">
            <w:pPr>
              <w:widowControl/>
              <w:jc w:val="left"/>
              <w:rPr>
                <w:color w:val="auto"/>
                <w:kern w:val="0"/>
                <w:szCs w:val="21"/>
                <w:highlight w:val="none"/>
              </w:rPr>
            </w:pPr>
            <w:r>
              <w:rPr>
                <w:color w:val="auto"/>
                <w:kern w:val="0"/>
                <w:szCs w:val="21"/>
                <w:highlight w:val="none"/>
              </w:rPr>
              <w:t>10≤X＜50</w:t>
            </w:r>
          </w:p>
        </w:tc>
        <w:tc>
          <w:tcPr>
            <w:tcW w:w="1590" w:type="dxa"/>
            <w:tcBorders>
              <w:top w:val="nil"/>
              <w:left w:val="nil"/>
              <w:bottom w:val="single" w:color="auto" w:sz="4" w:space="0"/>
              <w:right w:val="single" w:color="auto" w:sz="4" w:space="0"/>
            </w:tcBorders>
            <w:vAlign w:val="center"/>
          </w:tcPr>
          <w:p w14:paraId="1754809B">
            <w:pPr>
              <w:widowControl/>
              <w:jc w:val="left"/>
              <w:rPr>
                <w:color w:val="auto"/>
                <w:kern w:val="0"/>
                <w:szCs w:val="21"/>
                <w:highlight w:val="none"/>
              </w:rPr>
            </w:pPr>
            <w:r>
              <w:rPr>
                <w:color w:val="auto"/>
                <w:kern w:val="0"/>
                <w:szCs w:val="21"/>
                <w:highlight w:val="none"/>
              </w:rPr>
              <w:t>X＜10</w:t>
            </w:r>
          </w:p>
        </w:tc>
      </w:tr>
      <w:tr w14:paraId="7FC973D4">
        <w:tblPrEx>
          <w:tblCellMar>
            <w:top w:w="0" w:type="dxa"/>
            <w:left w:w="108" w:type="dxa"/>
            <w:bottom w:w="0" w:type="dxa"/>
            <w:right w:w="108" w:type="dxa"/>
          </w:tblCellMar>
        </w:tblPrEx>
        <w:trPr>
          <w:trHeight w:val="369" w:hRule="exact"/>
          <w:jc w:val="center"/>
        </w:trPr>
        <w:tc>
          <w:tcPr>
            <w:tcW w:w="1875" w:type="dxa"/>
            <w:vMerge w:val="continue"/>
            <w:tcBorders>
              <w:top w:val="nil"/>
              <w:left w:val="single" w:color="auto" w:sz="4" w:space="0"/>
              <w:bottom w:val="single" w:color="auto" w:sz="4" w:space="0"/>
              <w:right w:val="single" w:color="auto" w:sz="4" w:space="0"/>
            </w:tcBorders>
            <w:vAlign w:val="center"/>
          </w:tcPr>
          <w:p w14:paraId="31FB2BD6">
            <w:pPr>
              <w:widowControl/>
              <w:jc w:val="center"/>
              <w:rPr>
                <w:b/>
                <w:bCs/>
                <w:color w:val="auto"/>
                <w:kern w:val="0"/>
                <w:szCs w:val="21"/>
                <w:highlight w:val="none"/>
              </w:rPr>
            </w:pPr>
          </w:p>
        </w:tc>
        <w:tc>
          <w:tcPr>
            <w:tcW w:w="1642" w:type="dxa"/>
            <w:tcBorders>
              <w:top w:val="nil"/>
              <w:left w:val="nil"/>
              <w:bottom w:val="single" w:color="auto" w:sz="4" w:space="0"/>
              <w:right w:val="single" w:color="auto" w:sz="4" w:space="0"/>
            </w:tcBorders>
            <w:vAlign w:val="center"/>
          </w:tcPr>
          <w:p w14:paraId="3A1FCAC1">
            <w:pPr>
              <w:widowControl/>
              <w:jc w:val="left"/>
              <w:rPr>
                <w:color w:val="auto"/>
                <w:kern w:val="0"/>
                <w:szCs w:val="21"/>
                <w:highlight w:val="none"/>
              </w:rPr>
            </w:pPr>
            <w:r>
              <w:rPr>
                <w:color w:val="auto"/>
                <w:kern w:val="0"/>
                <w:szCs w:val="21"/>
                <w:highlight w:val="none"/>
              </w:rPr>
              <w:t>营业收入（Y）</w:t>
            </w:r>
          </w:p>
        </w:tc>
        <w:tc>
          <w:tcPr>
            <w:tcW w:w="1185" w:type="dxa"/>
            <w:tcBorders>
              <w:top w:val="nil"/>
              <w:left w:val="nil"/>
              <w:bottom w:val="single" w:color="auto" w:sz="4" w:space="0"/>
              <w:right w:val="single" w:color="auto" w:sz="4" w:space="0"/>
            </w:tcBorders>
            <w:vAlign w:val="center"/>
          </w:tcPr>
          <w:p w14:paraId="0892F849">
            <w:pPr>
              <w:widowControl/>
              <w:jc w:val="left"/>
              <w:rPr>
                <w:color w:val="auto"/>
                <w:kern w:val="0"/>
                <w:szCs w:val="21"/>
                <w:highlight w:val="none"/>
              </w:rPr>
            </w:pPr>
            <w:r>
              <w:rPr>
                <w:color w:val="auto"/>
                <w:kern w:val="0"/>
                <w:szCs w:val="21"/>
                <w:highlight w:val="none"/>
              </w:rPr>
              <w:t>万元</w:t>
            </w:r>
          </w:p>
        </w:tc>
        <w:tc>
          <w:tcPr>
            <w:tcW w:w="1815" w:type="dxa"/>
            <w:tcBorders>
              <w:top w:val="nil"/>
              <w:left w:val="nil"/>
              <w:bottom w:val="single" w:color="auto" w:sz="4" w:space="0"/>
              <w:right w:val="single" w:color="auto" w:sz="4" w:space="0"/>
            </w:tcBorders>
            <w:vAlign w:val="center"/>
          </w:tcPr>
          <w:p w14:paraId="6F2657FF">
            <w:pPr>
              <w:widowControl/>
              <w:jc w:val="left"/>
              <w:rPr>
                <w:color w:val="auto"/>
                <w:kern w:val="0"/>
                <w:szCs w:val="21"/>
                <w:highlight w:val="none"/>
              </w:rPr>
            </w:pPr>
            <w:r>
              <w:rPr>
                <w:color w:val="auto"/>
                <w:kern w:val="0"/>
                <w:szCs w:val="21"/>
                <w:highlight w:val="none"/>
              </w:rPr>
              <w:t>500≤Y＜20000</w:t>
            </w:r>
          </w:p>
        </w:tc>
        <w:tc>
          <w:tcPr>
            <w:tcW w:w="1620" w:type="dxa"/>
            <w:tcBorders>
              <w:top w:val="nil"/>
              <w:left w:val="nil"/>
              <w:bottom w:val="single" w:color="auto" w:sz="4" w:space="0"/>
              <w:right w:val="single" w:color="auto" w:sz="4" w:space="0"/>
            </w:tcBorders>
            <w:vAlign w:val="center"/>
          </w:tcPr>
          <w:p w14:paraId="39DE8A7D">
            <w:pPr>
              <w:widowControl/>
              <w:jc w:val="left"/>
              <w:rPr>
                <w:color w:val="auto"/>
                <w:kern w:val="0"/>
                <w:szCs w:val="21"/>
                <w:highlight w:val="none"/>
              </w:rPr>
            </w:pPr>
            <w:r>
              <w:rPr>
                <w:color w:val="auto"/>
                <w:kern w:val="0"/>
                <w:szCs w:val="21"/>
                <w:highlight w:val="none"/>
              </w:rPr>
              <w:t>100≤Y＜500</w:t>
            </w:r>
          </w:p>
        </w:tc>
        <w:tc>
          <w:tcPr>
            <w:tcW w:w="1590" w:type="dxa"/>
            <w:tcBorders>
              <w:top w:val="nil"/>
              <w:left w:val="nil"/>
              <w:bottom w:val="single" w:color="auto" w:sz="4" w:space="0"/>
              <w:right w:val="single" w:color="auto" w:sz="4" w:space="0"/>
            </w:tcBorders>
            <w:vAlign w:val="center"/>
          </w:tcPr>
          <w:p w14:paraId="7B499AC3">
            <w:pPr>
              <w:widowControl/>
              <w:jc w:val="left"/>
              <w:rPr>
                <w:color w:val="auto"/>
                <w:kern w:val="0"/>
                <w:szCs w:val="21"/>
                <w:highlight w:val="none"/>
              </w:rPr>
            </w:pPr>
            <w:r>
              <w:rPr>
                <w:color w:val="auto"/>
                <w:kern w:val="0"/>
                <w:szCs w:val="21"/>
                <w:highlight w:val="none"/>
              </w:rPr>
              <w:t>Y＜100</w:t>
            </w:r>
          </w:p>
        </w:tc>
      </w:tr>
      <w:tr w14:paraId="586FB2A8">
        <w:tblPrEx>
          <w:tblCellMar>
            <w:top w:w="0" w:type="dxa"/>
            <w:left w:w="108" w:type="dxa"/>
            <w:bottom w:w="0" w:type="dxa"/>
            <w:right w:w="108" w:type="dxa"/>
          </w:tblCellMar>
        </w:tblPrEx>
        <w:trPr>
          <w:trHeight w:val="369" w:hRule="exact"/>
          <w:jc w:val="center"/>
        </w:trPr>
        <w:tc>
          <w:tcPr>
            <w:tcW w:w="1875" w:type="dxa"/>
            <w:vMerge w:val="restart"/>
            <w:tcBorders>
              <w:top w:val="nil"/>
              <w:left w:val="single" w:color="auto" w:sz="4" w:space="0"/>
              <w:bottom w:val="single" w:color="auto" w:sz="4" w:space="0"/>
              <w:right w:val="single" w:color="auto" w:sz="4" w:space="0"/>
            </w:tcBorders>
            <w:vAlign w:val="center"/>
          </w:tcPr>
          <w:p w14:paraId="5F9C39B5">
            <w:pPr>
              <w:widowControl/>
              <w:jc w:val="center"/>
              <w:rPr>
                <w:b/>
                <w:bCs/>
                <w:color w:val="auto"/>
                <w:kern w:val="0"/>
                <w:szCs w:val="21"/>
                <w:highlight w:val="none"/>
              </w:rPr>
            </w:pPr>
            <w:r>
              <w:rPr>
                <w:b/>
                <w:bCs/>
                <w:color w:val="auto"/>
                <w:kern w:val="0"/>
                <w:szCs w:val="21"/>
                <w:highlight w:val="none"/>
              </w:rPr>
              <w:t>交通运输业</w:t>
            </w:r>
          </w:p>
        </w:tc>
        <w:tc>
          <w:tcPr>
            <w:tcW w:w="1642" w:type="dxa"/>
            <w:tcBorders>
              <w:top w:val="nil"/>
              <w:left w:val="nil"/>
              <w:bottom w:val="single" w:color="auto" w:sz="4" w:space="0"/>
              <w:right w:val="single" w:color="auto" w:sz="4" w:space="0"/>
            </w:tcBorders>
            <w:vAlign w:val="center"/>
          </w:tcPr>
          <w:p w14:paraId="32F9F8C7">
            <w:pPr>
              <w:widowControl/>
              <w:jc w:val="left"/>
              <w:rPr>
                <w:color w:val="auto"/>
                <w:kern w:val="0"/>
                <w:szCs w:val="21"/>
                <w:highlight w:val="none"/>
              </w:rPr>
            </w:pPr>
            <w:r>
              <w:rPr>
                <w:color w:val="auto"/>
                <w:kern w:val="0"/>
                <w:szCs w:val="21"/>
                <w:highlight w:val="none"/>
              </w:rPr>
              <w:t>从业人员（X）</w:t>
            </w:r>
          </w:p>
        </w:tc>
        <w:tc>
          <w:tcPr>
            <w:tcW w:w="1185" w:type="dxa"/>
            <w:tcBorders>
              <w:top w:val="nil"/>
              <w:left w:val="nil"/>
              <w:bottom w:val="single" w:color="auto" w:sz="4" w:space="0"/>
              <w:right w:val="single" w:color="auto" w:sz="4" w:space="0"/>
            </w:tcBorders>
            <w:vAlign w:val="center"/>
          </w:tcPr>
          <w:p w14:paraId="454FBB4B">
            <w:pPr>
              <w:widowControl/>
              <w:jc w:val="left"/>
              <w:rPr>
                <w:color w:val="auto"/>
                <w:kern w:val="0"/>
                <w:szCs w:val="21"/>
                <w:highlight w:val="none"/>
              </w:rPr>
            </w:pPr>
            <w:r>
              <w:rPr>
                <w:color w:val="auto"/>
                <w:kern w:val="0"/>
                <w:szCs w:val="21"/>
                <w:highlight w:val="none"/>
              </w:rPr>
              <w:t>人</w:t>
            </w:r>
          </w:p>
        </w:tc>
        <w:tc>
          <w:tcPr>
            <w:tcW w:w="1815" w:type="dxa"/>
            <w:tcBorders>
              <w:top w:val="nil"/>
              <w:left w:val="nil"/>
              <w:bottom w:val="single" w:color="auto" w:sz="4" w:space="0"/>
              <w:right w:val="single" w:color="auto" w:sz="4" w:space="0"/>
            </w:tcBorders>
            <w:vAlign w:val="center"/>
          </w:tcPr>
          <w:p w14:paraId="78A1527A">
            <w:pPr>
              <w:widowControl/>
              <w:jc w:val="left"/>
              <w:rPr>
                <w:color w:val="auto"/>
                <w:kern w:val="0"/>
                <w:szCs w:val="21"/>
                <w:highlight w:val="none"/>
              </w:rPr>
            </w:pPr>
            <w:r>
              <w:rPr>
                <w:color w:val="auto"/>
                <w:kern w:val="0"/>
                <w:szCs w:val="21"/>
                <w:highlight w:val="none"/>
              </w:rPr>
              <w:t>300≤X＜1000</w:t>
            </w:r>
          </w:p>
        </w:tc>
        <w:tc>
          <w:tcPr>
            <w:tcW w:w="1620" w:type="dxa"/>
            <w:tcBorders>
              <w:top w:val="nil"/>
              <w:left w:val="nil"/>
              <w:bottom w:val="single" w:color="auto" w:sz="4" w:space="0"/>
              <w:right w:val="single" w:color="auto" w:sz="4" w:space="0"/>
            </w:tcBorders>
            <w:vAlign w:val="center"/>
          </w:tcPr>
          <w:p w14:paraId="5F887DF0">
            <w:pPr>
              <w:widowControl/>
              <w:jc w:val="left"/>
              <w:rPr>
                <w:color w:val="auto"/>
                <w:kern w:val="0"/>
                <w:szCs w:val="21"/>
                <w:highlight w:val="none"/>
              </w:rPr>
            </w:pPr>
            <w:r>
              <w:rPr>
                <w:color w:val="auto"/>
                <w:kern w:val="0"/>
                <w:szCs w:val="21"/>
                <w:highlight w:val="none"/>
              </w:rPr>
              <w:t>20≤X＜300</w:t>
            </w:r>
          </w:p>
        </w:tc>
        <w:tc>
          <w:tcPr>
            <w:tcW w:w="1590" w:type="dxa"/>
            <w:tcBorders>
              <w:top w:val="nil"/>
              <w:left w:val="nil"/>
              <w:bottom w:val="single" w:color="auto" w:sz="4" w:space="0"/>
              <w:right w:val="single" w:color="auto" w:sz="4" w:space="0"/>
            </w:tcBorders>
            <w:vAlign w:val="center"/>
          </w:tcPr>
          <w:p w14:paraId="2D202AB5">
            <w:pPr>
              <w:widowControl/>
              <w:jc w:val="left"/>
              <w:rPr>
                <w:color w:val="auto"/>
                <w:kern w:val="0"/>
                <w:szCs w:val="21"/>
                <w:highlight w:val="none"/>
              </w:rPr>
            </w:pPr>
            <w:r>
              <w:rPr>
                <w:color w:val="auto"/>
                <w:kern w:val="0"/>
                <w:szCs w:val="21"/>
                <w:highlight w:val="none"/>
              </w:rPr>
              <w:t>X＜20</w:t>
            </w:r>
          </w:p>
        </w:tc>
      </w:tr>
      <w:tr w14:paraId="3885F5FB">
        <w:tblPrEx>
          <w:tblCellMar>
            <w:top w:w="0" w:type="dxa"/>
            <w:left w:w="108" w:type="dxa"/>
            <w:bottom w:w="0" w:type="dxa"/>
            <w:right w:w="108" w:type="dxa"/>
          </w:tblCellMar>
        </w:tblPrEx>
        <w:trPr>
          <w:trHeight w:val="369" w:hRule="exact"/>
          <w:jc w:val="center"/>
        </w:trPr>
        <w:tc>
          <w:tcPr>
            <w:tcW w:w="1875" w:type="dxa"/>
            <w:vMerge w:val="continue"/>
            <w:tcBorders>
              <w:top w:val="nil"/>
              <w:left w:val="single" w:color="auto" w:sz="4" w:space="0"/>
              <w:bottom w:val="single" w:color="auto" w:sz="4" w:space="0"/>
              <w:right w:val="single" w:color="auto" w:sz="4" w:space="0"/>
            </w:tcBorders>
            <w:vAlign w:val="center"/>
          </w:tcPr>
          <w:p w14:paraId="1A05D025">
            <w:pPr>
              <w:widowControl/>
              <w:jc w:val="center"/>
              <w:rPr>
                <w:b/>
                <w:bCs/>
                <w:color w:val="auto"/>
                <w:kern w:val="0"/>
                <w:szCs w:val="21"/>
                <w:highlight w:val="none"/>
              </w:rPr>
            </w:pPr>
          </w:p>
        </w:tc>
        <w:tc>
          <w:tcPr>
            <w:tcW w:w="1642" w:type="dxa"/>
            <w:tcBorders>
              <w:top w:val="nil"/>
              <w:left w:val="nil"/>
              <w:bottom w:val="single" w:color="auto" w:sz="4" w:space="0"/>
              <w:right w:val="single" w:color="auto" w:sz="4" w:space="0"/>
            </w:tcBorders>
            <w:vAlign w:val="center"/>
          </w:tcPr>
          <w:p w14:paraId="27EA0794">
            <w:pPr>
              <w:widowControl/>
              <w:jc w:val="left"/>
              <w:rPr>
                <w:color w:val="auto"/>
                <w:kern w:val="0"/>
                <w:szCs w:val="21"/>
                <w:highlight w:val="none"/>
              </w:rPr>
            </w:pPr>
            <w:r>
              <w:rPr>
                <w:color w:val="auto"/>
                <w:kern w:val="0"/>
                <w:szCs w:val="21"/>
                <w:highlight w:val="none"/>
              </w:rPr>
              <w:t>营业收入（Y）</w:t>
            </w:r>
          </w:p>
        </w:tc>
        <w:tc>
          <w:tcPr>
            <w:tcW w:w="1185" w:type="dxa"/>
            <w:tcBorders>
              <w:top w:val="nil"/>
              <w:left w:val="nil"/>
              <w:bottom w:val="single" w:color="auto" w:sz="4" w:space="0"/>
              <w:right w:val="single" w:color="auto" w:sz="4" w:space="0"/>
            </w:tcBorders>
            <w:vAlign w:val="center"/>
          </w:tcPr>
          <w:p w14:paraId="2EBC4EA5">
            <w:pPr>
              <w:widowControl/>
              <w:jc w:val="left"/>
              <w:rPr>
                <w:color w:val="auto"/>
                <w:kern w:val="0"/>
                <w:szCs w:val="21"/>
                <w:highlight w:val="none"/>
              </w:rPr>
            </w:pPr>
            <w:r>
              <w:rPr>
                <w:color w:val="auto"/>
                <w:kern w:val="0"/>
                <w:szCs w:val="21"/>
                <w:highlight w:val="none"/>
              </w:rPr>
              <w:t>万元</w:t>
            </w:r>
          </w:p>
        </w:tc>
        <w:tc>
          <w:tcPr>
            <w:tcW w:w="1815" w:type="dxa"/>
            <w:tcBorders>
              <w:top w:val="nil"/>
              <w:left w:val="nil"/>
              <w:bottom w:val="single" w:color="auto" w:sz="4" w:space="0"/>
              <w:right w:val="single" w:color="auto" w:sz="4" w:space="0"/>
            </w:tcBorders>
            <w:vAlign w:val="center"/>
          </w:tcPr>
          <w:p w14:paraId="2BA9A746">
            <w:pPr>
              <w:widowControl/>
              <w:jc w:val="left"/>
              <w:rPr>
                <w:color w:val="auto"/>
                <w:kern w:val="0"/>
                <w:szCs w:val="21"/>
                <w:highlight w:val="none"/>
              </w:rPr>
            </w:pPr>
            <w:r>
              <w:rPr>
                <w:color w:val="auto"/>
                <w:kern w:val="0"/>
                <w:szCs w:val="21"/>
                <w:highlight w:val="none"/>
              </w:rPr>
              <w:t>3000≤Y＜30000</w:t>
            </w:r>
          </w:p>
        </w:tc>
        <w:tc>
          <w:tcPr>
            <w:tcW w:w="1620" w:type="dxa"/>
            <w:tcBorders>
              <w:top w:val="nil"/>
              <w:left w:val="nil"/>
              <w:bottom w:val="single" w:color="auto" w:sz="4" w:space="0"/>
              <w:right w:val="single" w:color="auto" w:sz="4" w:space="0"/>
            </w:tcBorders>
            <w:vAlign w:val="center"/>
          </w:tcPr>
          <w:p w14:paraId="4AB086DD">
            <w:pPr>
              <w:widowControl/>
              <w:jc w:val="left"/>
              <w:rPr>
                <w:color w:val="auto"/>
                <w:kern w:val="0"/>
                <w:szCs w:val="21"/>
                <w:highlight w:val="none"/>
              </w:rPr>
            </w:pPr>
            <w:r>
              <w:rPr>
                <w:color w:val="auto"/>
                <w:kern w:val="0"/>
                <w:szCs w:val="21"/>
                <w:highlight w:val="none"/>
              </w:rPr>
              <w:t>200≤Y＜3000</w:t>
            </w:r>
          </w:p>
        </w:tc>
        <w:tc>
          <w:tcPr>
            <w:tcW w:w="1590" w:type="dxa"/>
            <w:tcBorders>
              <w:top w:val="nil"/>
              <w:left w:val="nil"/>
              <w:bottom w:val="single" w:color="auto" w:sz="4" w:space="0"/>
              <w:right w:val="single" w:color="auto" w:sz="4" w:space="0"/>
            </w:tcBorders>
            <w:vAlign w:val="center"/>
          </w:tcPr>
          <w:p w14:paraId="6D21248D">
            <w:pPr>
              <w:widowControl/>
              <w:jc w:val="left"/>
              <w:rPr>
                <w:color w:val="auto"/>
                <w:kern w:val="0"/>
                <w:szCs w:val="21"/>
                <w:highlight w:val="none"/>
              </w:rPr>
            </w:pPr>
            <w:r>
              <w:rPr>
                <w:color w:val="auto"/>
                <w:kern w:val="0"/>
                <w:szCs w:val="21"/>
                <w:highlight w:val="none"/>
              </w:rPr>
              <w:t>Y＜200</w:t>
            </w:r>
          </w:p>
        </w:tc>
      </w:tr>
      <w:tr w14:paraId="3EC8E69A">
        <w:tblPrEx>
          <w:tblCellMar>
            <w:top w:w="0" w:type="dxa"/>
            <w:left w:w="108" w:type="dxa"/>
            <w:bottom w:w="0" w:type="dxa"/>
            <w:right w:w="108" w:type="dxa"/>
          </w:tblCellMar>
        </w:tblPrEx>
        <w:trPr>
          <w:trHeight w:val="369" w:hRule="exact"/>
          <w:jc w:val="center"/>
        </w:trPr>
        <w:tc>
          <w:tcPr>
            <w:tcW w:w="1875" w:type="dxa"/>
            <w:vMerge w:val="restart"/>
            <w:tcBorders>
              <w:top w:val="nil"/>
              <w:left w:val="single" w:color="auto" w:sz="4" w:space="0"/>
              <w:bottom w:val="single" w:color="auto" w:sz="4" w:space="0"/>
              <w:right w:val="single" w:color="auto" w:sz="4" w:space="0"/>
            </w:tcBorders>
            <w:vAlign w:val="center"/>
          </w:tcPr>
          <w:p w14:paraId="627E8E1E">
            <w:pPr>
              <w:widowControl/>
              <w:jc w:val="center"/>
              <w:rPr>
                <w:b/>
                <w:bCs/>
                <w:color w:val="auto"/>
                <w:kern w:val="0"/>
                <w:szCs w:val="21"/>
                <w:highlight w:val="none"/>
              </w:rPr>
            </w:pPr>
            <w:r>
              <w:rPr>
                <w:b/>
                <w:bCs/>
                <w:color w:val="auto"/>
                <w:kern w:val="0"/>
                <w:szCs w:val="21"/>
                <w:highlight w:val="none"/>
              </w:rPr>
              <w:t>仓储业</w:t>
            </w:r>
          </w:p>
        </w:tc>
        <w:tc>
          <w:tcPr>
            <w:tcW w:w="1642" w:type="dxa"/>
            <w:tcBorders>
              <w:top w:val="nil"/>
              <w:left w:val="nil"/>
              <w:bottom w:val="single" w:color="auto" w:sz="4" w:space="0"/>
              <w:right w:val="single" w:color="auto" w:sz="4" w:space="0"/>
            </w:tcBorders>
            <w:vAlign w:val="center"/>
          </w:tcPr>
          <w:p w14:paraId="2F23FD54">
            <w:pPr>
              <w:widowControl/>
              <w:jc w:val="left"/>
              <w:rPr>
                <w:color w:val="auto"/>
                <w:kern w:val="0"/>
                <w:szCs w:val="21"/>
                <w:highlight w:val="none"/>
              </w:rPr>
            </w:pPr>
            <w:r>
              <w:rPr>
                <w:color w:val="auto"/>
                <w:kern w:val="0"/>
                <w:szCs w:val="21"/>
                <w:highlight w:val="none"/>
              </w:rPr>
              <w:t>从业人员（X）</w:t>
            </w:r>
          </w:p>
        </w:tc>
        <w:tc>
          <w:tcPr>
            <w:tcW w:w="1185" w:type="dxa"/>
            <w:tcBorders>
              <w:top w:val="nil"/>
              <w:left w:val="nil"/>
              <w:bottom w:val="single" w:color="auto" w:sz="4" w:space="0"/>
              <w:right w:val="single" w:color="auto" w:sz="4" w:space="0"/>
            </w:tcBorders>
            <w:vAlign w:val="center"/>
          </w:tcPr>
          <w:p w14:paraId="0B80E8A3">
            <w:pPr>
              <w:widowControl/>
              <w:jc w:val="left"/>
              <w:rPr>
                <w:color w:val="auto"/>
                <w:kern w:val="0"/>
                <w:szCs w:val="21"/>
                <w:highlight w:val="none"/>
              </w:rPr>
            </w:pPr>
            <w:r>
              <w:rPr>
                <w:color w:val="auto"/>
                <w:kern w:val="0"/>
                <w:szCs w:val="21"/>
                <w:highlight w:val="none"/>
              </w:rPr>
              <w:t>人</w:t>
            </w:r>
          </w:p>
        </w:tc>
        <w:tc>
          <w:tcPr>
            <w:tcW w:w="1815" w:type="dxa"/>
            <w:tcBorders>
              <w:top w:val="nil"/>
              <w:left w:val="nil"/>
              <w:bottom w:val="single" w:color="auto" w:sz="4" w:space="0"/>
              <w:right w:val="single" w:color="auto" w:sz="4" w:space="0"/>
            </w:tcBorders>
            <w:vAlign w:val="center"/>
          </w:tcPr>
          <w:p w14:paraId="6A0E8FD8">
            <w:pPr>
              <w:widowControl/>
              <w:jc w:val="left"/>
              <w:rPr>
                <w:color w:val="auto"/>
                <w:kern w:val="0"/>
                <w:szCs w:val="21"/>
                <w:highlight w:val="none"/>
              </w:rPr>
            </w:pPr>
            <w:r>
              <w:rPr>
                <w:color w:val="auto"/>
                <w:kern w:val="0"/>
                <w:szCs w:val="21"/>
                <w:highlight w:val="none"/>
              </w:rPr>
              <w:t>100≤X＜200</w:t>
            </w:r>
          </w:p>
        </w:tc>
        <w:tc>
          <w:tcPr>
            <w:tcW w:w="1620" w:type="dxa"/>
            <w:tcBorders>
              <w:top w:val="nil"/>
              <w:left w:val="nil"/>
              <w:bottom w:val="single" w:color="auto" w:sz="4" w:space="0"/>
              <w:right w:val="single" w:color="auto" w:sz="4" w:space="0"/>
            </w:tcBorders>
            <w:vAlign w:val="center"/>
          </w:tcPr>
          <w:p w14:paraId="0A4C3DE9">
            <w:pPr>
              <w:widowControl/>
              <w:jc w:val="left"/>
              <w:rPr>
                <w:color w:val="auto"/>
                <w:kern w:val="0"/>
                <w:szCs w:val="21"/>
                <w:highlight w:val="none"/>
              </w:rPr>
            </w:pPr>
            <w:r>
              <w:rPr>
                <w:color w:val="auto"/>
                <w:kern w:val="0"/>
                <w:szCs w:val="21"/>
                <w:highlight w:val="none"/>
              </w:rPr>
              <w:t>20≤X＜100</w:t>
            </w:r>
          </w:p>
        </w:tc>
        <w:tc>
          <w:tcPr>
            <w:tcW w:w="1590" w:type="dxa"/>
            <w:tcBorders>
              <w:top w:val="nil"/>
              <w:left w:val="nil"/>
              <w:bottom w:val="single" w:color="auto" w:sz="4" w:space="0"/>
              <w:right w:val="single" w:color="auto" w:sz="4" w:space="0"/>
            </w:tcBorders>
            <w:vAlign w:val="center"/>
          </w:tcPr>
          <w:p w14:paraId="124044B9">
            <w:pPr>
              <w:widowControl/>
              <w:jc w:val="left"/>
              <w:rPr>
                <w:color w:val="auto"/>
                <w:kern w:val="0"/>
                <w:szCs w:val="21"/>
                <w:highlight w:val="none"/>
              </w:rPr>
            </w:pPr>
            <w:r>
              <w:rPr>
                <w:color w:val="auto"/>
                <w:kern w:val="0"/>
                <w:szCs w:val="21"/>
                <w:highlight w:val="none"/>
              </w:rPr>
              <w:t>X＜20</w:t>
            </w:r>
          </w:p>
        </w:tc>
      </w:tr>
      <w:tr w14:paraId="26BB8895">
        <w:tblPrEx>
          <w:tblCellMar>
            <w:top w:w="0" w:type="dxa"/>
            <w:left w:w="108" w:type="dxa"/>
            <w:bottom w:w="0" w:type="dxa"/>
            <w:right w:w="108" w:type="dxa"/>
          </w:tblCellMar>
        </w:tblPrEx>
        <w:trPr>
          <w:trHeight w:val="369" w:hRule="exact"/>
          <w:jc w:val="center"/>
        </w:trPr>
        <w:tc>
          <w:tcPr>
            <w:tcW w:w="1875" w:type="dxa"/>
            <w:vMerge w:val="continue"/>
            <w:tcBorders>
              <w:top w:val="nil"/>
              <w:left w:val="single" w:color="auto" w:sz="4" w:space="0"/>
              <w:bottom w:val="single" w:color="auto" w:sz="4" w:space="0"/>
              <w:right w:val="single" w:color="auto" w:sz="4" w:space="0"/>
            </w:tcBorders>
            <w:vAlign w:val="center"/>
          </w:tcPr>
          <w:p w14:paraId="34B9F8B6">
            <w:pPr>
              <w:widowControl/>
              <w:jc w:val="center"/>
              <w:rPr>
                <w:b/>
                <w:bCs/>
                <w:color w:val="auto"/>
                <w:kern w:val="0"/>
                <w:szCs w:val="21"/>
                <w:highlight w:val="none"/>
              </w:rPr>
            </w:pPr>
          </w:p>
        </w:tc>
        <w:tc>
          <w:tcPr>
            <w:tcW w:w="1642" w:type="dxa"/>
            <w:tcBorders>
              <w:top w:val="nil"/>
              <w:left w:val="nil"/>
              <w:bottom w:val="single" w:color="auto" w:sz="4" w:space="0"/>
              <w:right w:val="single" w:color="auto" w:sz="4" w:space="0"/>
            </w:tcBorders>
            <w:vAlign w:val="center"/>
          </w:tcPr>
          <w:p w14:paraId="3F32753C">
            <w:pPr>
              <w:widowControl/>
              <w:jc w:val="left"/>
              <w:rPr>
                <w:color w:val="auto"/>
                <w:kern w:val="0"/>
                <w:szCs w:val="21"/>
                <w:highlight w:val="none"/>
              </w:rPr>
            </w:pPr>
            <w:r>
              <w:rPr>
                <w:color w:val="auto"/>
                <w:kern w:val="0"/>
                <w:szCs w:val="21"/>
                <w:highlight w:val="none"/>
              </w:rPr>
              <w:t>营业收入（Y）</w:t>
            </w:r>
          </w:p>
        </w:tc>
        <w:tc>
          <w:tcPr>
            <w:tcW w:w="1185" w:type="dxa"/>
            <w:tcBorders>
              <w:top w:val="nil"/>
              <w:left w:val="nil"/>
              <w:bottom w:val="single" w:color="auto" w:sz="4" w:space="0"/>
              <w:right w:val="single" w:color="auto" w:sz="4" w:space="0"/>
            </w:tcBorders>
            <w:vAlign w:val="center"/>
          </w:tcPr>
          <w:p w14:paraId="3E728C46">
            <w:pPr>
              <w:widowControl/>
              <w:jc w:val="left"/>
              <w:rPr>
                <w:color w:val="auto"/>
                <w:kern w:val="0"/>
                <w:szCs w:val="21"/>
                <w:highlight w:val="none"/>
              </w:rPr>
            </w:pPr>
            <w:r>
              <w:rPr>
                <w:color w:val="auto"/>
                <w:kern w:val="0"/>
                <w:szCs w:val="21"/>
                <w:highlight w:val="none"/>
              </w:rPr>
              <w:t>万元</w:t>
            </w:r>
          </w:p>
        </w:tc>
        <w:tc>
          <w:tcPr>
            <w:tcW w:w="1815" w:type="dxa"/>
            <w:tcBorders>
              <w:top w:val="nil"/>
              <w:left w:val="nil"/>
              <w:bottom w:val="single" w:color="auto" w:sz="4" w:space="0"/>
              <w:right w:val="single" w:color="auto" w:sz="4" w:space="0"/>
            </w:tcBorders>
            <w:vAlign w:val="center"/>
          </w:tcPr>
          <w:p w14:paraId="769E1C03">
            <w:pPr>
              <w:widowControl/>
              <w:jc w:val="left"/>
              <w:rPr>
                <w:color w:val="auto"/>
                <w:kern w:val="0"/>
                <w:szCs w:val="21"/>
                <w:highlight w:val="none"/>
              </w:rPr>
            </w:pPr>
            <w:r>
              <w:rPr>
                <w:color w:val="auto"/>
                <w:kern w:val="0"/>
                <w:szCs w:val="21"/>
                <w:highlight w:val="none"/>
              </w:rPr>
              <w:t>1000≤Y＜30000</w:t>
            </w:r>
          </w:p>
        </w:tc>
        <w:tc>
          <w:tcPr>
            <w:tcW w:w="1620" w:type="dxa"/>
            <w:tcBorders>
              <w:top w:val="nil"/>
              <w:left w:val="nil"/>
              <w:bottom w:val="single" w:color="auto" w:sz="4" w:space="0"/>
              <w:right w:val="single" w:color="auto" w:sz="4" w:space="0"/>
            </w:tcBorders>
            <w:vAlign w:val="center"/>
          </w:tcPr>
          <w:p w14:paraId="4A2602D7">
            <w:pPr>
              <w:widowControl/>
              <w:jc w:val="left"/>
              <w:rPr>
                <w:color w:val="auto"/>
                <w:kern w:val="0"/>
                <w:szCs w:val="21"/>
                <w:highlight w:val="none"/>
              </w:rPr>
            </w:pPr>
            <w:r>
              <w:rPr>
                <w:color w:val="auto"/>
                <w:kern w:val="0"/>
                <w:szCs w:val="21"/>
                <w:highlight w:val="none"/>
              </w:rPr>
              <w:t>100≤Y＜1000</w:t>
            </w:r>
          </w:p>
        </w:tc>
        <w:tc>
          <w:tcPr>
            <w:tcW w:w="1590" w:type="dxa"/>
            <w:tcBorders>
              <w:top w:val="nil"/>
              <w:left w:val="nil"/>
              <w:bottom w:val="single" w:color="auto" w:sz="4" w:space="0"/>
              <w:right w:val="single" w:color="auto" w:sz="4" w:space="0"/>
            </w:tcBorders>
            <w:vAlign w:val="center"/>
          </w:tcPr>
          <w:p w14:paraId="2B4182FC">
            <w:pPr>
              <w:widowControl/>
              <w:jc w:val="left"/>
              <w:rPr>
                <w:color w:val="auto"/>
                <w:kern w:val="0"/>
                <w:szCs w:val="21"/>
                <w:highlight w:val="none"/>
              </w:rPr>
            </w:pPr>
            <w:r>
              <w:rPr>
                <w:color w:val="auto"/>
                <w:kern w:val="0"/>
                <w:szCs w:val="21"/>
                <w:highlight w:val="none"/>
              </w:rPr>
              <w:t>Y＜100</w:t>
            </w:r>
          </w:p>
        </w:tc>
      </w:tr>
      <w:tr w14:paraId="401737E7">
        <w:tblPrEx>
          <w:tblCellMar>
            <w:top w:w="0" w:type="dxa"/>
            <w:left w:w="108" w:type="dxa"/>
            <w:bottom w:w="0" w:type="dxa"/>
            <w:right w:w="108" w:type="dxa"/>
          </w:tblCellMar>
        </w:tblPrEx>
        <w:trPr>
          <w:trHeight w:val="369" w:hRule="exact"/>
          <w:jc w:val="center"/>
        </w:trPr>
        <w:tc>
          <w:tcPr>
            <w:tcW w:w="1875" w:type="dxa"/>
            <w:vMerge w:val="restart"/>
            <w:tcBorders>
              <w:top w:val="nil"/>
              <w:left w:val="single" w:color="auto" w:sz="4" w:space="0"/>
              <w:bottom w:val="single" w:color="auto" w:sz="4" w:space="0"/>
              <w:right w:val="single" w:color="auto" w:sz="4" w:space="0"/>
            </w:tcBorders>
            <w:vAlign w:val="center"/>
          </w:tcPr>
          <w:p w14:paraId="62C60396">
            <w:pPr>
              <w:widowControl/>
              <w:jc w:val="center"/>
              <w:rPr>
                <w:b/>
                <w:bCs/>
                <w:color w:val="auto"/>
                <w:kern w:val="0"/>
                <w:szCs w:val="21"/>
                <w:highlight w:val="none"/>
              </w:rPr>
            </w:pPr>
            <w:r>
              <w:rPr>
                <w:b/>
                <w:bCs/>
                <w:color w:val="auto"/>
                <w:kern w:val="0"/>
                <w:szCs w:val="21"/>
                <w:highlight w:val="none"/>
              </w:rPr>
              <w:t>邮政业</w:t>
            </w:r>
          </w:p>
        </w:tc>
        <w:tc>
          <w:tcPr>
            <w:tcW w:w="1642" w:type="dxa"/>
            <w:tcBorders>
              <w:top w:val="nil"/>
              <w:left w:val="nil"/>
              <w:bottom w:val="single" w:color="auto" w:sz="4" w:space="0"/>
              <w:right w:val="single" w:color="auto" w:sz="4" w:space="0"/>
            </w:tcBorders>
            <w:vAlign w:val="center"/>
          </w:tcPr>
          <w:p w14:paraId="627D1038">
            <w:pPr>
              <w:widowControl/>
              <w:jc w:val="left"/>
              <w:rPr>
                <w:color w:val="auto"/>
                <w:kern w:val="0"/>
                <w:szCs w:val="21"/>
                <w:highlight w:val="none"/>
              </w:rPr>
            </w:pPr>
            <w:r>
              <w:rPr>
                <w:color w:val="auto"/>
                <w:kern w:val="0"/>
                <w:szCs w:val="21"/>
                <w:highlight w:val="none"/>
              </w:rPr>
              <w:t>从业人员（X）</w:t>
            </w:r>
          </w:p>
        </w:tc>
        <w:tc>
          <w:tcPr>
            <w:tcW w:w="1185" w:type="dxa"/>
            <w:tcBorders>
              <w:top w:val="nil"/>
              <w:left w:val="nil"/>
              <w:bottom w:val="single" w:color="auto" w:sz="4" w:space="0"/>
              <w:right w:val="single" w:color="auto" w:sz="4" w:space="0"/>
            </w:tcBorders>
            <w:vAlign w:val="center"/>
          </w:tcPr>
          <w:p w14:paraId="6E1E76F8">
            <w:pPr>
              <w:widowControl/>
              <w:jc w:val="left"/>
              <w:rPr>
                <w:color w:val="auto"/>
                <w:kern w:val="0"/>
                <w:szCs w:val="21"/>
                <w:highlight w:val="none"/>
              </w:rPr>
            </w:pPr>
            <w:r>
              <w:rPr>
                <w:color w:val="auto"/>
                <w:kern w:val="0"/>
                <w:szCs w:val="21"/>
                <w:highlight w:val="none"/>
              </w:rPr>
              <w:t>人</w:t>
            </w:r>
          </w:p>
        </w:tc>
        <w:tc>
          <w:tcPr>
            <w:tcW w:w="1815" w:type="dxa"/>
            <w:tcBorders>
              <w:top w:val="nil"/>
              <w:left w:val="nil"/>
              <w:bottom w:val="single" w:color="auto" w:sz="4" w:space="0"/>
              <w:right w:val="single" w:color="auto" w:sz="4" w:space="0"/>
            </w:tcBorders>
            <w:vAlign w:val="center"/>
          </w:tcPr>
          <w:p w14:paraId="2E6A61FE">
            <w:pPr>
              <w:widowControl/>
              <w:jc w:val="left"/>
              <w:rPr>
                <w:color w:val="auto"/>
                <w:kern w:val="0"/>
                <w:szCs w:val="21"/>
                <w:highlight w:val="none"/>
              </w:rPr>
            </w:pPr>
            <w:r>
              <w:rPr>
                <w:color w:val="auto"/>
                <w:kern w:val="0"/>
                <w:szCs w:val="21"/>
                <w:highlight w:val="none"/>
              </w:rPr>
              <w:t>300≤X＜1000</w:t>
            </w:r>
          </w:p>
        </w:tc>
        <w:tc>
          <w:tcPr>
            <w:tcW w:w="1620" w:type="dxa"/>
            <w:tcBorders>
              <w:top w:val="nil"/>
              <w:left w:val="nil"/>
              <w:bottom w:val="single" w:color="auto" w:sz="4" w:space="0"/>
              <w:right w:val="single" w:color="auto" w:sz="4" w:space="0"/>
            </w:tcBorders>
            <w:vAlign w:val="center"/>
          </w:tcPr>
          <w:p w14:paraId="6451F5EF">
            <w:pPr>
              <w:widowControl/>
              <w:jc w:val="left"/>
              <w:rPr>
                <w:color w:val="auto"/>
                <w:kern w:val="0"/>
                <w:szCs w:val="21"/>
                <w:highlight w:val="none"/>
              </w:rPr>
            </w:pPr>
            <w:r>
              <w:rPr>
                <w:color w:val="auto"/>
                <w:kern w:val="0"/>
                <w:szCs w:val="21"/>
                <w:highlight w:val="none"/>
              </w:rPr>
              <w:t>20≤X＜300</w:t>
            </w:r>
          </w:p>
        </w:tc>
        <w:tc>
          <w:tcPr>
            <w:tcW w:w="1590" w:type="dxa"/>
            <w:tcBorders>
              <w:top w:val="nil"/>
              <w:left w:val="nil"/>
              <w:bottom w:val="single" w:color="auto" w:sz="4" w:space="0"/>
              <w:right w:val="single" w:color="auto" w:sz="4" w:space="0"/>
            </w:tcBorders>
            <w:vAlign w:val="center"/>
          </w:tcPr>
          <w:p w14:paraId="79823AAC">
            <w:pPr>
              <w:widowControl/>
              <w:jc w:val="left"/>
              <w:rPr>
                <w:color w:val="auto"/>
                <w:kern w:val="0"/>
                <w:szCs w:val="21"/>
                <w:highlight w:val="none"/>
              </w:rPr>
            </w:pPr>
            <w:r>
              <w:rPr>
                <w:color w:val="auto"/>
                <w:kern w:val="0"/>
                <w:szCs w:val="21"/>
                <w:highlight w:val="none"/>
              </w:rPr>
              <w:t>X＜20</w:t>
            </w:r>
          </w:p>
        </w:tc>
      </w:tr>
      <w:tr w14:paraId="772CC58E">
        <w:tblPrEx>
          <w:tblCellMar>
            <w:top w:w="0" w:type="dxa"/>
            <w:left w:w="108" w:type="dxa"/>
            <w:bottom w:w="0" w:type="dxa"/>
            <w:right w:w="108" w:type="dxa"/>
          </w:tblCellMar>
        </w:tblPrEx>
        <w:trPr>
          <w:trHeight w:val="369" w:hRule="exact"/>
          <w:jc w:val="center"/>
        </w:trPr>
        <w:tc>
          <w:tcPr>
            <w:tcW w:w="1875" w:type="dxa"/>
            <w:vMerge w:val="continue"/>
            <w:tcBorders>
              <w:top w:val="nil"/>
              <w:left w:val="single" w:color="auto" w:sz="4" w:space="0"/>
              <w:bottom w:val="single" w:color="auto" w:sz="4" w:space="0"/>
              <w:right w:val="single" w:color="auto" w:sz="4" w:space="0"/>
            </w:tcBorders>
            <w:vAlign w:val="center"/>
          </w:tcPr>
          <w:p w14:paraId="01821EE2">
            <w:pPr>
              <w:widowControl/>
              <w:jc w:val="center"/>
              <w:rPr>
                <w:b/>
                <w:bCs/>
                <w:color w:val="auto"/>
                <w:kern w:val="0"/>
                <w:szCs w:val="21"/>
                <w:highlight w:val="none"/>
              </w:rPr>
            </w:pPr>
          </w:p>
        </w:tc>
        <w:tc>
          <w:tcPr>
            <w:tcW w:w="1642" w:type="dxa"/>
            <w:tcBorders>
              <w:top w:val="nil"/>
              <w:left w:val="nil"/>
              <w:bottom w:val="single" w:color="auto" w:sz="4" w:space="0"/>
              <w:right w:val="single" w:color="auto" w:sz="4" w:space="0"/>
            </w:tcBorders>
            <w:vAlign w:val="center"/>
          </w:tcPr>
          <w:p w14:paraId="61F6D144">
            <w:pPr>
              <w:widowControl/>
              <w:jc w:val="left"/>
              <w:rPr>
                <w:color w:val="auto"/>
                <w:kern w:val="0"/>
                <w:szCs w:val="21"/>
                <w:highlight w:val="none"/>
              </w:rPr>
            </w:pPr>
            <w:r>
              <w:rPr>
                <w:color w:val="auto"/>
                <w:kern w:val="0"/>
                <w:szCs w:val="21"/>
                <w:highlight w:val="none"/>
              </w:rPr>
              <w:t>营业收入（Y）</w:t>
            </w:r>
          </w:p>
        </w:tc>
        <w:tc>
          <w:tcPr>
            <w:tcW w:w="1185" w:type="dxa"/>
            <w:tcBorders>
              <w:top w:val="nil"/>
              <w:left w:val="nil"/>
              <w:bottom w:val="single" w:color="auto" w:sz="4" w:space="0"/>
              <w:right w:val="single" w:color="auto" w:sz="4" w:space="0"/>
            </w:tcBorders>
            <w:vAlign w:val="center"/>
          </w:tcPr>
          <w:p w14:paraId="16E31ACA">
            <w:pPr>
              <w:widowControl/>
              <w:jc w:val="left"/>
              <w:rPr>
                <w:color w:val="auto"/>
                <w:kern w:val="0"/>
                <w:szCs w:val="21"/>
                <w:highlight w:val="none"/>
              </w:rPr>
            </w:pPr>
            <w:r>
              <w:rPr>
                <w:color w:val="auto"/>
                <w:kern w:val="0"/>
                <w:szCs w:val="21"/>
                <w:highlight w:val="none"/>
              </w:rPr>
              <w:t>万元</w:t>
            </w:r>
          </w:p>
        </w:tc>
        <w:tc>
          <w:tcPr>
            <w:tcW w:w="1815" w:type="dxa"/>
            <w:tcBorders>
              <w:top w:val="nil"/>
              <w:left w:val="nil"/>
              <w:bottom w:val="single" w:color="auto" w:sz="4" w:space="0"/>
              <w:right w:val="single" w:color="auto" w:sz="4" w:space="0"/>
            </w:tcBorders>
            <w:vAlign w:val="center"/>
          </w:tcPr>
          <w:p w14:paraId="11BF8A02">
            <w:pPr>
              <w:widowControl/>
              <w:jc w:val="left"/>
              <w:rPr>
                <w:color w:val="auto"/>
                <w:kern w:val="0"/>
                <w:szCs w:val="21"/>
                <w:highlight w:val="none"/>
              </w:rPr>
            </w:pPr>
            <w:r>
              <w:rPr>
                <w:color w:val="auto"/>
                <w:kern w:val="0"/>
                <w:szCs w:val="21"/>
                <w:highlight w:val="none"/>
              </w:rPr>
              <w:t>2000≤Y＜30000</w:t>
            </w:r>
          </w:p>
        </w:tc>
        <w:tc>
          <w:tcPr>
            <w:tcW w:w="1620" w:type="dxa"/>
            <w:tcBorders>
              <w:top w:val="nil"/>
              <w:left w:val="nil"/>
              <w:bottom w:val="single" w:color="auto" w:sz="4" w:space="0"/>
              <w:right w:val="single" w:color="auto" w:sz="4" w:space="0"/>
            </w:tcBorders>
            <w:vAlign w:val="center"/>
          </w:tcPr>
          <w:p w14:paraId="13EB3890">
            <w:pPr>
              <w:widowControl/>
              <w:jc w:val="left"/>
              <w:rPr>
                <w:color w:val="auto"/>
                <w:kern w:val="0"/>
                <w:szCs w:val="21"/>
                <w:highlight w:val="none"/>
              </w:rPr>
            </w:pPr>
            <w:r>
              <w:rPr>
                <w:color w:val="auto"/>
                <w:kern w:val="0"/>
                <w:szCs w:val="21"/>
                <w:highlight w:val="none"/>
              </w:rPr>
              <w:t>100≤Y＜2000</w:t>
            </w:r>
          </w:p>
        </w:tc>
        <w:tc>
          <w:tcPr>
            <w:tcW w:w="1590" w:type="dxa"/>
            <w:tcBorders>
              <w:top w:val="nil"/>
              <w:left w:val="nil"/>
              <w:bottom w:val="single" w:color="auto" w:sz="4" w:space="0"/>
              <w:right w:val="single" w:color="auto" w:sz="4" w:space="0"/>
            </w:tcBorders>
            <w:vAlign w:val="center"/>
          </w:tcPr>
          <w:p w14:paraId="1A0B338C">
            <w:pPr>
              <w:widowControl/>
              <w:jc w:val="left"/>
              <w:rPr>
                <w:color w:val="auto"/>
                <w:kern w:val="0"/>
                <w:szCs w:val="21"/>
                <w:highlight w:val="none"/>
              </w:rPr>
            </w:pPr>
            <w:r>
              <w:rPr>
                <w:color w:val="auto"/>
                <w:kern w:val="0"/>
                <w:szCs w:val="21"/>
                <w:highlight w:val="none"/>
              </w:rPr>
              <w:t>Y＜100</w:t>
            </w:r>
          </w:p>
        </w:tc>
      </w:tr>
      <w:tr w14:paraId="003971BE">
        <w:tblPrEx>
          <w:tblCellMar>
            <w:top w:w="0" w:type="dxa"/>
            <w:left w:w="108" w:type="dxa"/>
            <w:bottom w:w="0" w:type="dxa"/>
            <w:right w:w="108" w:type="dxa"/>
          </w:tblCellMar>
        </w:tblPrEx>
        <w:trPr>
          <w:trHeight w:val="369" w:hRule="exact"/>
          <w:jc w:val="center"/>
        </w:trPr>
        <w:tc>
          <w:tcPr>
            <w:tcW w:w="1875" w:type="dxa"/>
            <w:vMerge w:val="restart"/>
            <w:tcBorders>
              <w:top w:val="nil"/>
              <w:left w:val="single" w:color="auto" w:sz="4" w:space="0"/>
              <w:bottom w:val="single" w:color="auto" w:sz="4" w:space="0"/>
              <w:right w:val="single" w:color="auto" w:sz="4" w:space="0"/>
            </w:tcBorders>
            <w:vAlign w:val="center"/>
          </w:tcPr>
          <w:p w14:paraId="657942C8">
            <w:pPr>
              <w:widowControl/>
              <w:jc w:val="center"/>
              <w:rPr>
                <w:b/>
                <w:bCs/>
                <w:color w:val="auto"/>
                <w:kern w:val="0"/>
                <w:szCs w:val="21"/>
                <w:highlight w:val="none"/>
              </w:rPr>
            </w:pPr>
            <w:r>
              <w:rPr>
                <w:b/>
                <w:bCs/>
                <w:color w:val="auto"/>
                <w:kern w:val="0"/>
                <w:szCs w:val="21"/>
                <w:highlight w:val="none"/>
              </w:rPr>
              <w:t>住宿业</w:t>
            </w:r>
          </w:p>
        </w:tc>
        <w:tc>
          <w:tcPr>
            <w:tcW w:w="1642" w:type="dxa"/>
            <w:tcBorders>
              <w:top w:val="nil"/>
              <w:left w:val="nil"/>
              <w:bottom w:val="single" w:color="auto" w:sz="4" w:space="0"/>
              <w:right w:val="single" w:color="auto" w:sz="4" w:space="0"/>
            </w:tcBorders>
            <w:vAlign w:val="center"/>
          </w:tcPr>
          <w:p w14:paraId="3F38E688">
            <w:pPr>
              <w:widowControl/>
              <w:jc w:val="left"/>
              <w:rPr>
                <w:color w:val="auto"/>
                <w:kern w:val="0"/>
                <w:szCs w:val="21"/>
                <w:highlight w:val="none"/>
              </w:rPr>
            </w:pPr>
            <w:r>
              <w:rPr>
                <w:color w:val="auto"/>
                <w:kern w:val="0"/>
                <w:szCs w:val="21"/>
                <w:highlight w:val="none"/>
              </w:rPr>
              <w:t>从业人员（X）</w:t>
            </w:r>
          </w:p>
        </w:tc>
        <w:tc>
          <w:tcPr>
            <w:tcW w:w="1185" w:type="dxa"/>
            <w:tcBorders>
              <w:top w:val="nil"/>
              <w:left w:val="nil"/>
              <w:bottom w:val="single" w:color="auto" w:sz="4" w:space="0"/>
              <w:right w:val="single" w:color="auto" w:sz="4" w:space="0"/>
            </w:tcBorders>
            <w:vAlign w:val="center"/>
          </w:tcPr>
          <w:p w14:paraId="02195F2E">
            <w:pPr>
              <w:widowControl/>
              <w:jc w:val="left"/>
              <w:rPr>
                <w:color w:val="auto"/>
                <w:kern w:val="0"/>
                <w:szCs w:val="21"/>
                <w:highlight w:val="none"/>
              </w:rPr>
            </w:pPr>
            <w:r>
              <w:rPr>
                <w:color w:val="auto"/>
                <w:kern w:val="0"/>
                <w:szCs w:val="21"/>
                <w:highlight w:val="none"/>
              </w:rPr>
              <w:t>人</w:t>
            </w:r>
          </w:p>
        </w:tc>
        <w:tc>
          <w:tcPr>
            <w:tcW w:w="1815" w:type="dxa"/>
            <w:tcBorders>
              <w:top w:val="nil"/>
              <w:left w:val="nil"/>
              <w:bottom w:val="single" w:color="auto" w:sz="4" w:space="0"/>
              <w:right w:val="single" w:color="auto" w:sz="4" w:space="0"/>
            </w:tcBorders>
            <w:vAlign w:val="center"/>
          </w:tcPr>
          <w:p w14:paraId="5C48CEBC">
            <w:pPr>
              <w:widowControl/>
              <w:jc w:val="left"/>
              <w:rPr>
                <w:color w:val="auto"/>
                <w:kern w:val="0"/>
                <w:szCs w:val="21"/>
                <w:highlight w:val="none"/>
              </w:rPr>
            </w:pPr>
            <w:r>
              <w:rPr>
                <w:color w:val="auto"/>
                <w:kern w:val="0"/>
                <w:szCs w:val="21"/>
                <w:highlight w:val="none"/>
              </w:rPr>
              <w:t>100≤X＜300</w:t>
            </w:r>
          </w:p>
        </w:tc>
        <w:tc>
          <w:tcPr>
            <w:tcW w:w="1620" w:type="dxa"/>
            <w:tcBorders>
              <w:top w:val="nil"/>
              <w:left w:val="nil"/>
              <w:bottom w:val="single" w:color="auto" w:sz="4" w:space="0"/>
              <w:right w:val="single" w:color="auto" w:sz="4" w:space="0"/>
            </w:tcBorders>
            <w:vAlign w:val="center"/>
          </w:tcPr>
          <w:p w14:paraId="0A778DF8">
            <w:pPr>
              <w:widowControl/>
              <w:jc w:val="left"/>
              <w:rPr>
                <w:color w:val="auto"/>
                <w:kern w:val="0"/>
                <w:szCs w:val="21"/>
                <w:highlight w:val="none"/>
              </w:rPr>
            </w:pPr>
            <w:r>
              <w:rPr>
                <w:color w:val="auto"/>
                <w:kern w:val="0"/>
                <w:szCs w:val="21"/>
                <w:highlight w:val="none"/>
              </w:rPr>
              <w:t>10≤X＜100</w:t>
            </w:r>
          </w:p>
        </w:tc>
        <w:tc>
          <w:tcPr>
            <w:tcW w:w="1590" w:type="dxa"/>
            <w:tcBorders>
              <w:top w:val="nil"/>
              <w:left w:val="nil"/>
              <w:bottom w:val="single" w:color="auto" w:sz="4" w:space="0"/>
              <w:right w:val="single" w:color="auto" w:sz="4" w:space="0"/>
            </w:tcBorders>
            <w:vAlign w:val="center"/>
          </w:tcPr>
          <w:p w14:paraId="2D23490B">
            <w:pPr>
              <w:widowControl/>
              <w:jc w:val="left"/>
              <w:rPr>
                <w:color w:val="auto"/>
                <w:kern w:val="0"/>
                <w:szCs w:val="21"/>
                <w:highlight w:val="none"/>
              </w:rPr>
            </w:pPr>
            <w:r>
              <w:rPr>
                <w:color w:val="auto"/>
                <w:kern w:val="0"/>
                <w:szCs w:val="21"/>
                <w:highlight w:val="none"/>
              </w:rPr>
              <w:t>X＜10</w:t>
            </w:r>
          </w:p>
        </w:tc>
      </w:tr>
      <w:tr w14:paraId="0AD30715">
        <w:tblPrEx>
          <w:tblCellMar>
            <w:top w:w="0" w:type="dxa"/>
            <w:left w:w="108" w:type="dxa"/>
            <w:bottom w:w="0" w:type="dxa"/>
            <w:right w:w="108" w:type="dxa"/>
          </w:tblCellMar>
        </w:tblPrEx>
        <w:trPr>
          <w:trHeight w:val="369" w:hRule="exact"/>
          <w:jc w:val="center"/>
        </w:trPr>
        <w:tc>
          <w:tcPr>
            <w:tcW w:w="1875" w:type="dxa"/>
            <w:vMerge w:val="continue"/>
            <w:tcBorders>
              <w:top w:val="nil"/>
              <w:left w:val="single" w:color="auto" w:sz="4" w:space="0"/>
              <w:bottom w:val="single" w:color="auto" w:sz="4" w:space="0"/>
              <w:right w:val="single" w:color="auto" w:sz="4" w:space="0"/>
            </w:tcBorders>
            <w:vAlign w:val="center"/>
          </w:tcPr>
          <w:p w14:paraId="7257B082">
            <w:pPr>
              <w:widowControl/>
              <w:jc w:val="center"/>
              <w:rPr>
                <w:b/>
                <w:bCs/>
                <w:color w:val="auto"/>
                <w:kern w:val="0"/>
                <w:szCs w:val="21"/>
                <w:highlight w:val="none"/>
              </w:rPr>
            </w:pPr>
          </w:p>
        </w:tc>
        <w:tc>
          <w:tcPr>
            <w:tcW w:w="1642" w:type="dxa"/>
            <w:tcBorders>
              <w:top w:val="nil"/>
              <w:left w:val="nil"/>
              <w:bottom w:val="single" w:color="auto" w:sz="4" w:space="0"/>
              <w:right w:val="single" w:color="auto" w:sz="4" w:space="0"/>
            </w:tcBorders>
            <w:vAlign w:val="center"/>
          </w:tcPr>
          <w:p w14:paraId="13620C55">
            <w:pPr>
              <w:widowControl/>
              <w:jc w:val="left"/>
              <w:rPr>
                <w:color w:val="auto"/>
                <w:kern w:val="0"/>
                <w:szCs w:val="21"/>
                <w:highlight w:val="none"/>
              </w:rPr>
            </w:pPr>
            <w:r>
              <w:rPr>
                <w:color w:val="auto"/>
                <w:kern w:val="0"/>
                <w:szCs w:val="21"/>
                <w:highlight w:val="none"/>
              </w:rPr>
              <w:t>营业收入（Y）</w:t>
            </w:r>
          </w:p>
        </w:tc>
        <w:tc>
          <w:tcPr>
            <w:tcW w:w="1185" w:type="dxa"/>
            <w:tcBorders>
              <w:top w:val="nil"/>
              <w:left w:val="nil"/>
              <w:bottom w:val="single" w:color="auto" w:sz="4" w:space="0"/>
              <w:right w:val="single" w:color="auto" w:sz="4" w:space="0"/>
            </w:tcBorders>
            <w:vAlign w:val="center"/>
          </w:tcPr>
          <w:p w14:paraId="4A6FCA0A">
            <w:pPr>
              <w:widowControl/>
              <w:jc w:val="left"/>
              <w:rPr>
                <w:color w:val="auto"/>
                <w:kern w:val="0"/>
                <w:szCs w:val="21"/>
                <w:highlight w:val="none"/>
              </w:rPr>
            </w:pPr>
            <w:r>
              <w:rPr>
                <w:color w:val="auto"/>
                <w:kern w:val="0"/>
                <w:szCs w:val="21"/>
                <w:highlight w:val="none"/>
              </w:rPr>
              <w:t>万元</w:t>
            </w:r>
          </w:p>
        </w:tc>
        <w:tc>
          <w:tcPr>
            <w:tcW w:w="1815" w:type="dxa"/>
            <w:tcBorders>
              <w:top w:val="nil"/>
              <w:left w:val="nil"/>
              <w:bottom w:val="single" w:color="auto" w:sz="4" w:space="0"/>
              <w:right w:val="single" w:color="auto" w:sz="4" w:space="0"/>
            </w:tcBorders>
            <w:vAlign w:val="center"/>
          </w:tcPr>
          <w:p w14:paraId="40C35F00">
            <w:pPr>
              <w:widowControl/>
              <w:jc w:val="left"/>
              <w:rPr>
                <w:color w:val="auto"/>
                <w:kern w:val="0"/>
                <w:szCs w:val="21"/>
                <w:highlight w:val="none"/>
              </w:rPr>
            </w:pPr>
            <w:r>
              <w:rPr>
                <w:color w:val="auto"/>
                <w:kern w:val="0"/>
                <w:szCs w:val="21"/>
                <w:highlight w:val="none"/>
              </w:rPr>
              <w:t>2000≤Y＜10000</w:t>
            </w:r>
          </w:p>
        </w:tc>
        <w:tc>
          <w:tcPr>
            <w:tcW w:w="1620" w:type="dxa"/>
            <w:tcBorders>
              <w:top w:val="nil"/>
              <w:left w:val="nil"/>
              <w:bottom w:val="single" w:color="auto" w:sz="4" w:space="0"/>
              <w:right w:val="single" w:color="auto" w:sz="4" w:space="0"/>
            </w:tcBorders>
            <w:vAlign w:val="center"/>
          </w:tcPr>
          <w:p w14:paraId="7D1CBA41">
            <w:pPr>
              <w:widowControl/>
              <w:jc w:val="left"/>
              <w:rPr>
                <w:color w:val="auto"/>
                <w:kern w:val="0"/>
                <w:szCs w:val="21"/>
                <w:highlight w:val="none"/>
              </w:rPr>
            </w:pPr>
            <w:r>
              <w:rPr>
                <w:color w:val="auto"/>
                <w:kern w:val="0"/>
                <w:szCs w:val="21"/>
                <w:highlight w:val="none"/>
              </w:rPr>
              <w:t>100≤Y＜2000</w:t>
            </w:r>
          </w:p>
        </w:tc>
        <w:tc>
          <w:tcPr>
            <w:tcW w:w="1590" w:type="dxa"/>
            <w:tcBorders>
              <w:top w:val="nil"/>
              <w:left w:val="nil"/>
              <w:bottom w:val="single" w:color="auto" w:sz="4" w:space="0"/>
              <w:right w:val="single" w:color="auto" w:sz="4" w:space="0"/>
            </w:tcBorders>
            <w:vAlign w:val="center"/>
          </w:tcPr>
          <w:p w14:paraId="1C2B7BD8">
            <w:pPr>
              <w:widowControl/>
              <w:jc w:val="left"/>
              <w:rPr>
                <w:color w:val="auto"/>
                <w:kern w:val="0"/>
                <w:szCs w:val="21"/>
                <w:highlight w:val="none"/>
              </w:rPr>
            </w:pPr>
            <w:r>
              <w:rPr>
                <w:color w:val="auto"/>
                <w:kern w:val="0"/>
                <w:szCs w:val="21"/>
                <w:highlight w:val="none"/>
              </w:rPr>
              <w:t>Y＜100</w:t>
            </w:r>
          </w:p>
        </w:tc>
      </w:tr>
      <w:tr w14:paraId="6A83F8ED">
        <w:tblPrEx>
          <w:tblCellMar>
            <w:top w:w="0" w:type="dxa"/>
            <w:left w:w="108" w:type="dxa"/>
            <w:bottom w:w="0" w:type="dxa"/>
            <w:right w:w="108" w:type="dxa"/>
          </w:tblCellMar>
        </w:tblPrEx>
        <w:trPr>
          <w:trHeight w:val="369" w:hRule="exact"/>
          <w:jc w:val="center"/>
        </w:trPr>
        <w:tc>
          <w:tcPr>
            <w:tcW w:w="1875" w:type="dxa"/>
            <w:vMerge w:val="restart"/>
            <w:tcBorders>
              <w:top w:val="nil"/>
              <w:left w:val="single" w:color="auto" w:sz="4" w:space="0"/>
              <w:bottom w:val="single" w:color="auto" w:sz="4" w:space="0"/>
              <w:right w:val="single" w:color="auto" w:sz="4" w:space="0"/>
            </w:tcBorders>
            <w:vAlign w:val="center"/>
          </w:tcPr>
          <w:p w14:paraId="6AF9096B">
            <w:pPr>
              <w:widowControl/>
              <w:jc w:val="center"/>
              <w:rPr>
                <w:b/>
                <w:bCs/>
                <w:color w:val="auto"/>
                <w:kern w:val="0"/>
                <w:szCs w:val="21"/>
                <w:highlight w:val="none"/>
              </w:rPr>
            </w:pPr>
            <w:r>
              <w:rPr>
                <w:b/>
                <w:bCs/>
                <w:color w:val="auto"/>
                <w:kern w:val="0"/>
                <w:szCs w:val="21"/>
                <w:highlight w:val="none"/>
              </w:rPr>
              <w:t>餐饮业</w:t>
            </w:r>
          </w:p>
        </w:tc>
        <w:tc>
          <w:tcPr>
            <w:tcW w:w="1642" w:type="dxa"/>
            <w:tcBorders>
              <w:top w:val="nil"/>
              <w:left w:val="nil"/>
              <w:bottom w:val="single" w:color="auto" w:sz="4" w:space="0"/>
              <w:right w:val="single" w:color="auto" w:sz="4" w:space="0"/>
            </w:tcBorders>
            <w:vAlign w:val="center"/>
          </w:tcPr>
          <w:p w14:paraId="3C0C96EA">
            <w:pPr>
              <w:widowControl/>
              <w:jc w:val="left"/>
              <w:rPr>
                <w:color w:val="auto"/>
                <w:kern w:val="0"/>
                <w:szCs w:val="21"/>
                <w:highlight w:val="none"/>
              </w:rPr>
            </w:pPr>
            <w:r>
              <w:rPr>
                <w:color w:val="auto"/>
                <w:kern w:val="0"/>
                <w:szCs w:val="21"/>
                <w:highlight w:val="none"/>
              </w:rPr>
              <w:t>从业人员（X）</w:t>
            </w:r>
          </w:p>
        </w:tc>
        <w:tc>
          <w:tcPr>
            <w:tcW w:w="1185" w:type="dxa"/>
            <w:tcBorders>
              <w:top w:val="nil"/>
              <w:left w:val="nil"/>
              <w:bottom w:val="single" w:color="auto" w:sz="4" w:space="0"/>
              <w:right w:val="single" w:color="auto" w:sz="4" w:space="0"/>
            </w:tcBorders>
            <w:vAlign w:val="center"/>
          </w:tcPr>
          <w:p w14:paraId="20724719">
            <w:pPr>
              <w:widowControl/>
              <w:jc w:val="left"/>
              <w:rPr>
                <w:color w:val="auto"/>
                <w:kern w:val="0"/>
                <w:szCs w:val="21"/>
                <w:highlight w:val="none"/>
              </w:rPr>
            </w:pPr>
            <w:r>
              <w:rPr>
                <w:color w:val="auto"/>
                <w:kern w:val="0"/>
                <w:szCs w:val="21"/>
                <w:highlight w:val="none"/>
              </w:rPr>
              <w:t>人</w:t>
            </w:r>
          </w:p>
        </w:tc>
        <w:tc>
          <w:tcPr>
            <w:tcW w:w="1815" w:type="dxa"/>
            <w:tcBorders>
              <w:top w:val="nil"/>
              <w:left w:val="nil"/>
              <w:bottom w:val="single" w:color="auto" w:sz="4" w:space="0"/>
              <w:right w:val="single" w:color="auto" w:sz="4" w:space="0"/>
            </w:tcBorders>
            <w:vAlign w:val="center"/>
          </w:tcPr>
          <w:p w14:paraId="2D502F18">
            <w:pPr>
              <w:widowControl/>
              <w:jc w:val="left"/>
              <w:rPr>
                <w:color w:val="auto"/>
                <w:kern w:val="0"/>
                <w:szCs w:val="21"/>
                <w:highlight w:val="none"/>
              </w:rPr>
            </w:pPr>
            <w:r>
              <w:rPr>
                <w:color w:val="auto"/>
                <w:kern w:val="0"/>
                <w:szCs w:val="21"/>
                <w:highlight w:val="none"/>
              </w:rPr>
              <w:t>100≤X＜300</w:t>
            </w:r>
          </w:p>
        </w:tc>
        <w:tc>
          <w:tcPr>
            <w:tcW w:w="1620" w:type="dxa"/>
            <w:tcBorders>
              <w:top w:val="nil"/>
              <w:left w:val="nil"/>
              <w:bottom w:val="single" w:color="auto" w:sz="4" w:space="0"/>
              <w:right w:val="single" w:color="auto" w:sz="4" w:space="0"/>
            </w:tcBorders>
            <w:vAlign w:val="center"/>
          </w:tcPr>
          <w:p w14:paraId="6A700C6E">
            <w:pPr>
              <w:widowControl/>
              <w:jc w:val="left"/>
              <w:rPr>
                <w:color w:val="auto"/>
                <w:kern w:val="0"/>
                <w:szCs w:val="21"/>
                <w:highlight w:val="none"/>
              </w:rPr>
            </w:pPr>
            <w:r>
              <w:rPr>
                <w:color w:val="auto"/>
                <w:kern w:val="0"/>
                <w:szCs w:val="21"/>
                <w:highlight w:val="none"/>
              </w:rPr>
              <w:t>10≤X＜100</w:t>
            </w:r>
          </w:p>
        </w:tc>
        <w:tc>
          <w:tcPr>
            <w:tcW w:w="1590" w:type="dxa"/>
            <w:tcBorders>
              <w:top w:val="nil"/>
              <w:left w:val="nil"/>
              <w:bottom w:val="single" w:color="auto" w:sz="4" w:space="0"/>
              <w:right w:val="single" w:color="auto" w:sz="4" w:space="0"/>
            </w:tcBorders>
            <w:vAlign w:val="center"/>
          </w:tcPr>
          <w:p w14:paraId="76E293BA">
            <w:pPr>
              <w:widowControl/>
              <w:jc w:val="left"/>
              <w:rPr>
                <w:color w:val="auto"/>
                <w:kern w:val="0"/>
                <w:szCs w:val="21"/>
                <w:highlight w:val="none"/>
              </w:rPr>
            </w:pPr>
            <w:r>
              <w:rPr>
                <w:color w:val="auto"/>
                <w:kern w:val="0"/>
                <w:szCs w:val="21"/>
                <w:highlight w:val="none"/>
              </w:rPr>
              <w:t>X＜10</w:t>
            </w:r>
          </w:p>
        </w:tc>
      </w:tr>
      <w:tr w14:paraId="03CC74FA">
        <w:tblPrEx>
          <w:tblCellMar>
            <w:top w:w="0" w:type="dxa"/>
            <w:left w:w="108" w:type="dxa"/>
            <w:bottom w:w="0" w:type="dxa"/>
            <w:right w:w="108" w:type="dxa"/>
          </w:tblCellMar>
        </w:tblPrEx>
        <w:trPr>
          <w:trHeight w:val="369" w:hRule="exact"/>
          <w:jc w:val="center"/>
        </w:trPr>
        <w:tc>
          <w:tcPr>
            <w:tcW w:w="1875" w:type="dxa"/>
            <w:vMerge w:val="continue"/>
            <w:tcBorders>
              <w:top w:val="nil"/>
              <w:left w:val="single" w:color="auto" w:sz="4" w:space="0"/>
              <w:bottom w:val="single" w:color="auto" w:sz="4" w:space="0"/>
              <w:right w:val="single" w:color="auto" w:sz="4" w:space="0"/>
            </w:tcBorders>
            <w:vAlign w:val="center"/>
          </w:tcPr>
          <w:p w14:paraId="5881496F">
            <w:pPr>
              <w:widowControl/>
              <w:jc w:val="center"/>
              <w:rPr>
                <w:b/>
                <w:bCs/>
                <w:color w:val="auto"/>
                <w:kern w:val="0"/>
                <w:szCs w:val="21"/>
                <w:highlight w:val="none"/>
              </w:rPr>
            </w:pPr>
          </w:p>
        </w:tc>
        <w:tc>
          <w:tcPr>
            <w:tcW w:w="1642" w:type="dxa"/>
            <w:tcBorders>
              <w:top w:val="nil"/>
              <w:left w:val="nil"/>
              <w:bottom w:val="single" w:color="auto" w:sz="4" w:space="0"/>
              <w:right w:val="single" w:color="auto" w:sz="4" w:space="0"/>
            </w:tcBorders>
            <w:vAlign w:val="center"/>
          </w:tcPr>
          <w:p w14:paraId="4430F280">
            <w:pPr>
              <w:widowControl/>
              <w:jc w:val="left"/>
              <w:rPr>
                <w:color w:val="auto"/>
                <w:kern w:val="0"/>
                <w:szCs w:val="21"/>
                <w:highlight w:val="none"/>
              </w:rPr>
            </w:pPr>
            <w:r>
              <w:rPr>
                <w:color w:val="auto"/>
                <w:kern w:val="0"/>
                <w:szCs w:val="21"/>
                <w:highlight w:val="none"/>
              </w:rPr>
              <w:t>营业收入（Y）</w:t>
            </w:r>
          </w:p>
        </w:tc>
        <w:tc>
          <w:tcPr>
            <w:tcW w:w="1185" w:type="dxa"/>
            <w:tcBorders>
              <w:top w:val="nil"/>
              <w:left w:val="nil"/>
              <w:bottom w:val="single" w:color="auto" w:sz="4" w:space="0"/>
              <w:right w:val="single" w:color="auto" w:sz="4" w:space="0"/>
            </w:tcBorders>
            <w:vAlign w:val="center"/>
          </w:tcPr>
          <w:p w14:paraId="3823A2EA">
            <w:pPr>
              <w:widowControl/>
              <w:jc w:val="left"/>
              <w:rPr>
                <w:color w:val="auto"/>
                <w:kern w:val="0"/>
                <w:szCs w:val="21"/>
                <w:highlight w:val="none"/>
              </w:rPr>
            </w:pPr>
            <w:r>
              <w:rPr>
                <w:color w:val="auto"/>
                <w:kern w:val="0"/>
                <w:szCs w:val="21"/>
                <w:highlight w:val="none"/>
              </w:rPr>
              <w:t>万元</w:t>
            </w:r>
          </w:p>
        </w:tc>
        <w:tc>
          <w:tcPr>
            <w:tcW w:w="1815" w:type="dxa"/>
            <w:tcBorders>
              <w:top w:val="nil"/>
              <w:left w:val="nil"/>
              <w:bottom w:val="single" w:color="auto" w:sz="4" w:space="0"/>
              <w:right w:val="single" w:color="auto" w:sz="4" w:space="0"/>
            </w:tcBorders>
            <w:vAlign w:val="center"/>
          </w:tcPr>
          <w:p w14:paraId="1BF615E1">
            <w:pPr>
              <w:widowControl/>
              <w:jc w:val="left"/>
              <w:rPr>
                <w:color w:val="auto"/>
                <w:kern w:val="0"/>
                <w:szCs w:val="21"/>
                <w:highlight w:val="none"/>
              </w:rPr>
            </w:pPr>
            <w:r>
              <w:rPr>
                <w:color w:val="auto"/>
                <w:kern w:val="0"/>
                <w:szCs w:val="21"/>
                <w:highlight w:val="none"/>
              </w:rPr>
              <w:t>2000≤Y＜10000</w:t>
            </w:r>
          </w:p>
        </w:tc>
        <w:tc>
          <w:tcPr>
            <w:tcW w:w="1620" w:type="dxa"/>
            <w:tcBorders>
              <w:top w:val="nil"/>
              <w:left w:val="nil"/>
              <w:bottom w:val="single" w:color="auto" w:sz="4" w:space="0"/>
              <w:right w:val="single" w:color="auto" w:sz="4" w:space="0"/>
            </w:tcBorders>
            <w:vAlign w:val="center"/>
          </w:tcPr>
          <w:p w14:paraId="258DBA4C">
            <w:pPr>
              <w:widowControl/>
              <w:jc w:val="left"/>
              <w:rPr>
                <w:color w:val="auto"/>
                <w:kern w:val="0"/>
                <w:szCs w:val="21"/>
                <w:highlight w:val="none"/>
              </w:rPr>
            </w:pPr>
            <w:r>
              <w:rPr>
                <w:color w:val="auto"/>
                <w:kern w:val="0"/>
                <w:szCs w:val="21"/>
                <w:highlight w:val="none"/>
              </w:rPr>
              <w:t>100≤Y＜2000</w:t>
            </w:r>
          </w:p>
        </w:tc>
        <w:tc>
          <w:tcPr>
            <w:tcW w:w="1590" w:type="dxa"/>
            <w:tcBorders>
              <w:top w:val="nil"/>
              <w:left w:val="nil"/>
              <w:bottom w:val="single" w:color="auto" w:sz="4" w:space="0"/>
              <w:right w:val="single" w:color="auto" w:sz="4" w:space="0"/>
            </w:tcBorders>
            <w:vAlign w:val="center"/>
          </w:tcPr>
          <w:p w14:paraId="42796C35">
            <w:pPr>
              <w:widowControl/>
              <w:jc w:val="left"/>
              <w:rPr>
                <w:color w:val="auto"/>
                <w:kern w:val="0"/>
                <w:szCs w:val="21"/>
                <w:highlight w:val="none"/>
              </w:rPr>
            </w:pPr>
            <w:r>
              <w:rPr>
                <w:color w:val="auto"/>
                <w:kern w:val="0"/>
                <w:szCs w:val="21"/>
                <w:highlight w:val="none"/>
              </w:rPr>
              <w:t>Y＜100</w:t>
            </w:r>
          </w:p>
        </w:tc>
      </w:tr>
      <w:tr w14:paraId="42475B93">
        <w:tblPrEx>
          <w:tblCellMar>
            <w:top w:w="0" w:type="dxa"/>
            <w:left w:w="108" w:type="dxa"/>
            <w:bottom w:w="0" w:type="dxa"/>
            <w:right w:w="108" w:type="dxa"/>
          </w:tblCellMar>
        </w:tblPrEx>
        <w:trPr>
          <w:trHeight w:val="369" w:hRule="exact"/>
          <w:jc w:val="center"/>
        </w:trPr>
        <w:tc>
          <w:tcPr>
            <w:tcW w:w="1875" w:type="dxa"/>
            <w:vMerge w:val="restart"/>
            <w:tcBorders>
              <w:top w:val="nil"/>
              <w:left w:val="single" w:color="auto" w:sz="4" w:space="0"/>
              <w:bottom w:val="single" w:color="auto" w:sz="4" w:space="0"/>
              <w:right w:val="single" w:color="auto" w:sz="4" w:space="0"/>
            </w:tcBorders>
            <w:vAlign w:val="center"/>
          </w:tcPr>
          <w:p w14:paraId="1A832A31">
            <w:pPr>
              <w:widowControl/>
              <w:jc w:val="center"/>
              <w:rPr>
                <w:b/>
                <w:bCs/>
                <w:color w:val="auto"/>
                <w:kern w:val="0"/>
                <w:szCs w:val="21"/>
                <w:highlight w:val="none"/>
              </w:rPr>
            </w:pPr>
            <w:r>
              <w:rPr>
                <w:b/>
                <w:bCs/>
                <w:color w:val="auto"/>
                <w:kern w:val="0"/>
                <w:szCs w:val="21"/>
                <w:highlight w:val="none"/>
              </w:rPr>
              <w:t>信息传输业</w:t>
            </w:r>
          </w:p>
        </w:tc>
        <w:tc>
          <w:tcPr>
            <w:tcW w:w="1642" w:type="dxa"/>
            <w:tcBorders>
              <w:top w:val="nil"/>
              <w:left w:val="nil"/>
              <w:bottom w:val="single" w:color="auto" w:sz="4" w:space="0"/>
              <w:right w:val="single" w:color="auto" w:sz="4" w:space="0"/>
            </w:tcBorders>
            <w:vAlign w:val="center"/>
          </w:tcPr>
          <w:p w14:paraId="7B14693B">
            <w:pPr>
              <w:widowControl/>
              <w:jc w:val="left"/>
              <w:rPr>
                <w:color w:val="auto"/>
                <w:kern w:val="0"/>
                <w:szCs w:val="21"/>
                <w:highlight w:val="none"/>
              </w:rPr>
            </w:pPr>
            <w:r>
              <w:rPr>
                <w:color w:val="auto"/>
                <w:kern w:val="0"/>
                <w:szCs w:val="21"/>
                <w:highlight w:val="none"/>
              </w:rPr>
              <w:t>从业人员（X）</w:t>
            </w:r>
          </w:p>
        </w:tc>
        <w:tc>
          <w:tcPr>
            <w:tcW w:w="1185" w:type="dxa"/>
            <w:tcBorders>
              <w:top w:val="nil"/>
              <w:left w:val="nil"/>
              <w:bottom w:val="single" w:color="auto" w:sz="4" w:space="0"/>
              <w:right w:val="single" w:color="auto" w:sz="4" w:space="0"/>
            </w:tcBorders>
            <w:vAlign w:val="center"/>
          </w:tcPr>
          <w:p w14:paraId="0088D263">
            <w:pPr>
              <w:widowControl/>
              <w:jc w:val="left"/>
              <w:rPr>
                <w:color w:val="auto"/>
                <w:kern w:val="0"/>
                <w:szCs w:val="21"/>
                <w:highlight w:val="none"/>
              </w:rPr>
            </w:pPr>
            <w:r>
              <w:rPr>
                <w:color w:val="auto"/>
                <w:kern w:val="0"/>
                <w:szCs w:val="21"/>
                <w:highlight w:val="none"/>
              </w:rPr>
              <w:t>人</w:t>
            </w:r>
          </w:p>
        </w:tc>
        <w:tc>
          <w:tcPr>
            <w:tcW w:w="1815" w:type="dxa"/>
            <w:tcBorders>
              <w:top w:val="nil"/>
              <w:left w:val="nil"/>
              <w:bottom w:val="single" w:color="auto" w:sz="4" w:space="0"/>
              <w:right w:val="single" w:color="auto" w:sz="4" w:space="0"/>
            </w:tcBorders>
            <w:vAlign w:val="center"/>
          </w:tcPr>
          <w:p w14:paraId="383130DD">
            <w:pPr>
              <w:widowControl/>
              <w:jc w:val="left"/>
              <w:rPr>
                <w:color w:val="auto"/>
                <w:kern w:val="0"/>
                <w:szCs w:val="21"/>
                <w:highlight w:val="none"/>
              </w:rPr>
            </w:pPr>
            <w:r>
              <w:rPr>
                <w:color w:val="auto"/>
                <w:kern w:val="0"/>
                <w:szCs w:val="21"/>
                <w:highlight w:val="none"/>
              </w:rPr>
              <w:t>100≤X＜2000</w:t>
            </w:r>
          </w:p>
        </w:tc>
        <w:tc>
          <w:tcPr>
            <w:tcW w:w="1620" w:type="dxa"/>
            <w:tcBorders>
              <w:top w:val="nil"/>
              <w:left w:val="nil"/>
              <w:bottom w:val="single" w:color="auto" w:sz="4" w:space="0"/>
              <w:right w:val="single" w:color="auto" w:sz="4" w:space="0"/>
            </w:tcBorders>
            <w:vAlign w:val="center"/>
          </w:tcPr>
          <w:p w14:paraId="67185424">
            <w:pPr>
              <w:widowControl/>
              <w:jc w:val="left"/>
              <w:rPr>
                <w:color w:val="auto"/>
                <w:kern w:val="0"/>
                <w:szCs w:val="21"/>
                <w:highlight w:val="none"/>
              </w:rPr>
            </w:pPr>
            <w:r>
              <w:rPr>
                <w:color w:val="auto"/>
                <w:kern w:val="0"/>
                <w:szCs w:val="21"/>
                <w:highlight w:val="none"/>
              </w:rPr>
              <w:t>10≤X＜100</w:t>
            </w:r>
          </w:p>
        </w:tc>
        <w:tc>
          <w:tcPr>
            <w:tcW w:w="1590" w:type="dxa"/>
            <w:tcBorders>
              <w:top w:val="nil"/>
              <w:left w:val="nil"/>
              <w:bottom w:val="single" w:color="auto" w:sz="4" w:space="0"/>
              <w:right w:val="single" w:color="auto" w:sz="4" w:space="0"/>
            </w:tcBorders>
            <w:vAlign w:val="center"/>
          </w:tcPr>
          <w:p w14:paraId="73CA669A">
            <w:pPr>
              <w:widowControl/>
              <w:jc w:val="left"/>
              <w:rPr>
                <w:color w:val="auto"/>
                <w:kern w:val="0"/>
                <w:szCs w:val="21"/>
                <w:highlight w:val="none"/>
              </w:rPr>
            </w:pPr>
            <w:r>
              <w:rPr>
                <w:color w:val="auto"/>
                <w:kern w:val="0"/>
                <w:szCs w:val="21"/>
                <w:highlight w:val="none"/>
              </w:rPr>
              <w:t>X＜10</w:t>
            </w:r>
          </w:p>
        </w:tc>
      </w:tr>
      <w:tr w14:paraId="4DB19E3E">
        <w:tblPrEx>
          <w:tblCellMar>
            <w:top w:w="0" w:type="dxa"/>
            <w:left w:w="108" w:type="dxa"/>
            <w:bottom w:w="0" w:type="dxa"/>
            <w:right w:w="108" w:type="dxa"/>
          </w:tblCellMar>
        </w:tblPrEx>
        <w:trPr>
          <w:trHeight w:val="369" w:hRule="exact"/>
          <w:jc w:val="center"/>
        </w:trPr>
        <w:tc>
          <w:tcPr>
            <w:tcW w:w="1875" w:type="dxa"/>
            <w:vMerge w:val="continue"/>
            <w:tcBorders>
              <w:top w:val="nil"/>
              <w:left w:val="single" w:color="auto" w:sz="4" w:space="0"/>
              <w:bottom w:val="single" w:color="auto" w:sz="4" w:space="0"/>
              <w:right w:val="single" w:color="auto" w:sz="4" w:space="0"/>
            </w:tcBorders>
            <w:vAlign w:val="center"/>
          </w:tcPr>
          <w:p w14:paraId="71B73F26">
            <w:pPr>
              <w:widowControl/>
              <w:jc w:val="center"/>
              <w:rPr>
                <w:b/>
                <w:bCs/>
                <w:color w:val="auto"/>
                <w:kern w:val="0"/>
                <w:szCs w:val="21"/>
                <w:highlight w:val="none"/>
              </w:rPr>
            </w:pPr>
          </w:p>
        </w:tc>
        <w:tc>
          <w:tcPr>
            <w:tcW w:w="1642" w:type="dxa"/>
            <w:tcBorders>
              <w:top w:val="nil"/>
              <w:left w:val="nil"/>
              <w:bottom w:val="single" w:color="auto" w:sz="4" w:space="0"/>
              <w:right w:val="single" w:color="auto" w:sz="4" w:space="0"/>
            </w:tcBorders>
            <w:vAlign w:val="center"/>
          </w:tcPr>
          <w:p w14:paraId="46782140">
            <w:pPr>
              <w:widowControl/>
              <w:jc w:val="left"/>
              <w:rPr>
                <w:color w:val="auto"/>
                <w:kern w:val="0"/>
                <w:szCs w:val="21"/>
                <w:highlight w:val="none"/>
              </w:rPr>
            </w:pPr>
            <w:r>
              <w:rPr>
                <w:color w:val="auto"/>
                <w:kern w:val="0"/>
                <w:szCs w:val="21"/>
                <w:highlight w:val="none"/>
              </w:rPr>
              <w:t>营业收入（Y）</w:t>
            </w:r>
          </w:p>
        </w:tc>
        <w:tc>
          <w:tcPr>
            <w:tcW w:w="1185" w:type="dxa"/>
            <w:tcBorders>
              <w:top w:val="nil"/>
              <w:left w:val="nil"/>
              <w:bottom w:val="single" w:color="auto" w:sz="4" w:space="0"/>
              <w:right w:val="single" w:color="auto" w:sz="4" w:space="0"/>
            </w:tcBorders>
            <w:vAlign w:val="center"/>
          </w:tcPr>
          <w:p w14:paraId="1CD6BBE1">
            <w:pPr>
              <w:widowControl/>
              <w:jc w:val="left"/>
              <w:rPr>
                <w:color w:val="auto"/>
                <w:kern w:val="0"/>
                <w:szCs w:val="21"/>
                <w:highlight w:val="none"/>
              </w:rPr>
            </w:pPr>
            <w:r>
              <w:rPr>
                <w:color w:val="auto"/>
                <w:kern w:val="0"/>
                <w:szCs w:val="21"/>
                <w:highlight w:val="none"/>
              </w:rPr>
              <w:t>万元</w:t>
            </w:r>
          </w:p>
        </w:tc>
        <w:tc>
          <w:tcPr>
            <w:tcW w:w="1815" w:type="dxa"/>
            <w:tcBorders>
              <w:top w:val="nil"/>
              <w:left w:val="nil"/>
              <w:bottom w:val="single" w:color="auto" w:sz="4" w:space="0"/>
              <w:right w:val="single" w:color="auto" w:sz="4" w:space="0"/>
            </w:tcBorders>
            <w:vAlign w:val="center"/>
          </w:tcPr>
          <w:p w14:paraId="3315A512">
            <w:pPr>
              <w:widowControl/>
              <w:jc w:val="left"/>
              <w:rPr>
                <w:color w:val="auto"/>
                <w:kern w:val="0"/>
                <w:szCs w:val="21"/>
                <w:highlight w:val="none"/>
              </w:rPr>
            </w:pPr>
            <w:r>
              <w:rPr>
                <w:color w:val="auto"/>
                <w:kern w:val="0"/>
                <w:szCs w:val="21"/>
                <w:highlight w:val="none"/>
              </w:rPr>
              <w:t>1000≤Y＜100000</w:t>
            </w:r>
          </w:p>
        </w:tc>
        <w:tc>
          <w:tcPr>
            <w:tcW w:w="1620" w:type="dxa"/>
            <w:tcBorders>
              <w:top w:val="nil"/>
              <w:left w:val="nil"/>
              <w:bottom w:val="single" w:color="auto" w:sz="4" w:space="0"/>
              <w:right w:val="single" w:color="auto" w:sz="4" w:space="0"/>
            </w:tcBorders>
            <w:vAlign w:val="center"/>
          </w:tcPr>
          <w:p w14:paraId="70A04022">
            <w:pPr>
              <w:widowControl/>
              <w:jc w:val="left"/>
              <w:rPr>
                <w:color w:val="auto"/>
                <w:kern w:val="0"/>
                <w:szCs w:val="21"/>
                <w:highlight w:val="none"/>
              </w:rPr>
            </w:pPr>
            <w:r>
              <w:rPr>
                <w:color w:val="auto"/>
                <w:kern w:val="0"/>
                <w:szCs w:val="21"/>
                <w:highlight w:val="none"/>
              </w:rPr>
              <w:t>100≤Y＜1000</w:t>
            </w:r>
          </w:p>
        </w:tc>
        <w:tc>
          <w:tcPr>
            <w:tcW w:w="1590" w:type="dxa"/>
            <w:tcBorders>
              <w:top w:val="nil"/>
              <w:left w:val="nil"/>
              <w:bottom w:val="single" w:color="auto" w:sz="4" w:space="0"/>
              <w:right w:val="single" w:color="auto" w:sz="4" w:space="0"/>
            </w:tcBorders>
            <w:vAlign w:val="center"/>
          </w:tcPr>
          <w:p w14:paraId="4691E91B">
            <w:pPr>
              <w:widowControl/>
              <w:jc w:val="left"/>
              <w:rPr>
                <w:color w:val="auto"/>
                <w:kern w:val="0"/>
                <w:szCs w:val="21"/>
                <w:highlight w:val="none"/>
              </w:rPr>
            </w:pPr>
            <w:r>
              <w:rPr>
                <w:color w:val="auto"/>
                <w:kern w:val="0"/>
                <w:szCs w:val="21"/>
                <w:highlight w:val="none"/>
              </w:rPr>
              <w:t>Y＜100</w:t>
            </w:r>
          </w:p>
        </w:tc>
      </w:tr>
      <w:tr w14:paraId="3B6FAAF2">
        <w:tblPrEx>
          <w:tblCellMar>
            <w:top w:w="0" w:type="dxa"/>
            <w:left w:w="108" w:type="dxa"/>
            <w:bottom w:w="0" w:type="dxa"/>
            <w:right w:w="108" w:type="dxa"/>
          </w:tblCellMar>
        </w:tblPrEx>
        <w:trPr>
          <w:trHeight w:val="369" w:hRule="exact"/>
          <w:jc w:val="center"/>
        </w:trPr>
        <w:tc>
          <w:tcPr>
            <w:tcW w:w="1875" w:type="dxa"/>
            <w:vMerge w:val="restart"/>
            <w:tcBorders>
              <w:top w:val="nil"/>
              <w:left w:val="single" w:color="auto" w:sz="4" w:space="0"/>
              <w:bottom w:val="single" w:color="auto" w:sz="4" w:space="0"/>
              <w:right w:val="single" w:color="auto" w:sz="4" w:space="0"/>
            </w:tcBorders>
            <w:vAlign w:val="center"/>
          </w:tcPr>
          <w:p w14:paraId="6DF97728">
            <w:pPr>
              <w:widowControl/>
              <w:jc w:val="center"/>
              <w:rPr>
                <w:b/>
                <w:bCs/>
                <w:color w:val="auto"/>
                <w:kern w:val="0"/>
                <w:szCs w:val="21"/>
                <w:highlight w:val="none"/>
              </w:rPr>
            </w:pPr>
            <w:r>
              <w:rPr>
                <w:b/>
                <w:bCs/>
                <w:color w:val="auto"/>
                <w:kern w:val="0"/>
                <w:szCs w:val="21"/>
                <w:highlight w:val="none"/>
              </w:rPr>
              <w:t>软件和信息技术服务业</w:t>
            </w:r>
          </w:p>
        </w:tc>
        <w:tc>
          <w:tcPr>
            <w:tcW w:w="1642" w:type="dxa"/>
            <w:tcBorders>
              <w:top w:val="nil"/>
              <w:left w:val="nil"/>
              <w:bottom w:val="single" w:color="auto" w:sz="4" w:space="0"/>
              <w:right w:val="single" w:color="auto" w:sz="4" w:space="0"/>
            </w:tcBorders>
            <w:vAlign w:val="center"/>
          </w:tcPr>
          <w:p w14:paraId="77725520">
            <w:pPr>
              <w:widowControl/>
              <w:jc w:val="left"/>
              <w:rPr>
                <w:color w:val="auto"/>
                <w:kern w:val="0"/>
                <w:szCs w:val="21"/>
                <w:highlight w:val="none"/>
              </w:rPr>
            </w:pPr>
            <w:r>
              <w:rPr>
                <w:color w:val="auto"/>
                <w:kern w:val="0"/>
                <w:szCs w:val="21"/>
                <w:highlight w:val="none"/>
              </w:rPr>
              <w:t>从业人员（X）</w:t>
            </w:r>
          </w:p>
        </w:tc>
        <w:tc>
          <w:tcPr>
            <w:tcW w:w="1185" w:type="dxa"/>
            <w:tcBorders>
              <w:top w:val="nil"/>
              <w:left w:val="nil"/>
              <w:bottom w:val="single" w:color="auto" w:sz="4" w:space="0"/>
              <w:right w:val="single" w:color="auto" w:sz="4" w:space="0"/>
            </w:tcBorders>
            <w:vAlign w:val="center"/>
          </w:tcPr>
          <w:p w14:paraId="3A8F9E6D">
            <w:pPr>
              <w:widowControl/>
              <w:jc w:val="left"/>
              <w:rPr>
                <w:color w:val="auto"/>
                <w:kern w:val="0"/>
                <w:szCs w:val="21"/>
                <w:highlight w:val="none"/>
              </w:rPr>
            </w:pPr>
            <w:r>
              <w:rPr>
                <w:color w:val="auto"/>
                <w:kern w:val="0"/>
                <w:szCs w:val="21"/>
                <w:highlight w:val="none"/>
              </w:rPr>
              <w:t>人</w:t>
            </w:r>
          </w:p>
        </w:tc>
        <w:tc>
          <w:tcPr>
            <w:tcW w:w="1815" w:type="dxa"/>
            <w:tcBorders>
              <w:top w:val="nil"/>
              <w:left w:val="nil"/>
              <w:bottom w:val="single" w:color="auto" w:sz="4" w:space="0"/>
              <w:right w:val="single" w:color="auto" w:sz="4" w:space="0"/>
            </w:tcBorders>
            <w:vAlign w:val="center"/>
          </w:tcPr>
          <w:p w14:paraId="22F73904">
            <w:pPr>
              <w:widowControl/>
              <w:jc w:val="left"/>
              <w:rPr>
                <w:color w:val="auto"/>
                <w:kern w:val="0"/>
                <w:szCs w:val="21"/>
                <w:highlight w:val="none"/>
              </w:rPr>
            </w:pPr>
            <w:r>
              <w:rPr>
                <w:color w:val="auto"/>
                <w:kern w:val="0"/>
                <w:szCs w:val="21"/>
                <w:highlight w:val="none"/>
              </w:rPr>
              <w:t>100≤X＜300</w:t>
            </w:r>
          </w:p>
        </w:tc>
        <w:tc>
          <w:tcPr>
            <w:tcW w:w="1620" w:type="dxa"/>
            <w:tcBorders>
              <w:top w:val="nil"/>
              <w:left w:val="nil"/>
              <w:bottom w:val="single" w:color="auto" w:sz="4" w:space="0"/>
              <w:right w:val="single" w:color="auto" w:sz="4" w:space="0"/>
            </w:tcBorders>
            <w:vAlign w:val="center"/>
          </w:tcPr>
          <w:p w14:paraId="5AEC8F6D">
            <w:pPr>
              <w:widowControl/>
              <w:jc w:val="left"/>
              <w:rPr>
                <w:color w:val="auto"/>
                <w:kern w:val="0"/>
                <w:szCs w:val="21"/>
                <w:highlight w:val="none"/>
              </w:rPr>
            </w:pPr>
            <w:r>
              <w:rPr>
                <w:color w:val="auto"/>
                <w:kern w:val="0"/>
                <w:szCs w:val="21"/>
                <w:highlight w:val="none"/>
              </w:rPr>
              <w:t>10≤X＜100</w:t>
            </w:r>
          </w:p>
        </w:tc>
        <w:tc>
          <w:tcPr>
            <w:tcW w:w="1590" w:type="dxa"/>
            <w:tcBorders>
              <w:top w:val="nil"/>
              <w:left w:val="nil"/>
              <w:bottom w:val="single" w:color="auto" w:sz="4" w:space="0"/>
              <w:right w:val="single" w:color="auto" w:sz="4" w:space="0"/>
            </w:tcBorders>
            <w:vAlign w:val="center"/>
          </w:tcPr>
          <w:p w14:paraId="398E13FA">
            <w:pPr>
              <w:widowControl/>
              <w:jc w:val="left"/>
              <w:rPr>
                <w:color w:val="auto"/>
                <w:kern w:val="0"/>
                <w:szCs w:val="21"/>
                <w:highlight w:val="none"/>
              </w:rPr>
            </w:pPr>
            <w:r>
              <w:rPr>
                <w:color w:val="auto"/>
                <w:kern w:val="0"/>
                <w:szCs w:val="21"/>
                <w:highlight w:val="none"/>
              </w:rPr>
              <w:t>X＜10</w:t>
            </w:r>
          </w:p>
        </w:tc>
      </w:tr>
      <w:tr w14:paraId="31A9DABE">
        <w:tblPrEx>
          <w:tblCellMar>
            <w:top w:w="0" w:type="dxa"/>
            <w:left w:w="108" w:type="dxa"/>
            <w:bottom w:w="0" w:type="dxa"/>
            <w:right w:w="108" w:type="dxa"/>
          </w:tblCellMar>
        </w:tblPrEx>
        <w:trPr>
          <w:trHeight w:val="369" w:hRule="exact"/>
          <w:jc w:val="center"/>
        </w:trPr>
        <w:tc>
          <w:tcPr>
            <w:tcW w:w="1875" w:type="dxa"/>
            <w:vMerge w:val="continue"/>
            <w:tcBorders>
              <w:top w:val="nil"/>
              <w:left w:val="single" w:color="auto" w:sz="4" w:space="0"/>
              <w:bottom w:val="single" w:color="auto" w:sz="4" w:space="0"/>
              <w:right w:val="single" w:color="auto" w:sz="4" w:space="0"/>
            </w:tcBorders>
            <w:vAlign w:val="center"/>
          </w:tcPr>
          <w:p w14:paraId="0BBC7578">
            <w:pPr>
              <w:widowControl/>
              <w:jc w:val="center"/>
              <w:rPr>
                <w:b/>
                <w:bCs/>
                <w:color w:val="auto"/>
                <w:kern w:val="0"/>
                <w:szCs w:val="21"/>
                <w:highlight w:val="none"/>
              </w:rPr>
            </w:pPr>
          </w:p>
        </w:tc>
        <w:tc>
          <w:tcPr>
            <w:tcW w:w="1642" w:type="dxa"/>
            <w:tcBorders>
              <w:top w:val="nil"/>
              <w:left w:val="nil"/>
              <w:bottom w:val="single" w:color="auto" w:sz="4" w:space="0"/>
              <w:right w:val="single" w:color="auto" w:sz="4" w:space="0"/>
            </w:tcBorders>
            <w:vAlign w:val="center"/>
          </w:tcPr>
          <w:p w14:paraId="1A573320">
            <w:pPr>
              <w:widowControl/>
              <w:jc w:val="left"/>
              <w:rPr>
                <w:color w:val="auto"/>
                <w:kern w:val="0"/>
                <w:szCs w:val="21"/>
                <w:highlight w:val="none"/>
              </w:rPr>
            </w:pPr>
            <w:r>
              <w:rPr>
                <w:color w:val="auto"/>
                <w:kern w:val="0"/>
                <w:szCs w:val="21"/>
                <w:highlight w:val="none"/>
              </w:rPr>
              <w:t>营业收入（Y）</w:t>
            </w:r>
          </w:p>
        </w:tc>
        <w:tc>
          <w:tcPr>
            <w:tcW w:w="1185" w:type="dxa"/>
            <w:tcBorders>
              <w:top w:val="nil"/>
              <w:left w:val="nil"/>
              <w:bottom w:val="single" w:color="auto" w:sz="4" w:space="0"/>
              <w:right w:val="single" w:color="auto" w:sz="4" w:space="0"/>
            </w:tcBorders>
            <w:vAlign w:val="center"/>
          </w:tcPr>
          <w:p w14:paraId="198D02D8">
            <w:pPr>
              <w:widowControl/>
              <w:jc w:val="left"/>
              <w:rPr>
                <w:color w:val="auto"/>
                <w:kern w:val="0"/>
                <w:szCs w:val="21"/>
                <w:highlight w:val="none"/>
              </w:rPr>
            </w:pPr>
            <w:r>
              <w:rPr>
                <w:color w:val="auto"/>
                <w:kern w:val="0"/>
                <w:szCs w:val="21"/>
                <w:highlight w:val="none"/>
              </w:rPr>
              <w:t>万元</w:t>
            </w:r>
          </w:p>
        </w:tc>
        <w:tc>
          <w:tcPr>
            <w:tcW w:w="1815" w:type="dxa"/>
            <w:tcBorders>
              <w:top w:val="nil"/>
              <w:left w:val="nil"/>
              <w:bottom w:val="single" w:color="auto" w:sz="4" w:space="0"/>
              <w:right w:val="single" w:color="auto" w:sz="4" w:space="0"/>
            </w:tcBorders>
            <w:vAlign w:val="center"/>
          </w:tcPr>
          <w:p w14:paraId="4DB24675">
            <w:pPr>
              <w:widowControl/>
              <w:jc w:val="left"/>
              <w:rPr>
                <w:color w:val="auto"/>
                <w:kern w:val="0"/>
                <w:szCs w:val="21"/>
                <w:highlight w:val="none"/>
              </w:rPr>
            </w:pPr>
            <w:r>
              <w:rPr>
                <w:color w:val="auto"/>
                <w:kern w:val="0"/>
                <w:szCs w:val="21"/>
                <w:highlight w:val="none"/>
              </w:rPr>
              <w:t>1000≤Y＜10000</w:t>
            </w:r>
          </w:p>
        </w:tc>
        <w:tc>
          <w:tcPr>
            <w:tcW w:w="1620" w:type="dxa"/>
            <w:tcBorders>
              <w:top w:val="nil"/>
              <w:left w:val="nil"/>
              <w:bottom w:val="single" w:color="auto" w:sz="4" w:space="0"/>
              <w:right w:val="single" w:color="auto" w:sz="4" w:space="0"/>
            </w:tcBorders>
            <w:vAlign w:val="center"/>
          </w:tcPr>
          <w:p w14:paraId="3DAE3854">
            <w:pPr>
              <w:widowControl/>
              <w:jc w:val="left"/>
              <w:rPr>
                <w:color w:val="auto"/>
                <w:kern w:val="0"/>
                <w:szCs w:val="21"/>
                <w:highlight w:val="none"/>
              </w:rPr>
            </w:pPr>
            <w:r>
              <w:rPr>
                <w:color w:val="auto"/>
                <w:kern w:val="0"/>
                <w:szCs w:val="21"/>
                <w:highlight w:val="none"/>
              </w:rPr>
              <w:t>50≤Y＜1000</w:t>
            </w:r>
          </w:p>
        </w:tc>
        <w:tc>
          <w:tcPr>
            <w:tcW w:w="1590" w:type="dxa"/>
            <w:tcBorders>
              <w:top w:val="nil"/>
              <w:left w:val="nil"/>
              <w:bottom w:val="single" w:color="auto" w:sz="4" w:space="0"/>
              <w:right w:val="single" w:color="auto" w:sz="4" w:space="0"/>
            </w:tcBorders>
            <w:vAlign w:val="center"/>
          </w:tcPr>
          <w:p w14:paraId="1B0F08B3">
            <w:pPr>
              <w:widowControl/>
              <w:jc w:val="left"/>
              <w:rPr>
                <w:color w:val="auto"/>
                <w:kern w:val="0"/>
                <w:szCs w:val="21"/>
                <w:highlight w:val="none"/>
              </w:rPr>
            </w:pPr>
            <w:r>
              <w:rPr>
                <w:color w:val="auto"/>
                <w:kern w:val="0"/>
                <w:szCs w:val="21"/>
                <w:highlight w:val="none"/>
              </w:rPr>
              <w:t>Y＜50</w:t>
            </w:r>
          </w:p>
        </w:tc>
      </w:tr>
      <w:tr w14:paraId="00D0423A">
        <w:tblPrEx>
          <w:tblCellMar>
            <w:top w:w="0" w:type="dxa"/>
            <w:left w:w="108" w:type="dxa"/>
            <w:bottom w:w="0" w:type="dxa"/>
            <w:right w:w="108" w:type="dxa"/>
          </w:tblCellMar>
        </w:tblPrEx>
        <w:trPr>
          <w:trHeight w:val="369" w:hRule="exact"/>
          <w:jc w:val="center"/>
        </w:trPr>
        <w:tc>
          <w:tcPr>
            <w:tcW w:w="1875" w:type="dxa"/>
            <w:vMerge w:val="restart"/>
            <w:tcBorders>
              <w:top w:val="nil"/>
              <w:left w:val="single" w:color="auto" w:sz="4" w:space="0"/>
              <w:bottom w:val="single" w:color="auto" w:sz="4" w:space="0"/>
              <w:right w:val="single" w:color="auto" w:sz="4" w:space="0"/>
            </w:tcBorders>
            <w:vAlign w:val="center"/>
          </w:tcPr>
          <w:p w14:paraId="24E05BB7">
            <w:pPr>
              <w:widowControl/>
              <w:jc w:val="center"/>
              <w:rPr>
                <w:b/>
                <w:bCs/>
                <w:color w:val="auto"/>
                <w:kern w:val="0"/>
                <w:szCs w:val="21"/>
                <w:highlight w:val="none"/>
              </w:rPr>
            </w:pPr>
            <w:r>
              <w:rPr>
                <w:b/>
                <w:bCs/>
                <w:color w:val="auto"/>
                <w:kern w:val="0"/>
                <w:szCs w:val="21"/>
                <w:highlight w:val="none"/>
              </w:rPr>
              <w:t>房地产开发经营</w:t>
            </w:r>
          </w:p>
        </w:tc>
        <w:tc>
          <w:tcPr>
            <w:tcW w:w="1642" w:type="dxa"/>
            <w:tcBorders>
              <w:top w:val="nil"/>
              <w:left w:val="nil"/>
              <w:bottom w:val="single" w:color="auto" w:sz="4" w:space="0"/>
              <w:right w:val="single" w:color="auto" w:sz="4" w:space="0"/>
            </w:tcBorders>
            <w:vAlign w:val="center"/>
          </w:tcPr>
          <w:p w14:paraId="36497D2C">
            <w:pPr>
              <w:widowControl/>
              <w:jc w:val="left"/>
              <w:rPr>
                <w:color w:val="auto"/>
                <w:kern w:val="0"/>
                <w:szCs w:val="21"/>
                <w:highlight w:val="none"/>
              </w:rPr>
            </w:pPr>
            <w:r>
              <w:rPr>
                <w:color w:val="auto"/>
                <w:kern w:val="0"/>
                <w:szCs w:val="21"/>
                <w:highlight w:val="none"/>
              </w:rPr>
              <w:t>营业收入（Y）</w:t>
            </w:r>
          </w:p>
        </w:tc>
        <w:tc>
          <w:tcPr>
            <w:tcW w:w="1185" w:type="dxa"/>
            <w:tcBorders>
              <w:top w:val="nil"/>
              <w:left w:val="nil"/>
              <w:bottom w:val="single" w:color="auto" w:sz="4" w:space="0"/>
              <w:right w:val="single" w:color="auto" w:sz="4" w:space="0"/>
            </w:tcBorders>
            <w:vAlign w:val="center"/>
          </w:tcPr>
          <w:p w14:paraId="1CA2BE06">
            <w:pPr>
              <w:widowControl/>
              <w:jc w:val="left"/>
              <w:rPr>
                <w:color w:val="auto"/>
                <w:kern w:val="0"/>
                <w:szCs w:val="21"/>
                <w:highlight w:val="none"/>
              </w:rPr>
            </w:pPr>
            <w:r>
              <w:rPr>
                <w:color w:val="auto"/>
                <w:kern w:val="0"/>
                <w:szCs w:val="21"/>
                <w:highlight w:val="none"/>
              </w:rPr>
              <w:t>万元</w:t>
            </w:r>
          </w:p>
        </w:tc>
        <w:tc>
          <w:tcPr>
            <w:tcW w:w="1815" w:type="dxa"/>
            <w:tcBorders>
              <w:top w:val="nil"/>
              <w:left w:val="nil"/>
              <w:bottom w:val="single" w:color="auto" w:sz="4" w:space="0"/>
              <w:right w:val="single" w:color="auto" w:sz="4" w:space="0"/>
            </w:tcBorders>
            <w:vAlign w:val="center"/>
          </w:tcPr>
          <w:p w14:paraId="5660891A">
            <w:pPr>
              <w:widowControl/>
              <w:jc w:val="left"/>
              <w:rPr>
                <w:color w:val="auto"/>
                <w:kern w:val="0"/>
                <w:szCs w:val="21"/>
                <w:highlight w:val="none"/>
              </w:rPr>
            </w:pPr>
            <w:r>
              <w:rPr>
                <w:color w:val="auto"/>
                <w:kern w:val="0"/>
                <w:szCs w:val="21"/>
                <w:highlight w:val="none"/>
              </w:rPr>
              <w:t>1000≤Y＜200000</w:t>
            </w:r>
          </w:p>
        </w:tc>
        <w:tc>
          <w:tcPr>
            <w:tcW w:w="1620" w:type="dxa"/>
            <w:tcBorders>
              <w:top w:val="nil"/>
              <w:left w:val="nil"/>
              <w:bottom w:val="single" w:color="auto" w:sz="4" w:space="0"/>
              <w:right w:val="single" w:color="auto" w:sz="4" w:space="0"/>
            </w:tcBorders>
            <w:vAlign w:val="center"/>
          </w:tcPr>
          <w:p w14:paraId="2CDF2747">
            <w:pPr>
              <w:widowControl/>
              <w:jc w:val="left"/>
              <w:rPr>
                <w:color w:val="auto"/>
                <w:kern w:val="0"/>
                <w:szCs w:val="21"/>
                <w:highlight w:val="none"/>
              </w:rPr>
            </w:pPr>
            <w:r>
              <w:rPr>
                <w:color w:val="auto"/>
                <w:kern w:val="0"/>
                <w:szCs w:val="21"/>
                <w:highlight w:val="none"/>
              </w:rPr>
              <w:t>100≤X＜1000</w:t>
            </w:r>
          </w:p>
        </w:tc>
        <w:tc>
          <w:tcPr>
            <w:tcW w:w="1590" w:type="dxa"/>
            <w:tcBorders>
              <w:top w:val="nil"/>
              <w:left w:val="nil"/>
              <w:bottom w:val="single" w:color="auto" w:sz="4" w:space="0"/>
              <w:right w:val="single" w:color="auto" w:sz="4" w:space="0"/>
            </w:tcBorders>
            <w:vAlign w:val="center"/>
          </w:tcPr>
          <w:p w14:paraId="32995CB1">
            <w:pPr>
              <w:widowControl/>
              <w:jc w:val="left"/>
              <w:rPr>
                <w:color w:val="auto"/>
                <w:kern w:val="0"/>
                <w:szCs w:val="21"/>
                <w:highlight w:val="none"/>
              </w:rPr>
            </w:pPr>
            <w:r>
              <w:rPr>
                <w:color w:val="auto"/>
                <w:kern w:val="0"/>
                <w:szCs w:val="21"/>
                <w:highlight w:val="none"/>
              </w:rPr>
              <w:t>X＜100</w:t>
            </w:r>
          </w:p>
        </w:tc>
      </w:tr>
      <w:tr w14:paraId="26F25BEF">
        <w:tblPrEx>
          <w:tblCellMar>
            <w:top w:w="0" w:type="dxa"/>
            <w:left w:w="108" w:type="dxa"/>
            <w:bottom w:w="0" w:type="dxa"/>
            <w:right w:w="108" w:type="dxa"/>
          </w:tblCellMar>
        </w:tblPrEx>
        <w:trPr>
          <w:trHeight w:val="369" w:hRule="exact"/>
          <w:jc w:val="center"/>
        </w:trPr>
        <w:tc>
          <w:tcPr>
            <w:tcW w:w="1875" w:type="dxa"/>
            <w:vMerge w:val="continue"/>
            <w:tcBorders>
              <w:top w:val="nil"/>
              <w:left w:val="single" w:color="auto" w:sz="4" w:space="0"/>
              <w:bottom w:val="single" w:color="auto" w:sz="4" w:space="0"/>
              <w:right w:val="single" w:color="auto" w:sz="4" w:space="0"/>
            </w:tcBorders>
            <w:vAlign w:val="center"/>
          </w:tcPr>
          <w:p w14:paraId="40785953">
            <w:pPr>
              <w:widowControl/>
              <w:jc w:val="center"/>
              <w:rPr>
                <w:b/>
                <w:bCs/>
                <w:color w:val="auto"/>
                <w:kern w:val="0"/>
                <w:szCs w:val="21"/>
                <w:highlight w:val="none"/>
              </w:rPr>
            </w:pPr>
          </w:p>
        </w:tc>
        <w:tc>
          <w:tcPr>
            <w:tcW w:w="1642" w:type="dxa"/>
            <w:tcBorders>
              <w:top w:val="nil"/>
              <w:left w:val="nil"/>
              <w:bottom w:val="single" w:color="auto" w:sz="4" w:space="0"/>
              <w:right w:val="single" w:color="auto" w:sz="4" w:space="0"/>
            </w:tcBorders>
            <w:vAlign w:val="center"/>
          </w:tcPr>
          <w:p w14:paraId="009EF442">
            <w:pPr>
              <w:widowControl/>
              <w:jc w:val="left"/>
              <w:rPr>
                <w:color w:val="auto"/>
                <w:kern w:val="0"/>
                <w:szCs w:val="21"/>
                <w:highlight w:val="none"/>
              </w:rPr>
            </w:pPr>
            <w:r>
              <w:rPr>
                <w:color w:val="auto"/>
                <w:kern w:val="0"/>
                <w:szCs w:val="21"/>
                <w:highlight w:val="none"/>
              </w:rPr>
              <w:t>资产总额（Z）</w:t>
            </w:r>
          </w:p>
        </w:tc>
        <w:tc>
          <w:tcPr>
            <w:tcW w:w="1185" w:type="dxa"/>
            <w:tcBorders>
              <w:top w:val="nil"/>
              <w:left w:val="nil"/>
              <w:bottom w:val="single" w:color="auto" w:sz="4" w:space="0"/>
              <w:right w:val="single" w:color="auto" w:sz="4" w:space="0"/>
            </w:tcBorders>
            <w:vAlign w:val="center"/>
          </w:tcPr>
          <w:p w14:paraId="3E7296B6">
            <w:pPr>
              <w:widowControl/>
              <w:jc w:val="left"/>
              <w:rPr>
                <w:color w:val="auto"/>
                <w:kern w:val="0"/>
                <w:szCs w:val="21"/>
                <w:highlight w:val="none"/>
              </w:rPr>
            </w:pPr>
            <w:r>
              <w:rPr>
                <w:color w:val="auto"/>
                <w:kern w:val="0"/>
                <w:szCs w:val="21"/>
                <w:highlight w:val="none"/>
              </w:rPr>
              <w:t>万元</w:t>
            </w:r>
          </w:p>
        </w:tc>
        <w:tc>
          <w:tcPr>
            <w:tcW w:w="1815" w:type="dxa"/>
            <w:tcBorders>
              <w:top w:val="nil"/>
              <w:left w:val="nil"/>
              <w:bottom w:val="single" w:color="auto" w:sz="4" w:space="0"/>
              <w:right w:val="single" w:color="auto" w:sz="4" w:space="0"/>
            </w:tcBorders>
            <w:vAlign w:val="center"/>
          </w:tcPr>
          <w:p w14:paraId="6951D128">
            <w:pPr>
              <w:widowControl/>
              <w:jc w:val="left"/>
              <w:rPr>
                <w:color w:val="auto"/>
                <w:kern w:val="0"/>
                <w:szCs w:val="21"/>
                <w:highlight w:val="none"/>
              </w:rPr>
            </w:pPr>
            <w:r>
              <w:rPr>
                <w:color w:val="auto"/>
                <w:kern w:val="0"/>
                <w:szCs w:val="21"/>
                <w:highlight w:val="none"/>
              </w:rPr>
              <w:t>5000≤Z＜10000</w:t>
            </w:r>
          </w:p>
        </w:tc>
        <w:tc>
          <w:tcPr>
            <w:tcW w:w="1620" w:type="dxa"/>
            <w:tcBorders>
              <w:top w:val="nil"/>
              <w:left w:val="nil"/>
              <w:bottom w:val="single" w:color="auto" w:sz="4" w:space="0"/>
              <w:right w:val="single" w:color="auto" w:sz="4" w:space="0"/>
            </w:tcBorders>
            <w:vAlign w:val="center"/>
          </w:tcPr>
          <w:p w14:paraId="06858048">
            <w:pPr>
              <w:widowControl/>
              <w:jc w:val="left"/>
              <w:rPr>
                <w:color w:val="auto"/>
                <w:kern w:val="0"/>
                <w:szCs w:val="21"/>
                <w:highlight w:val="none"/>
              </w:rPr>
            </w:pPr>
            <w:r>
              <w:rPr>
                <w:color w:val="auto"/>
                <w:kern w:val="0"/>
                <w:szCs w:val="21"/>
                <w:highlight w:val="none"/>
              </w:rPr>
              <w:t>2000≤Y＜5000</w:t>
            </w:r>
          </w:p>
        </w:tc>
        <w:tc>
          <w:tcPr>
            <w:tcW w:w="1590" w:type="dxa"/>
            <w:tcBorders>
              <w:top w:val="nil"/>
              <w:left w:val="nil"/>
              <w:bottom w:val="single" w:color="auto" w:sz="4" w:space="0"/>
              <w:right w:val="single" w:color="auto" w:sz="4" w:space="0"/>
            </w:tcBorders>
            <w:vAlign w:val="center"/>
          </w:tcPr>
          <w:p w14:paraId="101BA265">
            <w:pPr>
              <w:widowControl/>
              <w:jc w:val="left"/>
              <w:rPr>
                <w:color w:val="auto"/>
                <w:kern w:val="0"/>
                <w:szCs w:val="21"/>
                <w:highlight w:val="none"/>
              </w:rPr>
            </w:pPr>
            <w:r>
              <w:rPr>
                <w:color w:val="auto"/>
                <w:kern w:val="0"/>
                <w:szCs w:val="21"/>
                <w:highlight w:val="none"/>
              </w:rPr>
              <w:t>Y＜2000</w:t>
            </w:r>
          </w:p>
        </w:tc>
      </w:tr>
      <w:tr w14:paraId="4B0A869D">
        <w:tblPrEx>
          <w:tblCellMar>
            <w:top w:w="0" w:type="dxa"/>
            <w:left w:w="108" w:type="dxa"/>
            <w:bottom w:w="0" w:type="dxa"/>
            <w:right w:w="108" w:type="dxa"/>
          </w:tblCellMar>
        </w:tblPrEx>
        <w:trPr>
          <w:trHeight w:val="369" w:hRule="exact"/>
          <w:jc w:val="center"/>
        </w:trPr>
        <w:tc>
          <w:tcPr>
            <w:tcW w:w="1875" w:type="dxa"/>
            <w:vMerge w:val="restart"/>
            <w:tcBorders>
              <w:top w:val="nil"/>
              <w:left w:val="single" w:color="auto" w:sz="4" w:space="0"/>
              <w:bottom w:val="single" w:color="auto" w:sz="4" w:space="0"/>
              <w:right w:val="single" w:color="auto" w:sz="4" w:space="0"/>
            </w:tcBorders>
            <w:vAlign w:val="center"/>
          </w:tcPr>
          <w:p w14:paraId="6ECFF8BD">
            <w:pPr>
              <w:widowControl/>
              <w:jc w:val="center"/>
              <w:rPr>
                <w:b/>
                <w:bCs/>
                <w:color w:val="auto"/>
                <w:kern w:val="0"/>
                <w:szCs w:val="21"/>
                <w:highlight w:val="none"/>
              </w:rPr>
            </w:pPr>
            <w:r>
              <w:rPr>
                <w:b/>
                <w:bCs/>
                <w:color w:val="auto"/>
                <w:kern w:val="0"/>
                <w:szCs w:val="21"/>
                <w:highlight w:val="none"/>
              </w:rPr>
              <w:t>物业管理</w:t>
            </w:r>
          </w:p>
        </w:tc>
        <w:tc>
          <w:tcPr>
            <w:tcW w:w="1642" w:type="dxa"/>
            <w:tcBorders>
              <w:top w:val="nil"/>
              <w:left w:val="nil"/>
              <w:bottom w:val="single" w:color="auto" w:sz="4" w:space="0"/>
              <w:right w:val="single" w:color="auto" w:sz="4" w:space="0"/>
            </w:tcBorders>
            <w:vAlign w:val="center"/>
          </w:tcPr>
          <w:p w14:paraId="731B71FE">
            <w:pPr>
              <w:widowControl/>
              <w:jc w:val="left"/>
              <w:rPr>
                <w:color w:val="auto"/>
                <w:kern w:val="0"/>
                <w:szCs w:val="21"/>
                <w:highlight w:val="none"/>
              </w:rPr>
            </w:pPr>
            <w:r>
              <w:rPr>
                <w:color w:val="auto"/>
                <w:kern w:val="0"/>
                <w:szCs w:val="21"/>
                <w:highlight w:val="none"/>
              </w:rPr>
              <w:t>从业人员（X）</w:t>
            </w:r>
          </w:p>
        </w:tc>
        <w:tc>
          <w:tcPr>
            <w:tcW w:w="1185" w:type="dxa"/>
            <w:tcBorders>
              <w:top w:val="nil"/>
              <w:left w:val="nil"/>
              <w:bottom w:val="single" w:color="auto" w:sz="4" w:space="0"/>
              <w:right w:val="single" w:color="auto" w:sz="4" w:space="0"/>
            </w:tcBorders>
            <w:vAlign w:val="center"/>
          </w:tcPr>
          <w:p w14:paraId="2CC95FF3">
            <w:pPr>
              <w:widowControl/>
              <w:jc w:val="left"/>
              <w:rPr>
                <w:color w:val="auto"/>
                <w:kern w:val="0"/>
                <w:szCs w:val="21"/>
                <w:highlight w:val="none"/>
              </w:rPr>
            </w:pPr>
            <w:r>
              <w:rPr>
                <w:color w:val="auto"/>
                <w:kern w:val="0"/>
                <w:szCs w:val="21"/>
                <w:highlight w:val="none"/>
              </w:rPr>
              <w:t>人</w:t>
            </w:r>
          </w:p>
        </w:tc>
        <w:tc>
          <w:tcPr>
            <w:tcW w:w="1815" w:type="dxa"/>
            <w:tcBorders>
              <w:top w:val="nil"/>
              <w:left w:val="nil"/>
              <w:bottom w:val="single" w:color="auto" w:sz="4" w:space="0"/>
              <w:right w:val="single" w:color="auto" w:sz="4" w:space="0"/>
            </w:tcBorders>
            <w:vAlign w:val="center"/>
          </w:tcPr>
          <w:p w14:paraId="049A8BDD">
            <w:pPr>
              <w:widowControl/>
              <w:jc w:val="left"/>
              <w:rPr>
                <w:color w:val="auto"/>
                <w:kern w:val="0"/>
                <w:szCs w:val="21"/>
                <w:highlight w:val="none"/>
              </w:rPr>
            </w:pPr>
            <w:r>
              <w:rPr>
                <w:color w:val="auto"/>
                <w:kern w:val="0"/>
                <w:szCs w:val="21"/>
                <w:highlight w:val="none"/>
              </w:rPr>
              <w:t>300≤X＜1000</w:t>
            </w:r>
          </w:p>
        </w:tc>
        <w:tc>
          <w:tcPr>
            <w:tcW w:w="1620" w:type="dxa"/>
            <w:tcBorders>
              <w:top w:val="nil"/>
              <w:left w:val="nil"/>
              <w:bottom w:val="single" w:color="auto" w:sz="4" w:space="0"/>
              <w:right w:val="single" w:color="auto" w:sz="4" w:space="0"/>
            </w:tcBorders>
            <w:vAlign w:val="center"/>
          </w:tcPr>
          <w:p w14:paraId="0F7589F9">
            <w:pPr>
              <w:widowControl/>
              <w:jc w:val="left"/>
              <w:rPr>
                <w:color w:val="auto"/>
                <w:kern w:val="0"/>
                <w:szCs w:val="21"/>
                <w:highlight w:val="none"/>
              </w:rPr>
            </w:pPr>
            <w:r>
              <w:rPr>
                <w:color w:val="auto"/>
                <w:kern w:val="0"/>
                <w:szCs w:val="21"/>
                <w:highlight w:val="none"/>
              </w:rPr>
              <w:t>100≤X＜300</w:t>
            </w:r>
          </w:p>
        </w:tc>
        <w:tc>
          <w:tcPr>
            <w:tcW w:w="1590" w:type="dxa"/>
            <w:tcBorders>
              <w:top w:val="nil"/>
              <w:left w:val="nil"/>
              <w:bottom w:val="single" w:color="auto" w:sz="4" w:space="0"/>
              <w:right w:val="single" w:color="auto" w:sz="4" w:space="0"/>
            </w:tcBorders>
            <w:vAlign w:val="center"/>
          </w:tcPr>
          <w:p w14:paraId="68FF9B3B">
            <w:pPr>
              <w:widowControl/>
              <w:jc w:val="left"/>
              <w:rPr>
                <w:color w:val="auto"/>
                <w:kern w:val="0"/>
                <w:szCs w:val="21"/>
                <w:highlight w:val="none"/>
              </w:rPr>
            </w:pPr>
            <w:r>
              <w:rPr>
                <w:color w:val="auto"/>
                <w:kern w:val="0"/>
                <w:szCs w:val="21"/>
                <w:highlight w:val="none"/>
              </w:rPr>
              <w:t>X＜100</w:t>
            </w:r>
          </w:p>
        </w:tc>
      </w:tr>
      <w:tr w14:paraId="60D18126">
        <w:tblPrEx>
          <w:tblCellMar>
            <w:top w:w="0" w:type="dxa"/>
            <w:left w:w="108" w:type="dxa"/>
            <w:bottom w:w="0" w:type="dxa"/>
            <w:right w:w="108" w:type="dxa"/>
          </w:tblCellMar>
        </w:tblPrEx>
        <w:trPr>
          <w:trHeight w:val="369" w:hRule="exact"/>
          <w:jc w:val="center"/>
        </w:trPr>
        <w:tc>
          <w:tcPr>
            <w:tcW w:w="1875" w:type="dxa"/>
            <w:vMerge w:val="continue"/>
            <w:tcBorders>
              <w:top w:val="nil"/>
              <w:left w:val="single" w:color="auto" w:sz="4" w:space="0"/>
              <w:bottom w:val="single" w:color="auto" w:sz="4" w:space="0"/>
              <w:right w:val="single" w:color="auto" w:sz="4" w:space="0"/>
            </w:tcBorders>
            <w:vAlign w:val="center"/>
          </w:tcPr>
          <w:p w14:paraId="1D0DF7B7">
            <w:pPr>
              <w:widowControl/>
              <w:jc w:val="center"/>
              <w:rPr>
                <w:b/>
                <w:bCs/>
                <w:color w:val="auto"/>
                <w:kern w:val="0"/>
                <w:szCs w:val="21"/>
                <w:highlight w:val="none"/>
              </w:rPr>
            </w:pPr>
          </w:p>
        </w:tc>
        <w:tc>
          <w:tcPr>
            <w:tcW w:w="1642" w:type="dxa"/>
            <w:tcBorders>
              <w:top w:val="nil"/>
              <w:left w:val="nil"/>
              <w:bottom w:val="single" w:color="auto" w:sz="4" w:space="0"/>
              <w:right w:val="single" w:color="auto" w:sz="4" w:space="0"/>
            </w:tcBorders>
            <w:vAlign w:val="center"/>
          </w:tcPr>
          <w:p w14:paraId="6EEE0E3E">
            <w:pPr>
              <w:widowControl/>
              <w:jc w:val="left"/>
              <w:rPr>
                <w:color w:val="auto"/>
                <w:kern w:val="0"/>
                <w:szCs w:val="21"/>
                <w:highlight w:val="none"/>
              </w:rPr>
            </w:pPr>
            <w:r>
              <w:rPr>
                <w:color w:val="auto"/>
                <w:kern w:val="0"/>
                <w:szCs w:val="21"/>
                <w:highlight w:val="none"/>
              </w:rPr>
              <w:t>营业收入（Y）</w:t>
            </w:r>
          </w:p>
        </w:tc>
        <w:tc>
          <w:tcPr>
            <w:tcW w:w="1185" w:type="dxa"/>
            <w:tcBorders>
              <w:top w:val="nil"/>
              <w:left w:val="nil"/>
              <w:bottom w:val="single" w:color="auto" w:sz="4" w:space="0"/>
              <w:right w:val="single" w:color="auto" w:sz="4" w:space="0"/>
            </w:tcBorders>
            <w:vAlign w:val="center"/>
          </w:tcPr>
          <w:p w14:paraId="1719E0DF">
            <w:pPr>
              <w:widowControl/>
              <w:jc w:val="left"/>
              <w:rPr>
                <w:color w:val="auto"/>
                <w:kern w:val="0"/>
                <w:szCs w:val="21"/>
                <w:highlight w:val="none"/>
              </w:rPr>
            </w:pPr>
            <w:r>
              <w:rPr>
                <w:color w:val="auto"/>
                <w:kern w:val="0"/>
                <w:szCs w:val="21"/>
                <w:highlight w:val="none"/>
              </w:rPr>
              <w:t>万元</w:t>
            </w:r>
          </w:p>
        </w:tc>
        <w:tc>
          <w:tcPr>
            <w:tcW w:w="1815" w:type="dxa"/>
            <w:tcBorders>
              <w:top w:val="nil"/>
              <w:left w:val="nil"/>
              <w:bottom w:val="single" w:color="auto" w:sz="4" w:space="0"/>
              <w:right w:val="single" w:color="auto" w:sz="4" w:space="0"/>
            </w:tcBorders>
            <w:vAlign w:val="center"/>
          </w:tcPr>
          <w:p w14:paraId="1162F35E">
            <w:pPr>
              <w:widowControl/>
              <w:jc w:val="left"/>
              <w:rPr>
                <w:color w:val="auto"/>
                <w:kern w:val="0"/>
                <w:szCs w:val="21"/>
                <w:highlight w:val="none"/>
              </w:rPr>
            </w:pPr>
            <w:r>
              <w:rPr>
                <w:color w:val="auto"/>
                <w:kern w:val="0"/>
                <w:szCs w:val="21"/>
                <w:highlight w:val="none"/>
              </w:rPr>
              <w:t>1000≤Y＜5000</w:t>
            </w:r>
          </w:p>
        </w:tc>
        <w:tc>
          <w:tcPr>
            <w:tcW w:w="1620" w:type="dxa"/>
            <w:tcBorders>
              <w:top w:val="nil"/>
              <w:left w:val="nil"/>
              <w:bottom w:val="single" w:color="auto" w:sz="4" w:space="0"/>
              <w:right w:val="single" w:color="auto" w:sz="4" w:space="0"/>
            </w:tcBorders>
            <w:vAlign w:val="center"/>
          </w:tcPr>
          <w:p w14:paraId="5E233458">
            <w:pPr>
              <w:widowControl/>
              <w:jc w:val="left"/>
              <w:rPr>
                <w:color w:val="auto"/>
                <w:kern w:val="0"/>
                <w:szCs w:val="21"/>
                <w:highlight w:val="none"/>
              </w:rPr>
            </w:pPr>
            <w:r>
              <w:rPr>
                <w:color w:val="auto"/>
                <w:kern w:val="0"/>
                <w:szCs w:val="21"/>
                <w:highlight w:val="none"/>
              </w:rPr>
              <w:t>500≤Y＜1000</w:t>
            </w:r>
          </w:p>
        </w:tc>
        <w:tc>
          <w:tcPr>
            <w:tcW w:w="1590" w:type="dxa"/>
            <w:tcBorders>
              <w:top w:val="nil"/>
              <w:left w:val="nil"/>
              <w:bottom w:val="single" w:color="auto" w:sz="4" w:space="0"/>
              <w:right w:val="single" w:color="auto" w:sz="4" w:space="0"/>
            </w:tcBorders>
            <w:vAlign w:val="center"/>
          </w:tcPr>
          <w:p w14:paraId="309F5D93">
            <w:pPr>
              <w:widowControl/>
              <w:jc w:val="left"/>
              <w:rPr>
                <w:color w:val="auto"/>
                <w:kern w:val="0"/>
                <w:szCs w:val="21"/>
                <w:highlight w:val="none"/>
              </w:rPr>
            </w:pPr>
            <w:r>
              <w:rPr>
                <w:color w:val="auto"/>
                <w:kern w:val="0"/>
                <w:szCs w:val="21"/>
                <w:highlight w:val="none"/>
              </w:rPr>
              <w:t>Y＜500</w:t>
            </w:r>
          </w:p>
        </w:tc>
      </w:tr>
      <w:tr w14:paraId="5D7930C1">
        <w:tblPrEx>
          <w:tblCellMar>
            <w:top w:w="0" w:type="dxa"/>
            <w:left w:w="108" w:type="dxa"/>
            <w:bottom w:w="0" w:type="dxa"/>
            <w:right w:w="108" w:type="dxa"/>
          </w:tblCellMar>
        </w:tblPrEx>
        <w:trPr>
          <w:trHeight w:val="369" w:hRule="exact"/>
          <w:jc w:val="center"/>
        </w:trPr>
        <w:tc>
          <w:tcPr>
            <w:tcW w:w="1875" w:type="dxa"/>
            <w:vMerge w:val="restart"/>
            <w:tcBorders>
              <w:top w:val="nil"/>
              <w:left w:val="single" w:color="auto" w:sz="4" w:space="0"/>
              <w:bottom w:val="single" w:color="auto" w:sz="4" w:space="0"/>
              <w:right w:val="single" w:color="auto" w:sz="4" w:space="0"/>
            </w:tcBorders>
            <w:vAlign w:val="center"/>
          </w:tcPr>
          <w:p w14:paraId="4C0BA45B">
            <w:pPr>
              <w:widowControl/>
              <w:jc w:val="center"/>
              <w:rPr>
                <w:b/>
                <w:bCs/>
                <w:color w:val="auto"/>
                <w:kern w:val="0"/>
                <w:szCs w:val="21"/>
                <w:highlight w:val="none"/>
              </w:rPr>
            </w:pPr>
            <w:r>
              <w:rPr>
                <w:b/>
                <w:bCs/>
                <w:color w:val="auto"/>
                <w:kern w:val="0"/>
                <w:szCs w:val="21"/>
                <w:highlight w:val="none"/>
              </w:rPr>
              <w:t>租赁和商务</w:t>
            </w:r>
          </w:p>
          <w:p w14:paraId="4C0602E5">
            <w:pPr>
              <w:widowControl/>
              <w:jc w:val="center"/>
              <w:rPr>
                <w:b/>
                <w:bCs/>
                <w:color w:val="auto"/>
                <w:kern w:val="0"/>
                <w:szCs w:val="21"/>
                <w:highlight w:val="none"/>
              </w:rPr>
            </w:pPr>
            <w:r>
              <w:rPr>
                <w:b/>
                <w:bCs/>
                <w:color w:val="auto"/>
                <w:kern w:val="0"/>
                <w:szCs w:val="21"/>
                <w:highlight w:val="none"/>
              </w:rPr>
              <w:t>服务业</w:t>
            </w:r>
          </w:p>
        </w:tc>
        <w:tc>
          <w:tcPr>
            <w:tcW w:w="1642" w:type="dxa"/>
            <w:tcBorders>
              <w:top w:val="nil"/>
              <w:left w:val="nil"/>
              <w:bottom w:val="single" w:color="auto" w:sz="4" w:space="0"/>
              <w:right w:val="single" w:color="auto" w:sz="4" w:space="0"/>
            </w:tcBorders>
            <w:vAlign w:val="center"/>
          </w:tcPr>
          <w:p w14:paraId="3511F10F">
            <w:pPr>
              <w:widowControl/>
              <w:jc w:val="left"/>
              <w:rPr>
                <w:color w:val="auto"/>
                <w:kern w:val="0"/>
                <w:szCs w:val="21"/>
                <w:highlight w:val="none"/>
              </w:rPr>
            </w:pPr>
            <w:r>
              <w:rPr>
                <w:color w:val="auto"/>
                <w:kern w:val="0"/>
                <w:szCs w:val="21"/>
                <w:highlight w:val="none"/>
              </w:rPr>
              <w:t>从业人员（X）</w:t>
            </w:r>
          </w:p>
        </w:tc>
        <w:tc>
          <w:tcPr>
            <w:tcW w:w="1185" w:type="dxa"/>
            <w:tcBorders>
              <w:top w:val="nil"/>
              <w:left w:val="nil"/>
              <w:bottom w:val="single" w:color="auto" w:sz="4" w:space="0"/>
              <w:right w:val="single" w:color="auto" w:sz="4" w:space="0"/>
            </w:tcBorders>
            <w:vAlign w:val="center"/>
          </w:tcPr>
          <w:p w14:paraId="15DC9A36">
            <w:pPr>
              <w:widowControl/>
              <w:jc w:val="left"/>
              <w:rPr>
                <w:color w:val="auto"/>
                <w:kern w:val="0"/>
                <w:szCs w:val="21"/>
                <w:highlight w:val="none"/>
              </w:rPr>
            </w:pPr>
            <w:r>
              <w:rPr>
                <w:color w:val="auto"/>
                <w:kern w:val="0"/>
                <w:szCs w:val="21"/>
                <w:highlight w:val="none"/>
              </w:rPr>
              <w:t>人</w:t>
            </w:r>
          </w:p>
        </w:tc>
        <w:tc>
          <w:tcPr>
            <w:tcW w:w="1815" w:type="dxa"/>
            <w:tcBorders>
              <w:top w:val="nil"/>
              <w:left w:val="nil"/>
              <w:bottom w:val="single" w:color="auto" w:sz="4" w:space="0"/>
              <w:right w:val="single" w:color="auto" w:sz="4" w:space="0"/>
            </w:tcBorders>
            <w:vAlign w:val="center"/>
          </w:tcPr>
          <w:p w14:paraId="74EE300B">
            <w:pPr>
              <w:widowControl/>
              <w:jc w:val="left"/>
              <w:rPr>
                <w:color w:val="auto"/>
                <w:kern w:val="0"/>
                <w:szCs w:val="21"/>
                <w:highlight w:val="none"/>
              </w:rPr>
            </w:pPr>
            <w:r>
              <w:rPr>
                <w:color w:val="auto"/>
                <w:kern w:val="0"/>
                <w:szCs w:val="21"/>
                <w:highlight w:val="none"/>
              </w:rPr>
              <w:t>100≤X＜300</w:t>
            </w:r>
          </w:p>
        </w:tc>
        <w:tc>
          <w:tcPr>
            <w:tcW w:w="1620" w:type="dxa"/>
            <w:tcBorders>
              <w:top w:val="nil"/>
              <w:left w:val="nil"/>
              <w:bottom w:val="single" w:color="auto" w:sz="4" w:space="0"/>
              <w:right w:val="single" w:color="auto" w:sz="4" w:space="0"/>
            </w:tcBorders>
            <w:vAlign w:val="center"/>
          </w:tcPr>
          <w:p w14:paraId="6B5E1528">
            <w:pPr>
              <w:widowControl/>
              <w:jc w:val="left"/>
              <w:rPr>
                <w:color w:val="auto"/>
                <w:kern w:val="0"/>
                <w:szCs w:val="21"/>
                <w:highlight w:val="none"/>
              </w:rPr>
            </w:pPr>
            <w:r>
              <w:rPr>
                <w:color w:val="auto"/>
                <w:kern w:val="0"/>
                <w:szCs w:val="21"/>
                <w:highlight w:val="none"/>
              </w:rPr>
              <w:t>10≤X＜100</w:t>
            </w:r>
          </w:p>
        </w:tc>
        <w:tc>
          <w:tcPr>
            <w:tcW w:w="1590" w:type="dxa"/>
            <w:tcBorders>
              <w:top w:val="nil"/>
              <w:left w:val="nil"/>
              <w:bottom w:val="single" w:color="auto" w:sz="4" w:space="0"/>
              <w:right w:val="single" w:color="auto" w:sz="4" w:space="0"/>
            </w:tcBorders>
            <w:vAlign w:val="center"/>
          </w:tcPr>
          <w:p w14:paraId="1F3A2DBC">
            <w:pPr>
              <w:widowControl/>
              <w:jc w:val="left"/>
              <w:rPr>
                <w:color w:val="auto"/>
                <w:kern w:val="0"/>
                <w:szCs w:val="21"/>
                <w:highlight w:val="none"/>
              </w:rPr>
            </w:pPr>
            <w:r>
              <w:rPr>
                <w:color w:val="auto"/>
                <w:kern w:val="0"/>
                <w:szCs w:val="21"/>
                <w:highlight w:val="none"/>
              </w:rPr>
              <w:t>X＜10</w:t>
            </w:r>
          </w:p>
        </w:tc>
      </w:tr>
      <w:tr w14:paraId="6D862349">
        <w:tblPrEx>
          <w:tblCellMar>
            <w:top w:w="0" w:type="dxa"/>
            <w:left w:w="108" w:type="dxa"/>
            <w:bottom w:w="0" w:type="dxa"/>
            <w:right w:w="108" w:type="dxa"/>
          </w:tblCellMar>
        </w:tblPrEx>
        <w:trPr>
          <w:trHeight w:val="369" w:hRule="exact"/>
          <w:jc w:val="center"/>
        </w:trPr>
        <w:tc>
          <w:tcPr>
            <w:tcW w:w="1875" w:type="dxa"/>
            <w:vMerge w:val="continue"/>
            <w:tcBorders>
              <w:top w:val="nil"/>
              <w:left w:val="single" w:color="auto" w:sz="4" w:space="0"/>
              <w:bottom w:val="single" w:color="auto" w:sz="4" w:space="0"/>
              <w:right w:val="single" w:color="auto" w:sz="4" w:space="0"/>
            </w:tcBorders>
            <w:vAlign w:val="center"/>
          </w:tcPr>
          <w:p w14:paraId="2BBDCF95">
            <w:pPr>
              <w:widowControl/>
              <w:jc w:val="center"/>
              <w:rPr>
                <w:b/>
                <w:bCs/>
                <w:color w:val="auto"/>
                <w:kern w:val="0"/>
                <w:szCs w:val="21"/>
                <w:highlight w:val="none"/>
              </w:rPr>
            </w:pPr>
          </w:p>
        </w:tc>
        <w:tc>
          <w:tcPr>
            <w:tcW w:w="1642" w:type="dxa"/>
            <w:tcBorders>
              <w:top w:val="nil"/>
              <w:left w:val="nil"/>
              <w:bottom w:val="single" w:color="auto" w:sz="4" w:space="0"/>
              <w:right w:val="single" w:color="auto" w:sz="4" w:space="0"/>
            </w:tcBorders>
            <w:vAlign w:val="center"/>
          </w:tcPr>
          <w:p w14:paraId="6711D294">
            <w:pPr>
              <w:widowControl/>
              <w:jc w:val="left"/>
              <w:rPr>
                <w:color w:val="auto"/>
                <w:kern w:val="0"/>
                <w:szCs w:val="21"/>
                <w:highlight w:val="none"/>
              </w:rPr>
            </w:pPr>
            <w:r>
              <w:rPr>
                <w:color w:val="auto"/>
                <w:kern w:val="0"/>
                <w:szCs w:val="21"/>
                <w:highlight w:val="none"/>
              </w:rPr>
              <w:t>资产总额（Z）</w:t>
            </w:r>
          </w:p>
        </w:tc>
        <w:tc>
          <w:tcPr>
            <w:tcW w:w="1185" w:type="dxa"/>
            <w:tcBorders>
              <w:top w:val="nil"/>
              <w:left w:val="nil"/>
              <w:bottom w:val="single" w:color="auto" w:sz="4" w:space="0"/>
              <w:right w:val="single" w:color="auto" w:sz="4" w:space="0"/>
            </w:tcBorders>
            <w:vAlign w:val="center"/>
          </w:tcPr>
          <w:p w14:paraId="6BFBEF8E">
            <w:pPr>
              <w:widowControl/>
              <w:jc w:val="left"/>
              <w:rPr>
                <w:color w:val="auto"/>
                <w:kern w:val="0"/>
                <w:szCs w:val="21"/>
                <w:highlight w:val="none"/>
              </w:rPr>
            </w:pPr>
            <w:r>
              <w:rPr>
                <w:color w:val="auto"/>
                <w:kern w:val="0"/>
                <w:szCs w:val="21"/>
                <w:highlight w:val="none"/>
              </w:rPr>
              <w:t>万元</w:t>
            </w:r>
          </w:p>
        </w:tc>
        <w:tc>
          <w:tcPr>
            <w:tcW w:w="1815" w:type="dxa"/>
            <w:tcBorders>
              <w:top w:val="nil"/>
              <w:left w:val="nil"/>
              <w:bottom w:val="single" w:color="auto" w:sz="4" w:space="0"/>
              <w:right w:val="single" w:color="auto" w:sz="4" w:space="0"/>
            </w:tcBorders>
            <w:vAlign w:val="center"/>
          </w:tcPr>
          <w:p w14:paraId="637DF24F">
            <w:pPr>
              <w:widowControl/>
              <w:jc w:val="left"/>
              <w:rPr>
                <w:color w:val="auto"/>
                <w:kern w:val="0"/>
                <w:szCs w:val="21"/>
                <w:highlight w:val="none"/>
              </w:rPr>
            </w:pPr>
            <w:r>
              <w:rPr>
                <w:color w:val="auto"/>
                <w:kern w:val="0"/>
                <w:szCs w:val="21"/>
                <w:highlight w:val="none"/>
              </w:rPr>
              <w:t>8000≤Z＜120000</w:t>
            </w:r>
          </w:p>
        </w:tc>
        <w:tc>
          <w:tcPr>
            <w:tcW w:w="1620" w:type="dxa"/>
            <w:tcBorders>
              <w:top w:val="nil"/>
              <w:left w:val="nil"/>
              <w:bottom w:val="single" w:color="auto" w:sz="4" w:space="0"/>
              <w:right w:val="single" w:color="auto" w:sz="4" w:space="0"/>
            </w:tcBorders>
            <w:vAlign w:val="center"/>
          </w:tcPr>
          <w:p w14:paraId="23C5F5B7">
            <w:pPr>
              <w:widowControl/>
              <w:jc w:val="left"/>
              <w:rPr>
                <w:color w:val="auto"/>
                <w:kern w:val="0"/>
                <w:szCs w:val="21"/>
                <w:highlight w:val="none"/>
              </w:rPr>
            </w:pPr>
            <w:r>
              <w:rPr>
                <w:color w:val="auto"/>
                <w:kern w:val="0"/>
                <w:szCs w:val="21"/>
                <w:highlight w:val="none"/>
              </w:rPr>
              <w:t>100≤Z＜8000</w:t>
            </w:r>
          </w:p>
        </w:tc>
        <w:tc>
          <w:tcPr>
            <w:tcW w:w="1590" w:type="dxa"/>
            <w:tcBorders>
              <w:top w:val="nil"/>
              <w:left w:val="nil"/>
              <w:bottom w:val="single" w:color="auto" w:sz="4" w:space="0"/>
              <w:right w:val="single" w:color="auto" w:sz="4" w:space="0"/>
            </w:tcBorders>
            <w:vAlign w:val="center"/>
          </w:tcPr>
          <w:p w14:paraId="2E2E29D2">
            <w:pPr>
              <w:widowControl/>
              <w:jc w:val="left"/>
              <w:rPr>
                <w:color w:val="auto"/>
                <w:kern w:val="0"/>
                <w:szCs w:val="21"/>
                <w:highlight w:val="none"/>
              </w:rPr>
            </w:pPr>
            <w:r>
              <w:rPr>
                <w:color w:val="auto"/>
                <w:kern w:val="0"/>
                <w:szCs w:val="21"/>
                <w:highlight w:val="none"/>
              </w:rPr>
              <w:t>Y＜100</w:t>
            </w:r>
          </w:p>
        </w:tc>
      </w:tr>
      <w:tr w14:paraId="1D75D132">
        <w:tblPrEx>
          <w:tblCellMar>
            <w:top w:w="0" w:type="dxa"/>
            <w:left w:w="108" w:type="dxa"/>
            <w:bottom w:w="0" w:type="dxa"/>
            <w:right w:w="108" w:type="dxa"/>
          </w:tblCellMar>
        </w:tblPrEx>
        <w:trPr>
          <w:trHeight w:val="369" w:hRule="exact"/>
          <w:jc w:val="center"/>
        </w:trPr>
        <w:tc>
          <w:tcPr>
            <w:tcW w:w="1875" w:type="dxa"/>
            <w:tcBorders>
              <w:top w:val="nil"/>
              <w:left w:val="single" w:color="auto" w:sz="4" w:space="0"/>
              <w:bottom w:val="single" w:color="auto" w:sz="4" w:space="0"/>
              <w:right w:val="single" w:color="auto" w:sz="4" w:space="0"/>
            </w:tcBorders>
            <w:vAlign w:val="center"/>
          </w:tcPr>
          <w:p w14:paraId="3E3FCD80">
            <w:pPr>
              <w:widowControl/>
              <w:jc w:val="center"/>
              <w:rPr>
                <w:b/>
                <w:bCs/>
                <w:color w:val="auto"/>
                <w:kern w:val="0"/>
                <w:szCs w:val="21"/>
                <w:highlight w:val="none"/>
              </w:rPr>
            </w:pPr>
            <w:r>
              <w:rPr>
                <w:b/>
                <w:bCs/>
                <w:color w:val="auto"/>
                <w:kern w:val="0"/>
                <w:szCs w:val="21"/>
                <w:highlight w:val="none"/>
              </w:rPr>
              <w:t>其他未列明行业</w:t>
            </w:r>
          </w:p>
        </w:tc>
        <w:tc>
          <w:tcPr>
            <w:tcW w:w="1642" w:type="dxa"/>
            <w:tcBorders>
              <w:top w:val="nil"/>
              <w:left w:val="nil"/>
              <w:bottom w:val="single" w:color="auto" w:sz="4" w:space="0"/>
              <w:right w:val="single" w:color="auto" w:sz="4" w:space="0"/>
            </w:tcBorders>
            <w:vAlign w:val="center"/>
          </w:tcPr>
          <w:p w14:paraId="048D931B">
            <w:pPr>
              <w:widowControl/>
              <w:jc w:val="left"/>
              <w:rPr>
                <w:color w:val="auto"/>
                <w:kern w:val="0"/>
                <w:szCs w:val="21"/>
                <w:highlight w:val="none"/>
              </w:rPr>
            </w:pPr>
            <w:r>
              <w:rPr>
                <w:color w:val="auto"/>
                <w:kern w:val="0"/>
                <w:szCs w:val="21"/>
                <w:highlight w:val="none"/>
              </w:rPr>
              <w:t>从业人员（X）</w:t>
            </w:r>
          </w:p>
        </w:tc>
        <w:tc>
          <w:tcPr>
            <w:tcW w:w="1185" w:type="dxa"/>
            <w:tcBorders>
              <w:top w:val="nil"/>
              <w:left w:val="nil"/>
              <w:bottom w:val="single" w:color="auto" w:sz="4" w:space="0"/>
              <w:right w:val="single" w:color="auto" w:sz="4" w:space="0"/>
            </w:tcBorders>
            <w:vAlign w:val="center"/>
          </w:tcPr>
          <w:p w14:paraId="309C90AD">
            <w:pPr>
              <w:widowControl/>
              <w:jc w:val="left"/>
              <w:rPr>
                <w:color w:val="auto"/>
                <w:kern w:val="0"/>
                <w:szCs w:val="21"/>
                <w:highlight w:val="none"/>
              </w:rPr>
            </w:pPr>
            <w:r>
              <w:rPr>
                <w:color w:val="auto"/>
                <w:kern w:val="0"/>
                <w:szCs w:val="21"/>
                <w:highlight w:val="none"/>
              </w:rPr>
              <w:t>人</w:t>
            </w:r>
          </w:p>
        </w:tc>
        <w:tc>
          <w:tcPr>
            <w:tcW w:w="1815" w:type="dxa"/>
            <w:tcBorders>
              <w:top w:val="nil"/>
              <w:left w:val="nil"/>
              <w:bottom w:val="single" w:color="auto" w:sz="4" w:space="0"/>
              <w:right w:val="single" w:color="auto" w:sz="4" w:space="0"/>
            </w:tcBorders>
            <w:vAlign w:val="center"/>
          </w:tcPr>
          <w:p w14:paraId="5F10C6ED">
            <w:pPr>
              <w:widowControl/>
              <w:jc w:val="left"/>
              <w:rPr>
                <w:color w:val="auto"/>
                <w:kern w:val="0"/>
                <w:szCs w:val="21"/>
                <w:highlight w:val="none"/>
              </w:rPr>
            </w:pPr>
            <w:r>
              <w:rPr>
                <w:color w:val="auto"/>
                <w:kern w:val="0"/>
                <w:szCs w:val="21"/>
                <w:highlight w:val="none"/>
              </w:rPr>
              <w:t>100≤X＜300</w:t>
            </w:r>
          </w:p>
        </w:tc>
        <w:tc>
          <w:tcPr>
            <w:tcW w:w="1620" w:type="dxa"/>
            <w:tcBorders>
              <w:top w:val="nil"/>
              <w:left w:val="nil"/>
              <w:bottom w:val="single" w:color="auto" w:sz="4" w:space="0"/>
              <w:right w:val="single" w:color="auto" w:sz="4" w:space="0"/>
            </w:tcBorders>
            <w:vAlign w:val="center"/>
          </w:tcPr>
          <w:p w14:paraId="369BADBF">
            <w:pPr>
              <w:widowControl/>
              <w:jc w:val="left"/>
              <w:rPr>
                <w:color w:val="auto"/>
                <w:kern w:val="0"/>
                <w:szCs w:val="21"/>
                <w:highlight w:val="none"/>
              </w:rPr>
            </w:pPr>
            <w:r>
              <w:rPr>
                <w:color w:val="auto"/>
                <w:kern w:val="0"/>
                <w:szCs w:val="21"/>
                <w:highlight w:val="none"/>
              </w:rPr>
              <w:t>10≤X＜100</w:t>
            </w:r>
          </w:p>
        </w:tc>
        <w:tc>
          <w:tcPr>
            <w:tcW w:w="1590" w:type="dxa"/>
            <w:tcBorders>
              <w:top w:val="nil"/>
              <w:left w:val="nil"/>
              <w:bottom w:val="single" w:color="auto" w:sz="4" w:space="0"/>
              <w:right w:val="single" w:color="auto" w:sz="4" w:space="0"/>
            </w:tcBorders>
            <w:vAlign w:val="center"/>
          </w:tcPr>
          <w:p w14:paraId="0F02C056">
            <w:pPr>
              <w:widowControl/>
              <w:jc w:val="left"/>
              <w:rPr>
                <w:color w:val="auto"/>
                <w:kern w:val="0"/>
                <w:szCs w:val="21"/>
                <w:highlight w:val="none"/>
              </w:rPr>
            </w:pPr>
            <w:r>
              <w:rPr>
                <w:color w:val="auto"/>
                <w:kern w:val="0"/>
                <w:szCs w:val="21"/>
                <w:highlight w:val="none"/>
              </w:rPr>
              <w:t>X＜10</w:t>
            </w:r>
          </w:p>
        </w:tc>
      </w:tr>
    </w:tbl>
    <w:p w14:paraId="62D0852D">
      <w:pPr>
        <w:pStyle w:val="2"/>
        <w:spacing w:before="0" w:after="0" w:line="400" w:lineRule="exact"/>
        <w:jc w:val="center"/>
        <w:rPr>
          <w:color w:val="auto"/>
          <w:sz w:val="21"/>
          <w:szCs w:val="21"/>
          <w:highlight w:val="none"/>
        </w:rPr>
      </w:pPr>
      <w:r>
        <w:rPr>
          <w:color w:val="auto"/>
          <w:sz w:val="21"/>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5B9ECE4B">
      <w:pPr>
        <w:rPr>
          <w:color w:val="auto"/>
          <w:highlight w:val="none"/>
        </w:rPr>
      </w:pPr>
    </w:p>
    <w:p w14:paraId="4555A0A6">
      <w:pPr>
        <w:rPr>
          <w:color w:val="auto"/>
          <w:sz w:val="30"/>
          <w:szCs w:val="30"/>
          <w:highlight w:val="none"/>
        </w:rPr>
      </w:pPr>
      <w:r>
        <w:rPr>
          <w:color w:val="auto"/>
          <w:sz w:val="30"/>
          <w:szCs w:val="30"/>
          <w:highlight w:val="none"/>
        </w:rPr>
        <w:br w:type="page"/>
      </w:r>
    </w:p>
    <w:p w14:paraId="58D4115A">
      <w:pPr>
        <w:pStyle w:val="3"/>
        <w:spacing w:after="20" w:line="240" w:lineRule="exact"/>
        <w:rPr>
          <w:color w:val="auto"/>
          <w:highlight w:val="none"/>
        </w:rPr>
      </w:pPr>
    </w:p>
    <w:p w14:paraId="2BFDEA17">
      <w:pPr>
        <w:pStyle w:val="2"/>
        <w:spacing w:before="146" w:line="500" w:lineRule="exact"/>
        <w:ind w:right="142"/>
        <w:jc w:val="center"/>
        <w:rPr>
          <w:b w:val="0"/>
          <w:bCs w:val="0"/>
          <w:color w:val="auto"/>
          <w:sz w:val="30"/>
          <w:szCs w:val="30"/>
          <w:highlight w:val="none"/>
        </w:rPr>
      </w:pPr>
      <w:r>
        <w:rPr>
          <w:color w:val="auto"/>
          <w:sz w:val="30"/>
          <w:szCs w:val="30"/>
          <w:highlight w:val="none"/>
        </w:rPr>
        <w:t>中小企业声明函（服务）</w:t>
      </w:r>
    </w:p>
    <w:p w14:paraId="0DEB9D42">
      <w:pPr>
        <w:pStyle w:val="13"/>
        <w:spacing w:after="0" w:line="360" w:lineRule="auto"/>
        <w:ind w:right="142" w:firstLine="617" w:firstLineChars="294"/>
        <w:rPr>
          <w:color w:val="auto"/>
          <w:szCs w:val="21"/>
          <w:highlight w:val="none"/>
        </w:rPr>
      </w:pPr>
      <w:r>
        <w:rPr>
          <w:color w:val="auto"/>
          <w:szCs w:val="21"/>
          <w:highlight w:val="none"/>
        </w:rPr>
        <w:t>本公司（联合体）郑重声明，根据《政府采购促进中小企业发展管理办法》（财库﹝2020﹞46号）的规定，本公司（联合体）参加</w:t>
      </w:r>
      <w:r>
        <w:rPr>
          <w:color w:val="auto"/>
          <w:szCs w:val="21"/>
          <w:highlight w:val="none"/>
          <w:u w:val="single"/>
        </w:rPr>
        <w:t>（单位名称）</w:t>
      </w:r>
      <w:r>
        <w:rPr>
          <w:color w:val="auto"/>
          <w:szCs w:val="21"/>
          <w:highlight w:val="none"/>
        </w:rPr>
        <w:t>的</w:t>
      </w:r>
      <w:r>
        <w:rPr>
          <w:color w:val="auto"/>
          <w:szCs w:val="21"/>
          <w:highlight w:val="none"/>
          <w:u w:val="single"/>
        </w:rPr>
        <w:t>（项目名称）</w:t>
      </w:r>
      <w:r>
        <w:rPr>
          <w:color w:val="auto"/>
          <w:szCs w:val="21"/>
          <w:highlight w:val="none"/>
        </w:rPr>
        <w:t>采购活动，服务全部由符合政策要求的中小企业承接。相关企业（含联合体中的中小企业、签订分包意向协议的中小企业）的具体情况如下：</w:t>
      </w:r>
    </w:p>
    <w:p w14:paraId="192E7722">
      <w:pPr>
        <w:tabs>
          <w:tab w:val="left" w:pos="1384"/>
          <w:tab w:val="left" w:pos="4562"/>
          <w:tab w:val="left" w:pos="6803"/>
        </w:tabs>
        <w:spacing w:line="360" w:lineRule="auto"/>
        <w:ind w:right="142" w:firstLine="676" w:firstLineChars="322"/>
        <w:rPr>
          <w:color w:val="auto"/>
          <w:szCs w:val="21"/>
          <w:highlight w:val="none"/>
        </w:rPr>
      </w:pPr>
      <w:r>
        <w:rPr>
          <w:color w:val="auto"/>
          <w:szCs w:val="21"/>
          <w:highlight w:val="none"/>
        </w:rPr>
        <w:t>1．</w:t>
      </w:r>
      <w:r>
        <w:rPr>
          <w:color w:val="auto"/>
          <w:szCs w:val="21"/>
          <w:highlight w:val="none"/>
          <w:u w:val="single"/>
        </w:rPr>
        <w:t>（标的名称）</w:t>
      </w:r>
      <w:r>
        <w:rPr>
          <w:color w:val="auto"/>
          <w:szCs w:val="21"/>
          <w:highlight w:val="none"/>
        </w:rPr>
        <w:t>，属于</w:t>
      </w:r>
      <w:r>
        <w:rPr>
          <w:color w:val="auto"/>
          <w:szCs w:val="21"/>
          <w:highlight w:val="none"/>
          <w:u w:val="single"/>
        </w:rPr>
        <w:t>（采购文件中明确的所属行业）</w:t>
      </w:r>
      <w:r>
        <w:rPr>
          <w:color w:val="auto"/>
          <w:szCs w:val="21"/>
          <w:highlight w:val="none"/>
        </w:rPr>
        <w:t>；承接企业为</w:t>
      </w:r>
      <w:r>
        <w:rPr>
          <w:color w:val="auto"/>
          <w:szCs w:val="21"/>
          <w:highlight w:val="none"/>
          <w:u w:val="single"/>
        </w:rPr>
        <w:t>（企业名称）</w:t>
      </w:r>
      <w:r>
        <w:rPr>
          <w:color w:val="auto"/>
          <w:szCs w:val="21"/>
          <w:highlight w:val="none"/>
        </w:rPr>
        <w:t>，从业人员</w:t>
      </w:r>
      <w:r>
        <w:rPr>
          <w:color w:val="auto"/>
          <w:szCs w:val="21"/>
          <w:highlight w:val="none"/>
          <w:u w:val="single"/>
        </w:rPr>
        <w:t xml:space="preserve">      </w:t>
      </w:r>
      <w:r>
        <w:rPr>
          <w:color w:val="auto"/>
          <w:szCs w:val="21"/>
          <w:highlight w:val="none"/>
        </w:rPr>
        <w:t>人，营业收入为</w:t>
      </w:r>
      <w:r>
        <w:rPr>
          <w:color w:val="auto"/>
          <w:szCs w:val="21"/>
          <w:highlight w:val="none"/>
          <w:u w:val="single"/>
        </w:rPr>
        <w:t xml:space="preserve">      </w:t>
      </w:r>
      <w:r>
        <w:rPr>
          <w:color w:val="auto"/>
          <w:szCs w:val="21"/>
          <w:highlight w:val="none"/>
        </w:rPr>
        <w:t>万元，资产总额为</w:t>
      </w:r>
      <w:r>
        <w:rPr>
          <w:color w:val="auto"/>
          <w:szCs w:val="21"/>
          <w:highlight w:val="none"/>
          <w:u w:val="single"/>
        </w:rPr>
        <w:t xml:space="preserve">      </w:t>
      </w:r>
      <w:r>
        <w:rPr>
          <w:color w:val="auto"/>
          <w:szCs w:val="21"/>
          <w:highlight w:val="none"/>
        </w:rPr>
        <w:t>万元，属于</w:t>
      </w:r>
      <w:r>
        <w:rPr>
          <w:color w:val="auto"/>
          <w:szCs w:val="21"/>
          <w:highlight w:val="none"/>
          <w:u w:val="single"/>
        </w:rPr>
        <w:t>（中型企业、小型企业、微型企业）</w:t>
      </w:r>
      <w:r>
        <w:rPr>
          <w:color w:val="auto"/>
          <w:szCs w:val="21"/>
          <w:highlight w:val="none"/>
        </w:rPr>
        <w:t>；</w:t>
      </w:r>
    </w:p>
    <w:p w14:paraId="1E15AB5B">
      <w:pPr>
        <w:pStyle w:val="13"/>
        <w:spacing w:after="0" w:line="360" w:lineRule="auto"/>
        <w:ind w:right="142" w:firstLine="617" w:firstLineChars="294"/>
        <w:rPr>
          <w:color w:val="auto"/>
          <w:szCs w:val="21"/>
          <w:highlight w:val="none"/>
        </w:rPr>
      </w:pPr>
      <w:r>
        <w:rPr>
          <w:color w:val="auto"/>
          <w:szCs w:val="21"/>
          <w:highlight w:val="none"/>
        </w:rPr>
        <w:t xml:space="preserve">…… </w:t>
      </w:r>
    </w:p>
    <w:p w14:paraId="75E04684">
      <w:pPr>
        <w:pStyle w:val="13"/>
        <w:spacing w:after="0" w:line="360" w:lineRule="auto"/>
        <w:ind w:right="142" w:firstLine="617" w:firstLineChars="294"/>
        <w:rPr>
          <w:color w:val="auto"/>
          <w:szCs w:val="21"/>
          <w:highlight w:val="none"/>
        </w:rPr>
      </w:pPr>
      <w:r>
        <w:rPr>
          <w:color w:val="auto"/>
          <w:szCs w:val="21"/>
          <w:highlight w:val="none"/>
        </w:rPr>
        <w:t>以上企业，不属于大企业的分支机构，不存在控股股东为大企业的情形，也不存在与大企业的负责人为同一人的情形。</w:t>
      </w:r>
    </w:p>
    <w:p w14:paraId="09D7C486">
      <w:pPr>
        <w:pStyle w:val="13"/>
        <w:spacing w:after="0" w:line="360" w:lineRule="auto"/>
        <w:ind w:right="142" w:firstLine="617" w:firstLineChars="294"/>
        <w:rPr>
          <w:color w:val="auto"/>
          <w:szCs w:val="21"/>
          <w:highlight w:val="none"/>
        </w:rPr>
      </w:pPr>
      <w:r>
        <w:rPr>
          <w:color w:val="auto"/>
          <w:szCs w:val="21"/>
          <w:highlight w:val="none"/>
        </w:rPr>
        <w:t>本企业对上述声明内容的真实性负责。如有虚假，将依法承担相应责任。</w:t>
      </w:r>
    </w:p>
    <w:p w14:paraId="5F47AFB3">
      <w:pPr>
        <w:pStyle w:val="13"/>
        <w:spacing w:after="0" w:line="360" w:lineRule="auto"/>
        <w:ind w:right="1808" w:firstLine="617" w:firstLineChars="294"/>
        <w:rPr>
          <w:color w:val="auto"/>
          <w:szCs w:val="21"/>
          <w:highlight w:val="none"/>
        </w:rPr>
      </w:pPr>
    </w:p>
    <w:p w14:paraId="7331EC7D">
      <w:pPr>
        <w:pStyle w:val="13"/>
        <w:spacing w:after="0" w:line="360" w:lineRule="auto"/>
        <w:ind w:right="650" w:firstLine="4922" w:firstLineChars="2344"/>
        <w:rPr>
          <w:rFonts w:hint="default" w:eastAsia="宋体"/>
          <w:color w:val="auto"/>
          <w:szCs w:val="21"/>
          <w:highlight w:val="none"/>
          <w:lang w:val="en-US" w:eastAsia="zh-CN"/>
        </w:rPr>
      </w:pPr>
      <w:r>
        <w:rPr>
          <w:color w:val="auto"/>
          <w:szCs w:val="21"/>
          <w:highlight w:val="none"/>
        </w:rPr>
        <w:t>企业名称（</w:t>
      </w:r>
      <w:r>
        <w:rPr>
          <w:rFonts w:hint="eastAsia"/>
          <w:color w:val="auto"/>
          <w:szCs w:val="21"/>
          <w:highlight w:val="none"/>
          <w:lang w:eastAsia="zh-CN"/>
        </w:rPr>
        <w:t>电子签</w:t>
      </w:r>
      <w:r>
        <w:rPr>
          <w:color w:val="auto"/>
          <w:szCs w:val="21"/>
          <w:highlight w:val="none"/>
        </w:rPr>
        <w:t>章）：</w:t>
      </w:r>
      <w:r>
        <w:rPr>
          <w:color w:val="auto"/>
          <w:szCs w:val="21"/>
          <w:highlight w:val="none"/>
          <w:u w:val="single"/>
        </w:rPr>
        <w:t xml:space="preserve"> </w:t>
      </w:r>
      <w:r>
        <w:rPr>
          <w:rFonts w:hint="eastAsia"/>
          <w:color w:val="auto"/>
          <w:szCs w:val="21"/>
          <w:highlight w:val="none"/>
          <w:u w:val="single"/>
          <w:lang w:val="en-US" w:eastAsia="zh-CN"/>
        </w:rPr>
        <w:t xml:space="preserve">               </w:t>
      </w:r>
    </w:p>
    <w:p w14:paraId="71D41FF2">
      <w:pPr>
        <w:pStyle w:val="13"/>
        <w:tabs>
          <w:tab w:val="left" w:pos="9460"/>
        </w:tabs>
        <w:spacing w:after="0" w:line="360" w:lineRule="auto"/>
        <w:ind w:right="8" w:rightChars="0" w:firstLine="5880" w:firstLineChars="2800"/>
        <w:rPr>
          <w:rFonts w:hint="default" w:eastAsia="宋体"/>
          <w:color w:val="auto"/>
          <w:szCs w:val="21"/>
          <w:highlight w:val="none"/>
          <w:lang w:val="en-US" w:eastAsia="zh-CN"/>
        </w:rPr>
      </w:pPr>
      <w:r>
        <w:rPr>
          <w:color w:val="auto"/>
          <w:szCs w:val="21"/>
          <w:highlight w:val="none"/>
        </w:rPr>
        <w:t>日 期：</w:t>
      </w:r>
      <w:r>
        <w:rPr>
          <w:rFonts w:hint="eastAsia"/>
          <w:color w:val="auto"/>
          <w:szCs w:val="21"/>
          <w:highlight w:val="none"/>
          <w:lang w:val="en-US" w:eastAsia="zh-CN"/>
        </w:rPr>
        <w:t xml:space="preserve">      年    月    日</w:t>
      </w:r>
    </w:p>
    <w:p w14:paraId="795FC3CA">
      <w:pPr>
        <w:spacing w:line="360" w:lineRule="auto"/>
        <w:jc w:val="left"/>
        <w:rPr>
          <w:color w:val="auto"/>
          <w:szCs w:val="21"/>
          <w:highlight w:val="none"/>
        </w:rPr>
      </w:pPr>
    </w:p>
    <w:p w14:paraId="0CC47B2A">
      <w:pPr>
        <w:spacing w:line="360" w:lineRule="auto"/>
        <w:jc w:val="left"/>
        <w:rPr>
          <w:color w:val="auto"/>
          <w:szCs w:val="21"/>
          <w:highlight w:val="none"/>
        </w:rPr>
      </w:pPr>
    </w:p>
    <w:p w14:paraId="53DF2EC7">
      <w:pPr>
        <w:spacing w:line="360" w:lineRule="auto"/>
        <w:ind w:firstLine="420" w:firstLineChars="200"/>
        <w:jc w:val="left"/>
        <w:rPr>
          <w:color w:val="auto"/>
          <w:sz w:val="24"/>
          <w:highlight w:val="none"/>
        </w:rPr>
      </w:pPr>
      <w:r>
        <w:rPr>
          <w:color w:val="auto"/>
          <w:szCs w:val="21"/>
          <w:highlight w:val="none"/>
        </w:rPr>
        <w:t>注：享受《政府采购促进中小企业发展管理办法》（财库〔2020〕46号）规定的中小企业扶持政策的，采购人、采购代理机构应当随</w:t>
      </w:r>
      <w:r>
        <w:rPr>
          <w:rFonts w:hint="eastAsia"/>
          <w:color w:val="auto"/>
          <w:szCs w:val="21"/>
          <w:highlight w:val="none"/>
          <w:lang w:eastAsia="zh-CN"/>
        </w:rPr>
        <w:t>中标</w:t>
      </w:r>
      <w:r>
        <w:rPr>
          <w:color w:val="auto"/>
          <w:szCs w:val="21"/>
          <w:highlight w:val="none"/>
        </w:rPr>
        <w:t>结果公开</w:t>
      </w:r>
      <w:r>
        <w:rPr>
          <w:rFonts w:hint="eastAsia"/>
          <w:color w:val="auto"/>
          <w:szCs w:val="21"/>
          <w:highlight w:val="none"/>
          <w:lang w:eastAsia="zh-CN"/>
        </w:rPr>
        <w:t>中标</w:t>
      </w:r>
      <w:r>
        <w:rPr>
          <w:color w:val="auto"/>
          <w:szCs w:val="21"/>
          <w:highlight w:val="none"/>
        </w:rPr>
        <w:t>供应商的《中小企业声明函》。从业人员、营业收入、资产总额填报上一年度数据，无上一年度数据的新成立企业可不填报。</w:t>
      </w:r>
    </w:p>
    <w:p w14:paraId="291E9273">
      <w:pPr>
        <w:spacing w:before="312" w:beforeLines="100" w:line="360" w:lineRule="auto"/>
        <w:jc w:val="center"/>
        <w:rPr>
          <w:b/>
          <w:bCs/>
          <w:color w:val="auto"/>
          <w:kern w:val="44"/>
          <w:sz w:val="30"/>
          <w:szCs w:val="30"/>
          <w:highlight w:val="none"/>
        </w:rPr>
      </w:pPr>
      <w:r>
        <w:rPr>
          <w:rFonts w:ascii="宋体" w:hAnsi="宋体"/>
          <w:color w:val="auto"/>
          <w:sz w:val="24"/>
          <w:highlight w:val="none"/>
        </w:rPr>
        <w:br w:type="page"/>
      </w:r>
      <w:r>
        <w:rPr>
          <w:rFonts w:hint="eastAsia"/>
          <w:b/>
          <w:bCs/>
          <w:color w:val="auto"/>
          <w:kern w:val="44"/>
          <w:sz w:val="30"/>
          <w:szCs w:val="30"/>
          <w:highlight w:val="none"/>
        </w:rPr>
        <w:t>残疾人福利性单位声明函</w:t>
      </w:r>
    </w:p>
    <w:p w14:paraId="3EC834D3">
      <w:pPr>
        <w:spacing w:line="360" w:lineRule="auto"/>
        <w:contextualSpacing/>
        <w:rPr>
          <w:rFonts w:ascii="仿宋_GB2312" w:hAnsi="仿宋_GB2312" w:eastAsia="仿宋_GB2312" w:cs="仿宋_GB2312"/>
          <w:color w:val="auto"/>
          <w:sz w:val="32"/>
          <w:szCs w:val="32"/>
          <w:highlight w:val="none"/>
        </w:rPr>
      </w:pPr>
    </w:p>
    <w:p w14:paraId="07250AE1">
      <w:pPr>
        <w:spacing w:line="480" w:lineRule="auto"/>
        <w:ind w:firstLine="420" w:firstLineChars="200"/>
        <w:contextualSpacing/>
        <w:rPr>
          <w:color w:val="auto"/>
          <w:szCs w:val="21"/>
          <w:highlight w:val="none"/>
        </w:rPr>
      </w:pPr>
      <w:r>
        <w:rPr>
          <w:color w:val="auto"/>
          <w:szCs w:val="21"/>
          <w:highlight w:val="none"/>
        </w:rPr>
        <w:t>本单位郑重声明，根据《财政部 民政部 中国残疾人联合会关于促进残疾人就业政府采购政策的通知》（财库〔2017〕141号）的规定，本单位为符合条件的残疾人福利性单位，且本单位</w:t>
      </w:r>
      <w:r>
        <w:rPr>
          <w:rFonts w:hint="eastAsia"/>
          <w:color w:val="auto"/>
          <w:szCs w:val="21"/>
          <w:highlight w:val="none"/>
          <w:lang w:val="en-US" w:eastAsia="zh-CN"/>
        </w:rPr>
        <w:t>参加</w:t>
      </w:r>
      <w:r>
        <w:rPr>
          <w:rFonts w:hint="eastAsia"/>
          <w:color w:val="auto"/>
          <w:szCs w:val="21"/>
          <w:highlight w:val="none"/>
          <w:u w:val="single"/>
          <w:lang w:val="en-US" w:eastAsia="zh-CN"/>
        </w:rPr>
        <w:t xml:space="preserve">  （单位名称）   </w:t>
      </w:r>
      <w:r>
        <w:rPr>
          <w:color w:val="auto"/>
          <w:szCs w:val="21"/>
          <w:highlight w:val="none"/>
        </w:rPr>
        <w:t>的</w:t>
      </w:r>
      <w:r>
        <w:rPr>
          <w:color w:val="auto"/>
          <w:szCs w:val="21"/>
          <w:highlight w:val="none"/>
          <w:u w:val="single"/>
        </w:rPr>
        <w:t xml:space="preserve"> </w:t>
      </w:r>
      <w:r>
        <w:rPr>
          <w:rFonts w:hint="eastAsia"/>
          <w:color w:val="auto"/>
          <w:szCs w:val="21"/>
          <w:highlight w:val="none"/>
          <w:u w:val="single"/>
          <w:lang w:val="en-US" w:eastAsia="zh-CN"/>
        </w:rPr>
        <w:t xml:space="preserve">  （项目名称）</w:t>
      </w:r>
      <w:r>
        <w:rPr>
          <w:color w:val="auto"/>
          <w:szCs w:val="21"/>
          <w:highlight w:val="none"/>
          <w:u w:val="single"/>
        </w:rPr>
        <w:t xml:space="preserve"> </w:t>
      </w:r>
      <w:r>
        <w:rPr>
          <w:rFonts w:hint="eastAsia"/>
          <w:color w:val="auto"/>
          <w:szCs w:val="21"/>
          <w:highlight w:val="none"/>
          <w:u w:val="single"/>
          <w:lang w:val="en-US" w:eastAsia="zh-CN"/>
        </w:rPr>
        <w:t xml:space="preserve"> </w:t>
      </w:r>
      <w:r>
        <w:rPr>
          <w:color w:val="auto"/>
          <w:szCs w:val="21"/>
          <w:highlight w:val="none"/>
        </w:rPr>
        <w:t>采购活动提供本单位制造的货物（由本单位承担工程/提供服务），或者提供其他残疾人福利性单位制造的货物（不包括使用非残疾人福利性单位注册商标的货物）。</w:t>
      </w:r>
    </w:p>
    <w:p w14:paraId="010D1A85">
      <w:pPr>
        <w:spacing w:line="480" w:lineRule="auto"/>
        <w:ind w:firstLine="420" w:firstLineChars="200"/>
        <w:contextualSpacing/>
        <w:rPr>
          <w:color w:val="auto"/>
          <w:szCs w:val="21"/>
          <w:highlight w:val="none"/>
        </w:rPr>
      </w:pPr>
      <w:r>
        <w:rPr>
          <w:color w:val="auto"/>
          <w:szCs w:val="21"/>
          <w:highlight w:val="none"/>
        </w:rPr>
        <w:t>本单位对上述声明的真实性负责。如有虚假，将依法承担相应责任。</w:t>
      </w:r>
    </w:p>
    <w:p w14:paraId="1120C2BB">
      <w:pPr>
        <w:spacing w:line="360" w:lineRule="auto"/>
        <w:contextualSpacing/>
        <w:rPr>
          <w:color w:val="auto"/>
          <w:szCs w:val="21"/>
          <w:highlight w:val="none"/>
        </w:rPr>
      </w:pPr>
    </w:p>
    <w:p w14:paraId="7B9986E1">
      <w:pPr>
        <w:pStyle w:val="13"/>
        <w:spacing w:after="0" w:line="360" w:lineRule="auto"/>
        <w:ind w:right="650" w:firstLine="4922" w:firstLineChars="2344"/>
        <w:rPr>
          <w:rFonts w:hint="default" w:eastAsia="宋体"/>
          <w:color w:val="auto"/>
          <w:szCs w:val="21"/>
          <w:highlight w:val="none"/>
          <w:lang w:val="en-US" w:eastAsia="zh-CN"/>
        </w:rPr>
      </w:pPr>
      <w:r>
        <w:rPr>
          <w:rFonts w:hint="eastAsia"/>
          <w:color w:val="auto"/>
          <w:szCs w:val="21"/>
          <w:highlight w:val="none"/>
          <w:lang w:eastAsia="zh-CN"/>
        </w:rPr>
        <w:t>单位</w:t>
      </w:r>
      <w:r>
        <w:rPr>
          <w:color w:val="auto"/>
          <w:szCs w:val="21"/>
          <w:highlight w:val="none"/>
        </w:rPr>
        <w:t>名称（</w:t>
      </w:r>
      <w:r>
        <w:rPr>
          <w:rFonts w:hint="eastAsia"/>
          <w:color w:val="auto"/>
          <w:szCs w:val="21"/>
          <w:highlight w:val="none"/>
          <w:lang w:eastAsia="zh-CN"/>
        </w:rPr>
        <w:t>电子签</w:t>
      </w:r>
      <w:r>
        <w:rPr>
          <w:color w:val="auto"/>
          <w:szCs w:val="21"/>
          <w:highlight w:val="none"/>
        </w:rPr>
        <w:t>章）：</w:t>
      </w:r>
      <w:r>
        <w:rPr>
          <w:color w:val="auto"/>
          <w:szCs w:val="21"/>
          <w:highlight w:val="none"/>
          <w:u w:val="single"/>
        </w:rPr>
        <w:t xml:space="preserve"> </w:t>
      </w:r>
      <w:r>
        <w:rPr>
          <w:rFonts w:hint="eastAsia"/>
          <w:color w:val="auto"/>
          <w:szCs w:val="21"/>
          <w:highlight w:val="none"/>
          <w:u w:val="single"/>
          <w:lang w:val="en-US" w:eastAsia="zh-CN"/>
        </w:rPr>
        <w:t xml:space="preserve">               </w:t>
      </w:r>
    </w:p>
    <w:p w14:paraId="2F03AEC9">
      <w:pPr>
        <w:spacing w:line="360" w:lineRule="auto"/>
        <w:ind w:firstLine="5460" w:firstLineChars="2600"/>
        <w:contextualSpacing/>
        <w:rPr>
          <w:color w:val="auto"/>
          <w:szCs w:val="21"/>
          <w:highlight w:val="none"/>
        </w:rPr>
      </w:pPr>
      <w:r>
        <w:rPr>
          <w:color w:val="auto"/>
          <w:szCs w:val="21"/>
          <w:highlight w:val="none"/>
        </w:rPr>
        <w:t>日 期：</w:t>
      </w:r>
      <w:r>
        <w:rPr>
          <w:rFonts w:hint="eastAsia"/>
          <w:color w:val="auto"/>
          <w:szCs w:val="21"/>
          <w:highlight w:val="none"/>
          <w:lang w:val="en-US" w:eastAsia="zh-CN"/>
        </w:rPr>
        <w:t xml:space="preserve">      年    月    日</w:t>
      </w:r>
    </w:p>
    <w:p w14:paraId="6C13815F">
      <w:pPr>
        <w:spacing w:line="360" w:lineRule="auto"/>
        <w:contextualSpacing/>
        <w:rPr>
          <w:color w:val="auto"/>
          <w:szCs w:val="21"/>
          <w:highlight w:val="none"/>
        </w:rPr>
      </w:pPr>
    </w:p>
    <w:p w14:paraId="75A2472F">
      <w:pPr>
        <w:spacing w:line="360" w:lineRule="auto"/>
        <w:contextualSpacing/>
        <w:rPr>
          <w:color w:val="auto"/>
          <w:szCs w:val="21"/>
          <w:highlight w:val="none"/>
        </w:rPr>
      </w:pPr>
    </w:p>
    <w:p w14:paraId="0C74B311">
      <w:pPr>
        <w:spacing w:line="360" w:lineRule="auto"/>
        <w:contextualSpacing/>
        <w:rPr>
          <w:color w:val="auto"/>
          <w:szCs w:val="21"/>
          <w:highlight w:val="none"/>
        </w:rPr>
      </w:pPr>
    </w:p>
    <w:p w14:paraId="0CFC4B68">
      <w:pPr>
        <w:spacing w:line="360" w:lineRule="auto"/>
        <w:ind w:firstLine="420" w:firstLineChars="200"/>
        <w:contextualSpacing/>
        <w:rPr>
          <w:color w:val="auto"/>
          <w:szCs w:val="21"/>
          <w:highlight w:val="none"/>
        </w:rPr>
      </w:pPr>
      <w:r>
        <w:rPr>
          <w:color w:val="auto"/>
          <w:szCs w:val="21"/>
          <w:highlight w:val="none"/>
        </w:rPr>
        <w:t>注：请根据自己的真实情况出具《残疾人福利性单位声明函》。依法享受中小企业优惠政策的，采购人或者采购代理机构在公告</w:t>
      </w:r>
      <w:r>
        <w:rPr>
          <w:rFonts w:hint="eastAsia"/>
          <w:color w:val="auto"/>
          <w:szCs w:val="21"/>
          <w:highlight w:val="none"/>
          <w:lang w:eastAsia="zh-CN"/>
        </w:rPr>
        <w:t>中标结果</w:t>
      </w:r>
      <w:r>
        <w:rPr>
          <w:color w:val="auto"/>
          <w:szCs w:val="21"/>
          <w:highlight w:val="none"/>
        </w:rPr>
        <w:t>时，同时公告其《残疾人福利性单位声明函》，接受社会监督。</w:t>
      </w:r>
    </w:p>
    <w:p w14:paraId="5F43890C">
      <w:pPr>
        <w:spacing w:before="156" w:beforeLines="50" w:after="156" w:afterLines="50" w:line="360" w:lineRule="auto"/>
        <w:jc w:val="center"/>
        <w:rPr>
          <w:b/>
          <w:bCs/>
          <w:color w:val="auto"/>
          <w:sz w:val="32"/>
          <w:szCs w:val="32"/>
          <w:highlight w:val="none"/>
        </w:rPr>
      </w:pPr>
      <w:r>
        <w:rPr>
          <w:color w:val="auto"/>
          <w:sz w:val="24"/>
          <w:highlight w:val="none"/>
        </w:rPr>
        <w:br w:type="page"/>
      </w:r>
      <w:r>
        <w:rPr>
          <w:b/>
          <w:bCs/>
          <w:color w:val="auto"/>
          <w:sz w:val="28"/>
          <w:szCs w:val="28"/>
          <w:highlight w:val="none"/>
        </w:rPr>
        <w:t>质疑函（格式）</w:t>
      </w:r>
    </w:p>
    <w:p w14:paraId="37B6C1B5">
      <w:pPr>
        <w:pStyle w:val="17"/>
        <w:spacing w:before="120" w:after="120" w:line="360" w:lineRule="auto"/>
        <w:ind w:firstLine="422" w:firstLineChars="200"/>
        <w:contextualSpacing/>
        <w:rPr>
          <w:rFonts w:ascii="Times New Roman" w:hAnsi="Times New Roman"/>
          <w:b/>
          <w:bCs/>
          <w:color w:val="auto"/>
          <w:sz w:val="21"/>
          <w:highlight w:val="none"/>
        </w:rPr>
      </w:pPr>
      <w:r>
        <w:rPr>
          <w:rFonts w:ascii="Times New Roman" w:hAnsi="Times New Roman"/>
          <w:b/>
          <w:bCs/>
          <w:color w:val="auto"/>
          <w:sz w:val="21"/>
          <w:highlight w:val="none"/>
        </w:rPr>
        <w:t>一、质疑供应商基本信息</w:t>
      </w:r>
    </w:p>
    <w:p w14:paraId="2495968D">
      <w:pPr>
        <w:pStyle w:val="17"/>
        <w:spacing w:line="360" w:lineRule="auto"/>
        <w:ind w:firstLine="420" w:firstLineChars="200"/>
        <w:contextualSpacing/>
        <w:rPr>
          <w:rFonts w:ascii="Times New Roman" w:hAnsi="Times New Roman"/>
          <w:bCs/>
          <w:color w:val="auto"/>
          <w:sz w:val="21"/>
          <w:highlight w:val="none"/>
          <w:u w:val="single"/>
        </w:rPr>
      </w:pPr>
      <w:r>
        <w:rPr>
          <w:rFonts w:ascii="Times New Roman" w:hAnsi="Times New Roman"/>
          <w:bCs/>
          <w:color w:val="auto"/>
          <w:sz w:val="21"/>
          <w:highlight w:val="none"/>
        </w:rPr>
        <w:t>质疑供应商：</w:t>
      </w:r>
      <w:r>
        <w:rPr>
          <w:rFonts w:ascii="Times New Roman" w:hAnsi="Times New Roman"/>
          <w:bCs/>
          <w:color w:val="auto"/>
          <w:sz w:val="21"/>
          <w:highlight w:val="none"/>
          <w:u w:val="single"/>
        </w:rPr>
        <w:t xml:space="preserve">                                       </w:t>
      </w:r>
      <w:r>
        <w:rPr>
          <w:rFonts w:ascii="Times New Roman" w:hAnsi="Times New Roman"/>
          <w:bCs/>
          <w:color w:val="auto"/>
          <w:sz w:val="21"/>
          <w:highlight w:val="none"/>
        </w:rPr>
        <w:t xml:space="preserve">                 </w:t>
      </w:r>
    </w:p>
    <w:p w14:paraId="15802BD3">
      <w:pPr>
        <w:pStyle w:val="17"/>
        <w:spacing w:line="360" w:lineRule="auto"/>
        <w:ind w:firstLine="420" w:firstLineChars="200"/>
        <w:contextualSpacing/>
        <w:rPr>
          <w:rFonts w:ascii="Times New Roman" w:hAnsi="Times New Roman"/>
          <w:bCs/>
          <w:color w:val="auto"/>
          <w:sz w:val="21"/>
          <w:highlight w:val="none"/>
        </w:rPr>
      </w:pPr>
      <w:r>
        <w:rPr>
          <w:rFonts w:ascii="Times New Roman" w:hAnsi="Times New Roman"/>
          <w:bCs/>
          <w:color w:val="auto"/>
          <w:sz w:val="21"/>
          <w:highlight w:val="none"/>
        </w:rPr>
        <w:t>地址：</w:t>
      </w:r>
      <w:r>
        <w:rPr>
          <w:rFonts w:ascii="Times New Roman" w:hAnsi="Times New Roman"/>
          <w:bCs/>
          <w:color w:val="auto"/>
          <w:sz w:val="21"/>
          <w:highlight w:val="none"/>
          <w:u w:val="single"/>
        </w:rPr>
        <w:t xml:space="preserve">                                          </w:t>
      </w:r>
      <w:r>
        <w:rPr>
          <w:rFonts w:ascii="Times New Roman" w:hAnsi="Times New Roman"/>
          <w:bCs/>
          <w:color w:val="auto"/>
          <w:sz w:val="21"/>
          <w:highlight w:val="none"/>
        </w:rPr>
        <w:t>邮编：</w:t>
      </w:r>
      <w:r>
        <w:rPr>
          <w:rFonts w:ascii="Times New Roman" w:hAnsi="Times New Roman"/>
          <w:bCs/>
          <w:color w:val="auto"/>
          <w:sz w:val="21"/>
          <w:highlight w:val="none"/>
          <w:u w:val="single"/>
        </w:rPr>
        <w:t xml:space="preserve">                  </w:t>
      </w:r>
      <w:r>
        <w:rPr>
          <w:rFonts w:ascii="Times New Roman" w:hAnsi="Times New Roman"/>
          <w:bCs/>
          <w:color w:val="auto"/>
          <w:sz w:val="21"/>
          <w:highlight w:val="none"/>
        </w:rPr>
        <w:t xml:space="preserve">                 </w:t>
      </w:r>
    </w:p>
    <w:p w14:paraId="0A2AC594">
      <w:pPr>
        <w:pStyle w:val="17"/>
        <w:spacing w:line="360" w:lineRule="auto"/>
        <w:ind w:firstLine="420" w:firstLineChars="200"/>
        <w:contextualSpacing/>
        <w:rPr>
          <w:rFonts w:ascii="Times New Roman" w:hAnsi="Times New Roman"/>
          <w:bCs/>
          <w:color w:val="auto"/>
          <w:sz w:val="21"/>
          <w:highlight w:val="none"/>
        </w:rPr>
      </w:pPr>
      <w:r>
        <w:rPr>
          <w:rFonts w:ascii="Times New Roman" w:hAnsi="Times New Roman"/>
          <w:bCs/>
          <w:color w:val="auto"/>
          <w:sz w:val="21"/>
          <w:highlight w:val="none"/>
        </w:rPr>
        <w:t>联系人：</w:t>
      </w:r>
      <w:r>
        <w:rPr>
          <w:rFonts w:ascii="Times New Roman" w:hAnsi="Times New Roman"/>
          <w:bCs/>
          <w:color w:val="auto"/>
          <w:sz w:val="21"/>
          <w:highlight w:val="none"/>
          <w:u w:val="single"/>
        </w:rPr>
        <w:t xml:space="preserve">                     </w:t>
      </w:r>
      <w:r>
        <w:rPr>
          <w:rFonts w:ascii="Times New Roman" w:hAnsi="Times New Roman"/>
          <w:bCs/>
          <w:color w:val="auto"/>
          <w:sz w:val="21"/>
          <w:highlight w:val="none"/>
        </w:rPr>
        <w:t>联系电话：</w:t>
      </w:r>
      <w:r>
        <w:rPr>
          <w:rFonts w:ascii="Times New Roman" w:hAnsi="Times New Roman"/>
          <w:bCs/>
          <w:color w:val="auto"/>
          <w:sz w:val="21"/>
          <w:highlight w:val="none"/>
          <w:u w:val="single"/>
        </w:rPr>
        <w:t xml:space="preserve">                 </w:t>
      </w:r>
    </w:p>
    <w:p w14:paraId="62F6F667">
      <w:pPr>
        <w:pStyle w:val="17"/>
        <w:spacing w:line="360" w:lineRule="auto"/>
        <w:ind w:firstLine="420" w:firstLineChars="200"/>
        <w:contextualSpacing/>
        <w:rPr>
          <w:rFonts w:ascii="Times New Roman" w:hAnsi="Times New Roman"/>
          <w:bCs/>
          <w:color w:val="auto"/>
          <w:sz w:val="21"/>
          <w:highlight w:val="none"/>
        </w:rPr>
      </w:pPr>
      <w:r>
        <w:rPr>
          <w:rFonts w:ascii="Times New Roman" w:hAnsi="Times New Roman"/>
          <w:bCs/>
          <w:color w:val="auto"/>
          <w:sz w:val="21"/>
          <w:highlight w:val="none"/>
        </w:rPr>
        <w:t>授权代表：</w:t>
      </w:r>
      <w:r>
        <w:rPr>
          <w:rFonts w:ascii="Times New Roman" w:hAnsi="Times New Roman"/>
          <w:bCs/>
          <w:color w:val="auto"/>
          <w:sz w:val="21"/>
          <w:highlight w:val="none"/>
          <w:u w:val="single"/>
        </w:rPr>
        <w:t xml:space="preserve">                      </w:t>
      </w:r>
    </w:p>
    <w:p w14:paraId="1ECBD859">
      <w:pPr>
        <w:pStyle w:val="17"/>
        <w:spacing w:line="360" w:lineRule="auto"/>
        <w:ind w:firstLine="420" w:firstLineChars="200"/>
        <w:contextualSpacing/>
        <w:rPr>
          <w:rFonts w:ascii="Times New Roman" w:hAnsi="Times New Roman"/>
          <w:bCs/>
          <w:color w:val="auto"/>
          <w:sz w:val="21"/>
          <w:highlight w:val="none"/>
          <w:u w:val="single"/>
        </w:rPr>
      </w:pPr>
      <w:r>
        <w:rPr>
          <w:rFonts w:ascii="Times New Roman" w:hAnsi="Times New Roman"/>
          <w:bCs/>
          <w:color w:val="auto"/>
          <w:sz w:val="21"/>
          <w:highlight w:val="none"/>
        </w:rPr>
        <w:t>联系电话：</w:t>
      </w:r>
      <w:r>
        <w:rPr>
          <w:rFonts w:ascii="Times New Roman" w:hAnsi="Times New Roman"/>
          <w:bCs/>
          <w:color w:val="auto"/>
          <w:sz w:val="21"/>
          <w:highlight w:val="none"/>
          <w:u w:val="single"/>
        </w:rPr>
        <w:t xml:space="preserve">                      </w:t>
      </w:r>
    </w:p>
    <w:p w14:paraId="2D62F89A">
      <w:pPr>
        <w:pStyle w:val="17"/>
        <w:spacing w:line="360" w:lineRule="auto"/>
        <w:ind w:firstLine="420" w:firstLineChars="200"/>
        <w:contextualSpacing/>
        <w:rPr>
          <w:rFonts w:ascii="Times New Roman" w:hAnsi="Times New Roman"/>
          <w:bCs/>
          <w:color w:val="auto"/>
          <w:sz w:val="21"/>
          <w:highlight w:val="none"/>
        </w:rPr>
      </w:pPr>
      <w:r>
        <w:rPr>
          <w:rFonts w:ascii="Times New Roman" w:hAnsi="Times New Roman"/>
          <w:bCs/>
          <w:color w:val="auto"/>
          <w:sz w:val="21"/>
          <w:highlight w:val="none"/>
        </w:rPr>
        <w:t>地址：</w:t>
      </w:r>
      <w:r>
        <w:rPr>
          <w:rFonts w:ascii="Times New Roman" w:hAnsi="Times New Roman"/>
          <w:bCs/>
          <w:color w:val="auto"/>
          <w:sz w:val="21"/>
          <w:highlight w:val="none"/>
          <w:u w:val="single"/>
        </w:rPr>
        <w:t xml:space="preserve">                 </w:t>
      </w:r>
      <w:r>
        <w:rPr>
          <w:rFonts w:ascii="Times New Roman" w:hAnsi="Times New Roman"/>
          <w:bCs/>
          <w:color w:val="auto"/>
          <w:sz w:val="21"/>
          <w:highlight w:val="none"/>
        </w:rPr>
        <w:t>邮编：</w:t>
      </w:r>
      <w:r>
        <w:rPr>
          <w:rFonts w:ascii="Times New Roman" w:hAnsi="Times New Roman"/>
          <w:bCs/>
          <w:color w:val="auto"/>
          <w:sz w:val="21"/>
          <w:highlight w:val="none"/>
          <w:u w:val="single"/>
        </w:rPr>
        <w:t xml:space="preserve">                  </w:t>
      </w:r>
      <w:r>
        <w:rPr>
          <w:rFonts w:ascii="Times New Roman" w:hAnsi="Times New Roman"/>
          <w:bCs/>
          <w:color w:val="auto"/>
          <w:sz w:val="21"/>
          <w:highlight w:val="none"/>
        </w:rPr>
        <w:t xml:space="preserve">     </w:t>
      </w:r>
    </w:p>
    <w:p w14:paraId="66B1DF34">
      <w:pPr>
        <w:pStyle w:val="17"/>
        <w:spacing w:line="360" w:lineRule="auto"/>
        <w:ind w:firstLine="422" w:firstLineChars="200"/>
        <w:contextualSpacing/>
        <w:rPr>
          <w:rFonts w:ascii="Times New Roman" w:hAnsi="Times New Roman"/>
          <w:b/>
          <w:bCs/>
          <w:color w:val="auto"/>
          <w:sz w:val="21"/>
          <w:highlight w:val="none"/>
        </w:rPr>
      </w:pPr>
      <w:r>
        <w:rPr>
          <w:rFonts w:ascii="Times New Roman" w:hAnsi="Times New Roman"/>
          <w:b/>
          <w:bCs/>
          <w:color w:val="auto"/>
          <w:sz w:val="21"/>
          <w:highlight w:val="none"/>
        </w:rPr>
        <w:t>二、质疑项目基本情况</w:t>
      </w:r>
    </w:p>
    <w:p w14:paraId="08A5F1EC">
      <w:pPr>
        <w:pStyle w:val="17"/>
        <w:spacing w:line="360" w:lineRule="auto"/>
        <w:ind w:left="25" w:leftChars="12" w:firstLine="413" w:firstLineChars="197"/>
        <w:contextualSpacing/>
        <w:rPr>
          <w:rFonts w:ascii="Times New Roman" w:hAnsi="Times New Roman"/>
          <w:color w:val="auto"/>
          <w:sz w:val="21"/>
          <w:highlight w:val="none"/>
        </w:rPr>
      </w:pPr>
      <w:r>
        <w:rPr>
          <w:rFonts w:ascii="Times New Roman" w:hAnsi="Times New Roman"/>
          <w:bCs/>
          <w:color w:val="auto"/>
          <w:sz w:val="21"/>
          <w:highlight w:val="none"/>
        </w:rPr>
        <w:t>质疑</w:t>
      </w:r>
      <w:r>
        <w:rPr>
          <w:rFonts w:ascii="Times New Roman" w:hAnsi="Times New Roman"/>
          <w:color w:val="auto"/>
          <w:sz w:val="21"/>
          <w:highlight w:val="none"/>
        </w:rPr>
        <w:t>项目的名称：</w:t>
      </w:r>
      <w:r>
        <w:rPr>
          <w:rFonts w:ascii="Times New Roman" w:hAnsi="Times New Roman"/>
          <w:bCs/>
          <w:color w:val="auto"/>
          <w:sz w:val="21"/>
          <w:highlight w:val="none"/>
          <w:u w:val="single"/>
        </w:rPr>
        <w:t xml:space="preserve">                                     </w:t>
      </w:r>
    </w:p>
    <w:p w14:paraId="7F2A6667">
      <w:pPr>
        <w:pStyle w:val="17"/>
        <w:spacing w:line="360" w:lineRule="auto"/>
        <w:ind w:left="25" w:leftChars="12" w:firstLine="413" w:firstLineChars="197"/>
        <w:contextualSpacing/>
        <w:rPr>
          <w:rFonts w:ascii="Times New Roman" w:hAnsi="Times New Roman"/>
          <w:color w:val="auto"/>
          <w:sz w:val="21"/>
          <w:highlight w:val="none"/>
        </w:rPr>
      </w:pPr>
      <w:r>
        <w:rPr>
          <w:rFonts w:ascii="Times New Roman" w:hAnsi="Times New Roman"/>
          <w:bCs/>
          <w:color w:val="auto"/>
          <w:sz w:val="21"/>
          <w:highlight w:val="none"/>
        </w:rPr>
        <w:t>质疑</w:t>
      </w:r>
      <w:r>
        <w:rPr>
          <w:rFonts w:ascii="Times New Roman" w:hAnsi="Times New Roman"/>
          <w:color w:val="auto"/>
          <w:sz w:val="21"/>
          <w:highlight w:val="none"/>
        </w:rPr>
        <w:t>项目的编号：</w:t>
      </w:r>
      <w:r>
        <w:rPr>
          <w:rFonts w:ascii="Times New Roman" w:hAnsi="Times New Roman"/>
          <w:bCs/>
          <w:color w:val="auto"/>
          <w:sz w:val="21"/>
          <w:highlight w:val="none"/>
          <w:u w:val="single"/>
        </w:rPr>
        <w:t xml:space="preserve">                                     </w:t>
      </w:r>
    </w:p>
    <w:p w14:paraId="348C031D">
      <w:pPr>
        <w:pStyle w:val="17"/>
        <w:spacing w:line="360" w:lineRule="auto"/>
        <w:ind w:left="25" w:leftChars="12" w:firstLine="413" w:firstLineChars="197"/>
        <w:contextualSpacing/>
        <w:rPr>
          <w:rFonts w:ascii="Times New Roman" w:hAnsi="Times New Roman"/>
          <w:color w:val="auto"/>
          <w:sz w:val="21"/>
          <w:highlight w:val="none"/>
        </w:rPr>
      </w:pPr>
      <w:r>
        <w:rPr>
          <w:rFonts w:ascii="Times New Roman" w:hAnsi="Times New Roman"/>
          <w:color w:val="auto"/>
          <w:sz w:val="21"/>
          <w:highlight w:val="none"/>
        </w:rPr>
        <w:t>采购人名称：</w:t>
      </w:r>
      <w:r>
        <w:rPr>
          <w:rFonts w:ascii="Times New Roman" w:hAnsi="Times New Roman"/>
          <w:bCs/>
          <w:color w:val="auto"/>
          <w:sz w:val="21"/>
          <w:highlight w:val="none"/>
          <w:u w:val="single"/>
        </w:rPr>
        <w:t xml:space="preserve">                                         </w:t>
      </w:r>
    </w:p>
    <w:p w14:paraId="57705C44">
      <w:pPr>
        <w:pStyle w:val="17"/>
        <w:spacing w:line="360" w:lineRule="auto"/>
        <w:ind w:left="25" w:leftChars="12" w:firstLine="413" w:firstLineChars="197"/>
        <w:contextualSpacing/>
        <w:rPr>
          <w:rFonts w:ascii="Times New Roman" w:hAnsi="Times New Roman"/>
          <w:color w:val="auto"/>
          <w:sz w:val="21"/>
          <w:highlight w:val="none"/>
        </w:rPr>
      </w:pPr>
      <w:r>
        <w:rPr>
          <w:rFonts w:ascii="Times New Roman" w:hAnsi="Times New Roman"/>
          <w:color w:val="auto"/>
          <w:sz w:val="21"/>
          <w:highlight w:val="none"/>
        </w:rPr>
        <w:t>质疑事项：</w:t>
      </w:r>
    </w:p>
    <w:p w14:paraId="6ACE8729">
      <w:pPr>
        <w:pStyle w:val="17"/>
        <w:spacing w:line="360" w:lineRule="auto"/>
        <w:ind w:left="25" w:leftChars="12" w:firstLine="308" w:firstLineChars="147"/>
        <w:contextualSpacing/>
        <w:rPr>
          <w:rFonts w:ascii="Times New Roman" w:hAnsi="Times New Roman"/>
          <w:color w:val="auto"/>
          <w:sz w:val="21"/>
          <w:highlight w:val="none"/>
        </w:rPr>
      </w:pPr>
      <w:r>
        <w:rPr>
          <w:rFonts w:ascii="Times New Roman" w:hAnsi="Times New Roman"/>
          <w:color w:val="auto"/>
          <w:sz w:val="21"/>
          <w:highlight w:val="none"/>
        </w:rPr>
        <w:sym w:font="Wingdings 2" w:char="00A3"/>
      </w:r>
      <w:r>
        <w:rPr>
          <w:rFonts w:hint="eastAsia" w:ascii="Times New Roman" w:hAnsi="Times New Roman"/>
          <w:color w:val="auto"/>
          <w:sz w:val="21"/>
          <w:highlight w:val="none"/>
          <w:lang w:eastAsia="zh-CN"/>
        </w:rPr>
        <w:t>招标</w:t>
      </w:r>
      <w:r>
        <w:rPr>
          <w:rFonts w:ascii="Times New Roman" w:hAnsi="Times New Roman"/>
          <w:color w:val="auto"/>
          <w:sz w:val="21"/>
          <w:highlight w:val="none"/>
        </w:rPr>
        <w:t xml:space="preserve">文件   </w:t>
      </w:r>
      <w:r>
        <w:rPr>
          <w:rFonts w:hint="eastAsia" w:ascii="Times New Roman" w:hAnsi="Times New Roman"/>
          <w:color w:val="auto"/>
          <w:sz w:val="21"/>
          <w:highlight w:val="none"/>
          <w:lang w:eastAsia="zh-CN"/>
        </w:rPr>
        <w:t>招标</w:t>
      </w:r>
      <w:r>
        <w:rPr>
          <w:rFonts w:ascii="Times New Roman" w:hAnsi="Times New Roman"/>
          <w:color w:val="auto"/>
          <w:sz w:val="21"/>
          <w:highlight w:val="none"/>
        </w:rPr>
        <w:t>文件获取日期：</w:t>
      </w:r>
      <w:r>
        <w:rPr>
          <w:rFonts w:ascii="Times New Roman" w:hAnsi="Times New Roman"/>
          <w:bCs/>
          <w:color w:val="auto"/>
          <w:sz w:val="21"/>
          <w:highlight w:val="none"/>
          <w:u w:val="single"/>
        </w:rPr>
        <w:t xml:space="preserve">                                   </w:t>
      </w:r>
    </w:p>
    <w:p w14:paraId="2411EE7A">
      <w:pPr>
        <w:pStyle w:val="17"/>
        <w:spacing w:line="360" w:lineRule="auto"/>
        <w:ind w:left="25" w:leftChars="12" w:firstLine="308" w:firstLineChars="147"/>
        <w:contextualSpacing/>
        <w:rPr>
          <w:rFonts w:ascii="Times New Roman" w:hAnsi="Times New Roman"/>
          <w:color w:val="auto"/>
          <w:sz w:val="21"/>
          <w:highlight w:val="none"/>
        </w:rPr>
      </w:pPr>
      <w:r>
        <w:rPr>
          <w:rFonts w:ascii="Times New Roman" w:hAnsi="Times New Roman"/>
          <w:color w:val="auto"/>
          <w:sz w:val="21"/>
          <w:highlight w:val="none"/>
        </w:rPr>
        <w:sym w:font="Wingdings 2" w:char="00A3"/>
      </w:r>
      <w:r>
        <w:rPr>
          <w:rFonts w:hint="eastAsia" w:ascii="Times New Roman" w:hAnsi="Times New Roman"/>
          <w:color w:val="auto"/>
          <w:sz w:val="21"/>
          <w:highlight w:val="none"/>
          <w:lang w:eastAsia="zh-CN"/>
        </w:rPr>
        <w:t>招标</w:t>
      </w:r>
      <w:r>
        <w:rPr>
          <w:rFonts w:ascii="Times New Roman" w:hAnsi="Times New Roman"/>
          <w:color w:val="auto"/>
          <w:sz w:val="21"/>
          <w:highlight w:val="none"/>
        </w:rPr>
        <w:t xml:space="preserve">过程   </w:t>
      </w:r>
    </w:p>
    <w:p w14:paraId="7D037710">
      <w:pPr>
        <w:pStyle w:val="17"/>
        <w:spacing w:line="360" w:lineRule="auto"/>
        <w:ind w:left="25" w:leftChars="12" w:firstLine="308" w:firstLineChars="147"/>
        <w:contextualSpacing/>
        <w:rPr>
          <w:rFonts w:ascii="Times New Roman" w:hAnsi="Times New Roman"/>
          <w:bCs/>
          <w:color w:val="auto"/>
          <w:sz w:val="21"/>
          <w:highlight w:val="none"/>
          <w:u w:val="single"/>
        </w:rPr>
      </w:pPr>
      <w:r>
        <w:rPr>
          <w:rFonts w:ascii="Times New Roman" w:hAnsi="Times New Roman"/>
          <w:color w:val="auto"/>
          <w:sz w:val="21"/>
          <w:highlight w:val="none"/>
        </w:rPr>
        <w:sym w:font="Wingdings 2" w:char="00A3"/>
      </w:r>
      <w:r>
        <w:rPr>
          <w:rFonts w:hint="eastAsia" w:ascii="Times New Roman" w:hAnsi="Times New Roman"/>
          <w:color w:val="auto"/>
          <w:sz w:val="21"/>
          <w:highlight w:val="none"/>
          <w:lang w:eastAsia="zh-CN"/>
        </w:rPr>
        <w:t>中标</w:t>
      </w:r>
      <w:r>
        <w:rPr>
          <w:rFonts w:ascii="Times New Roman" w:hAnsi="Times New Roman"/>
          <w:color w:val="auto"/>
          <w:sz w:val="21"/>
          <w:highlight w:val="none"/>
        </w:rPr>
        <w:t xml:space="preserve">结果   </w:t>
      </w:r>
    </w:p>
    <w:p w14:paraId="7C139064">
      <w:pPr>
        <w:pStyle w:val="17"/>
        <w:spacing w:before="120" w:after="120" w:line="360" w:lineRule="auto"/>
        <w:ind w:firstLine="422" w:firstLineChars="200"/>
        <w:contextualSpacing/>
        <w:rPr>
          <w:rFonts w:ascii="Times New Roman" w:hAnsi="Times New Roman"/>
          <w:b/>
          <w:color w:val="auto"/>
          <w:sz w:val="21"/>
          <w:highlight w:val="none"/>
        </w:rPr>
      </w:pPr>
      <w:r>
        <w:rPr>
          <w:rFonts w:ascii="Times New Roman" w:hAnsi="Times New Roman"/>
          <w:b/>
          <w:color w:val="auto"/>
          <w:sz w:val="21"/>
          <w:highlight w:val="none"/>
        </w:rPr>
        <w:t>三、质疑事项具体内容</w:t>
      </w:r>
    </w:p>
    <w:p w14:paraId="1264FE04">
      <w:pPr>
        <w:pStyle w:val="17"/>
        <w:spacing w:line="360" w:lineRule="auto"/>
        <w:ind w:left="25" w:leftChars="12" w:firstLine="413" w:firstLineChars="197"/>
        <w:contextualSpacing/>
        <w:rPr>
          <w:rFonts w:ascii="Times New Roman" w:hAnsi="Times New Roman"/>
          <w:color w:val="auto"/>
          <w:sz w:val="21"/>
          <w:highlight w:val="none"/>
        </w:rPr>
      </w:pPr>
      <w:r>
        <w:rPr>
          <w:rFonts w:ascii="Times New Roman" w:hAnsi="Times New Roman"/>
          <w:color w:val="auto"/>
          <w:sz w:val="21"/>
          <w:highlight w:val="none"/>
        </w:rPr>
        <w:t>质疑事项1：</w:t>
      </w:r>
      <w:r>
        <w:rPr>
          <w:rFonts w:ascii="Times New Roman" w:hAnsi="Times New Roman"/>
          <w:bCs/>
          <w:color w:val="auto"/>
          <w:sz w:val="21"/>
          <w:highlight w:val="none"/>
          <w:u w:val="single"/>
        </w:rPr>
        <w:t xml:space="preserve">                                                                    </w:t>
      </w:r>
    </w:p>
    <w:p w14:paraId="65A0DDBE">
      <w:pPr>
        <w:pStyle w:val="17"/>
        <w:spacing w:line="360" w:lineRule="auto"/>
        <w:ind w:left="25" w:leftChars="12" w:firstLine="413" w:firstLineChars="197"/>
        <w:contextualSpacing/>
        <w:rPr>
          <w:rFonts w:ascii="Times New Roman" w:hAnsi="Times New Roman"/>
          <w:color w:val="auto"/>
          <w:sz w:val="21"/>
          <w:highlight w:val="none"/>
        </w:rPr>
      </w:pPr>
      <w:r>
        <w:rPr>
          <w:rFonts w:ascii="Times New Roman" w:hAnsi="Times New Roman"/>
          <w:color w:val="auto"/>
          <w:sz w:val="21"/>
          <w:highlight w:val="none"/>
        </w:rPr>
        <w:t>事实依据：</w:t>
      </w:r>
      <w:r>
        <w:rPr>
          <w:rFonts w:ascii="Times New Roman" w:hAnsi="Times New Roman"/>
          <w:bCs/>
          <w:color w:val="auto"/>
          <w:sz w:val="21"/>
          <w:highlight w:val="none"/>
          <w:u w:val="single"/>
        </w:rPr>
        <w:t xml:space="preserve">                                                                      </w:t>
      </w:r>
    </w:p>
    <w:p w14:paraId="0CA2FFEF">
      <w:pPr>
        <w:pStyle w:val="17"/>
        <w:spacing w:line="360" w:lineRule="auto"/>
        <w:ind w:left="25" w:leftChars="12" w:firstLine="413" w:firstLineChars="197"/>
        <w:contextualSpacing/>
        <w:rPr>
          <w:rFonts w:ascii="Times New Roman" w:hAnsi="Times New Roman"/>
          <w:color w:val="auto"/>
          <w:sz w:val="21"/>
          <w:highlight w:val="none"/>
        </w:rPr>
      </w:pPr>
      <w:r>
        <w:rPr>
          <w:rFonts w:ascii="Times New Roman" w:hAnsi="Times New Roman"/>
          <w:color w:val="auto"/>
          <w:sz w:val="21"/>
          <w:highlight w:val="none"/>
        </w:rPr>
        <w:t>法律依据：</w:t>
      </w:r>
      <w:r>
        <w:rPr>
          <w:rFonts w:ascii="Times New Roman" w:hAnsi="Times New Roman"/>
          <w:color w:val="auto"/>
          <w:sz w:val="21"/>
          <w:highlight w:val="none"/>
          <w:u w:val="single"/>
        </w:rPr>
        <w:t xml:space="preserve">                                                        </w:t>
      </w:r>
      <w:r>
        <w:rPr>
          <w:rFonts w:ascii="Times New Roman" w:hAnsi="Times New Roman"/>
          <w:bCs/>
          <w:color w:val="auto"/>
          <w:sz w:val="21"/>
          <w:highlight w:val="none"/>
          <w:u w:val="single"/>
        </w:rPr>
        <w:t xml:space="preserve">               </w:t>
      </w:r>
    </w:p>
    <w:p w14:paraId="7AC77747">
      <w:pPr>
        <w:pStyle w:val="17"/>
        <w:spacing w:line="360" w:lineRule="auto"/>
        <w:ind w:left="25" w:leftChars="12" w:firstLine="413" w:firstLineChars="197"/>
        <w:contextualSpacing/>
        <w:rPr>
          <w:rFonts w:ascii="Times New Roman" w:hAnsi="Times New Roman"/>
          <w:color w:val="auto"/>
          <w:sz w:val="21"/>
          <w:highlight w:val="none"/>
        </w:rPr>
      </w:pPr>
      <w:r>
        <w:rPr>
          <w:rFonts w:ascii="Times New Roman" w:hAnsi="Times New Roman"/>
          <w:color w:val="auto"/>
          <w:sz w:val="21"/>
          <w:highlight w:val="none"/>
        </w:rPr>
        <w:t>质疑事项2</w:t>
      </w:r>
    </w:p>
    <w:p w14:paraId="31F1683F">
      <w:pPr>
        <w:pStyle w:val="17"/>
        <w:spacing w:line="360" w:lineRule="auto"/>
        <w:ind w:left="25" w:leftChars="12" w:firstLine="413" w:firstLineChars="197"/>
        <w:contextualSpacing/>
        <w:rPr>
          <w:rFonts w:ascii="Times New Roman" w:hAnsi="Times New Roman"/>
          <w:color w:val="auto"/>
          <w:sz w:val="21"/>
          <w:highlight w:val="none"/>
        </w:rPr>
      </w:pPr>
      <w:r>
        <w:rPr>
          <w:rFonts w:ascii="Times New Roman" w:hAnsi="Times New Roman"/>
          <w:color w:val="auto"/>
          <w:sz w:val="21"/>
          <w:highlight w:val="none"/>
        </w:rPr>
        <w:t>……</w:t>
      </w:r>
    </w:p>
    <w:p w14:paraId="1B0CE791">
      <w:pPr>
        <w:pStyle w:val="17"/>
        <w:spacing w:before="120" w:after="120" w:line="360" w:lineRule="auto"/>
        <w:ind w:firstLine="420" w:firstLineChars="200"/>
        <w:contextualSpacing/>
        <w:rPr>
          <w:rFonts w:ascii="Times New Roman" w:hAnsi="Times New Roman"/>
          <w:color w:val="auto"/>
          <w:sz w:val="21"/>
          <w:highlight w:val="none"/>
        </w:rPr>
      </w:pPr>
      <w:r>
        <w:rPr>
          <w:rFonts w:ascii="Times New Roman" w:hAnsi="Times New Roman"/>
          <w:color w:val="auto"/>
          <w:sz w:val="21"/>
          <w:highlight w:val="none"/>
        </w:rPr>
        <w:t>四、与质疑事项相关的质疑请求：</w:t>
      </w:r>
    </w:p>
    <w:p w14:paraId="76E20D1F">
      <w:pPr>
        <w:pStyle w:val="17"/>
        <w:spacing w:line="360" w:lineRule="auto"/>
        <w:ind w:left="25" w:leftChars="12" w:firstLine="413" w:firstLineChars="197"/>
        <w:contextualSpacing/>
        <w:rPr>
          <w:rFonts w:ascii="Times New Roman" w:hAnsi="Times New Roman"/>
          <w:color w:val="auto"/>
          <w:sz w:val="21"/>
          <w:highlight w:val="none"/>
        </w:rPr>
      </w:pPr>
      <w:r>
        <w:rPr>
          <w:rFonts w:ascii="Times New Roman" w:hAnsi="Times New Roman"/>
          <w:color w:val="auto"/>
          <w:sz w:val="21"/>
          <w:highlight w:val="none"/>
        </w:rPr>
        <w:t>请求：</w:t>
      </w:r>
      <w:r>
        <w:rPr>
          <w:rFonts w:ascii="Times New Roman" w:hAnsi="Times New Roman"/>
          <w:bCs/>
          <w:color w:val="auto"/>
          <w:sz w:val="21"/>
          <w:highlight w:val="none"/>
          <w:u w:val="single"/>
        </w:rPr>
        <w:t xml:space="preserve">                                                                </w:t>
      </w:r>
    </w:p>
    <w:p w14:paraId="433614CA">
      <w:pPr>
        <w:pStyle w:val="17"/>
        <w:spacing w:line="360" w:lineRule="auto"/>
        <w:ind w:left="25" w:leftChars="12" w:firstLine="308" w:firstLineChars="147"/>
        <w:contextualSpacing/>
        <w:rPr>
          <w:rFonts w:ascii="Times New Roman" w:hAnsi="Times New Roman"/>
          <w:color w:val="auto"/>
          <w:sz w:val="21"/>
          <w:highlight w:val="none"/>
        </w:rPr>
      </w:pPr>
    </w:p>
    <w:p w14:paraId="5395C3FB">
      <w:pPr>
        <w:pStyle w:val="17"/>
        <w:spacing w:line="360" w:lineRule="auto"/>
        <w:ind w:left="25" w:leftChars="12" w:firstLine="413" w:firstLineChars="197"/>
        <w:contextualSpacing/>
        <w:rPr>
          <w:rFonts w:ascii="Times New Roman" w:hAnsi="Times New Roman"/>
          <w:color w:val="auto"/>
          <w:sz w:val="21"/>
          <w:highlight w:val="none"/>
        </w:rPr>
      </w:pPr>
      <w:r>
        <w:rPr>
          <w:rFonts w:ascii="Times New Roman" w:hAnsi="Times New Roman"/>
          <w:color w:val="auto"/>
          <w:sz w:val="21"/>
          <w:highlight w:val="none"/>
        </w:rPr>
        <w:t>签字（签章）：                                       公章：</w:t>
      </w:r>
    </w:p>
    <w:p w14:paraId="5997E68F">
      <w:pPr>
        <w:pStyle w:val="17"/>
        <w:spacing w:line="360" w:lineRule="auto"/>
        <w:ind w:left="25" w:leftChars="12" w:firstLine="308" w:firstLineChars="147"/>
        <w:contextualSpacing/>
        <w:rPr>
          <w:rFonts w:ascii="Times New Roman" w:hAnsi="Times New Roman"/>
          <w:color w:val="auto"/>
          <w:sz w:val="21"/>
          <w:highlight w:val="none"/>
        </w:rPr>
      </w:pPr>
    </w:p>
    <w:p w14:paraId="5E1ABFE7">
      <w:pPr>
        <w:pStyle w:val="17"/>
        <w:spacing w:line="360" w:lineRule="auto"/>
        <w:ind w:left="25" w:leftChars="12" w:firstLine="413" w:firstLineChars="197"/>
        <w:contextualSpacing/>
        <w:rPr>
          <w:rFonts w:ascii="Times New Roman" w:hAnsi="Times New Roman"/>
          <w:color w:val="auto"/>
          <w:sz w:val="21"/>
          <w:highlight w:val="none"/>
        </w:rPr>
      </w:pPr>
      <w:r>
        <w:rPr>
          <w:rFonts w:ascii="Times New Roman" w:hAnsi="Times New Roman"/>
          <w:color w:val="auto"/>
          <w:sz w:val="21"/>
          <w:highlight w:val="none"/>
        </w:rPr>
        <w:t>日期：</w:t>
      </w:r>
    </w:p>
    <w:p w14:paraId="2F1C47D4">
      <w:pPr>
        <w:pStyle w:val="17"/>
        <w:spacing w:line="360" w:lineRule="auto"/>
        <w:contextualSpacing/>
        <w:rPr>
          <w:rFonts w:ascii="Times New Roman" w:hAnsi="Times New Roman"/>
          <w:b/>
          <w:color w:val="auto"/>
          <w:sz w:val="21"/>
          <w:highlight w:val="none"/>
        </w:rPr>
      </w:pPr>
    </w:p>
    <w:p w14:paraId="553CF7AF">
      <w:pPr>
        <w:pStyle w:val="17"/>
        <w:spacing w:line="360" w:lineRule="auto"/>
        <w:contextualSpacing/>
        <w:rPr>
          <w:rFonts w:ascii="Times New Roman" w:hAnsi="Times New Roman"/>
          <w:b/>
          <w:color w:val="auto"/>
          <w:sz w:val="21"/>
          <w:highlight w:val="none"/>
        </w:rPr>
      </w:pPr>
      <w:r>
        <w:rPr>
          <w:rFonts w:ascii="Times New Roman" w:hAnsi="Times New Roman"/>
          <w:b/>
          <w:color w:val="auto"/>
          <w:sz w:val="21"/>
          <w:highlight w:val="none"/>
        </w:rPr>
        <w:br w:type="page"/>
      </w:r>
      <w:r>
        <w:rPr>
          <w:rFonts w:ascii="Times New Roman" w:hAnsi="Times New Roman"/>
          <w:b/>
          <w:color w:val="auto"/>
          <w:sz w:val="21"/>
          <w:highlight w:val="none"/>
        </w:rPr>
        <w:t>说明：</w:t>
      </w:r>
    </w:p>
    <w:p w14:paraId="39A730EA">
      <w:pPr>
        <w:pStyle w:val="17"/>
        <w:spacing w:line="360" w:lineRule="auto"/>
        <w:ind w:left="25" w:leftChars="12" w:firstLine="310" w:firstLineChars="147"/>
        <w:contextualSpacing/>
        <w:rPr>
          <w:rFonts w:ascii="Times New Roman" w:hAnsi="Times New Roman"/>
          <w:b/>
          <w:bCs/>
          <w:color w:val="auto"/>
          <w:sz w:val="21"/>
          <w:highlight w:val="none"/>
        </w:rPr>
      </w:pPr>
      <w:r>
        <w:rPr>
          <w:rFonts w:ascii="Times New Roman" w:hAnsi="Times New Roman"/>
          <w:b/>
          <w:color w:val="auto"/>
          <w:sz w:val="21"/>
          <w:highlight w:val="none"/>
        </w:rPr>
        <w:t>1</w:t>
      </w:r>
      <w:r>
        <w:rPr>
          <w:rFonts w:ascii="Times New Roman" w:hAnsi="Times New Roman"/>
          <w:color w:val="auto"/>
          <w:sz w:val="21"/>
          <w:highlight w:val="none"/>
        </w:rPr>
        <w:t>．</w:t>
      </w:r>
      <w:r>
        <w:rPr>
          <w:rFonts w:ascii="Times New Roman" w:hAnsi="Times New Roman"/>
          <w:b/>
          <w:color w:val="auto"/>
          <w:sz w:val="21"/>
          <w:highlight w:val="none"/>
        </w:rPr>
        <w:t>供应商提出质疑时，应提交质疑函和必要的证明材料</w:t>
      </w:r>
      <w:r>
        <w:rPr>
          <w:rFonts w:ascii="Times New Roman" w:hAnsi="Times New Roman"/>
          <w:b/>
          <w:bCs/>
          <w:color w:val="auto"/>
          <w:sz w:val="21"/>
          <w:highlight w:val="none"/>
        </w:rPr>
        <w:t>。</w:t>
      </w:r>
    </w:p>
    <w:p w14:paraId="331A6421">
      <w:pPr>
        <w:pStyle w:val="17"/>
        <w:spacing w:line="360" w:lineRule="auto"/>
        <w:ind w:left="25" w:leftChars="12" w:firstLine="310" w:firstLineChars="147"/>
        <w:contextualSpacing/>
        <w:rPr>
          <w:rFonts w:ascii="Times New Roman" w:hAnsi="Times New Roman"/>
          <w:b/>
          <w:color w:val="auto"/>
          <w:sz w:val="21"/>
          <w:highlight w:val="none"/>
        </w:rPr>
      </w:pPr>
      <w:r>
        <w:rPr>
          <w:rFonts w:ascii="Times New Roman" w:hAnsi="Times New Roman"/>
          <w:b/>
          <w:color w:val="auto"/>
          <w:sz w:val="21"/>
          <w:highlight w:val="none"/>
        </w:rPr>
        <w:t>2</w:t>
      </w:r>
      <w:r>
        <w:rPr>
          <w:rFonts w:ascii="Times New Roman" w:hAnsi="Times New Roman"/>
          <w:color w:val="auto"/>
          <w:sz w:val="21"/>
          <w:highlight w:val="none"/>
        </w:rPr>
        <w:t>．</w:t>
      </w:r>
      <w:r>
        <w:rPr>
          <w:rFonts w:ascii="Times New Roman" w:hAnsi="Times New Roman"/>
          <w:b/>
          <w:color w:val="auto"/>
          <w:sz w:val="21"/>
          <w:highlight w:val="none"/>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0A968E5">
      <w:pPr>
        <w:pStyle w:val="17"/>
        <w:spacing w:line="360" w:lineRule="auto"/>
        <w:ind w:left="25" w:leftChars="12" w:firstLine="310" w:firstLineChars="147"/>
        <w:contextualSpacing/>
        <w:rPr>
          <w:rFonts w:ascii="Times New Roman" w:hAnsi="Times New Roman"/>
          <w:b/>
          <w:color w:val="auto"/>
          <w:sz w:val="21"/>
          <w:highlight w:val="none"/>
        </w:rPr>
      </w:pPr>
      <w:r>
        <w:rPr>
          <w:rFonts w:ascii="Times New Roman" w:hAnsi="Times New Roman"/>
          <w:b/>
          <w:color w:val="auto"/>
          <w:sz w:val="21"/>
          <w:highlight w:val="none"/>
        </w:rPr>
        <w:t>3</w:t>
      </w:r>
      <w:r>
        <w:rPr>
          <w:rFonts w:ascii="Times New Roman" w:hAnsi="Times New Roman"/>
          <w:color w:val="auto"/>
          <w:sz w:val="21"/>
          <w:highlight w:val="none"/>
        </w:rPr>
        <w:t>．</w:t>
      </w:r>
      <w:r>
        <w:rPr>
          <w:rFonts w:ascii="Times New Roman" w:hAnsi="Times New Roman"/>
          <w:b/>
          <w:color w:val="auto"/>
          <w:sz w:val="21"/>
          <w:highlight w:val="none"/>
        </w:rPr>
        <w:t>质疑函的质疑事项应具体、明确，并有必要的事实依据和法律依据。</w:t>
      </w:r>
    </w:p>
    <w:p w14:paraId="5B31D642">
      <w:pPr>
        <w:pStyle w:val="17"/>
        <w:spacing w:line="360" w:lineRule="auto"/>
        <w:ind w:left="25" w:leftChars="12" w:firstLine="310" w:firstLineChars="147"/>
        <w:contextualSpacing/>
        <w:rPr>
          <w:rFonts w:ascii="Times New Roman" w:hAnsi="Times New Roman"/>
          <w:b/>
          <w:color w:val="auto"/>
          <w:sz w:val="21"/>
          <w:highlight w:val="none"/>
        </w:rPr>
      </w:pPr>
      <w:r>
        <w:rPr>
          <w:rFonts w:ascii="Times New Roman" w:hAnsi="Times New Roman"/>
          <w:b/>
          <w:color w:val="auto"/>
          <w:sz w:val="21"/>
          <w:highlight w:val="none"/>
        </w:rPr>
        <w:t>4</w:t>
      </w:r>
      <w:r>
        <w:rPr>
          <w:rFonts w:ascii="Times New Roman" w:hAnsi="Times New Roman"/>
          <w:color w:val="auto"/>
          <w:sz w:val="21"/>
          <w:highlight w:val="none"/>
        </w:rPr>
        <w:t>．</w:t>
      </w:r>
      <w:r>
        <w:rPr>
          <w:rFonts w:ascii="Times New Roman" w:hAnsi="Times New Roman"/>
          <w:b/>
          <w:color w:val="auto"/>
          <w:sz w:val="21"/>
          <w:highlight w:val="none"/>
        </w:rPr>
        <w:t>质疑函的质疑请求应与质疑事项相关。</w:t>
      </w:r>
    </w:p>
    <w:p w14:paraId="324F8609">
      <w:pPr>
        <w:pStyle w:val="17"/>
        <w:spacing w:line="360" w:lineRule="auto"/>
        <w:ind w:left="25" w:leftChars="12" w:firstLine="310" w:firstLineChars="147"/>
        <w:contextualSpacing/>
        <w:rPr>
          <w:rFonts w:ascii="Times New Roman" w:hAnsi="Times New Roman"/>
          <w:b/>
          <w:color w:val="auto"/>
          <w:sz w:val="21"/>
          <w:highlight w:val="none"/>
        </w:rPr>
      </w:pPr>
      <w:r>
        <w:rPr>
          <w:rFonts w:ascii="Times New Roman" w:hAnsi="Times New Roman"/>
          <w:b/>
          <w:color w:val="auto"/>
          <w:sz w:val="21"/>
          <w:highlight w:val="none"/>
        </w:rPr>
        <w:t>5</w:t>
      </w:r>
      <w:r>
        <w:rPr>
          <w:rFonts w:ascii="Times New Roman" w:hAnsi="Times New Roman"/>
          <w:color w:val="auto"/>
          <w:sz w:val="21"/>
          <w:highlight w:val="none"/>
        </w:rPr>
        <w:t>．</w:t>
      </w:r>
      <w:r>
        <w:rPr>
          <w:rFonts w:ascii="Times New Roman" w:hAnsi="Times New Roman"/>
          <w:b/>
          <w:color w:val="auto"/>
          <w:sz w:val="21"/>
          <w:highlight w:val="none"/>
        </w:rPr>
        <w:t>质疑供应商为法人或者其他组织的，质疑函应由法定代表人、主要负责人，或者其授权代表签字或者盖章，并加盖公章。</w:t>
      </w:r>
    </w:p>
    <w:p w14:paraId="2A38D2AE">
      <w:pPr>
        <w:pStyle w:val="17"/>
        <w:snapToGrid w:val="0"/>
        <w:rPr>
          <w:rFonts w:ascii="Times New Roman" w:hAnsi="Times New Roman"/>
          <w:b/>
          <w:color w:val="auto"/>
          <w:sz w:val="24"/>
          <w:szCs w:val="24"/>
          <w:highlight w:val="none"/>
        </w:rPr>
      </w:pPr>
    </w:p>
    <w:p w14:paraId="7E23DF54">
      <w:pPr>
        <w:spacing w:line="460" w:lineRule="exact"/>
        <w:jc w:val="center"/>
        <w:rPr>
          <w:color w:val="auto"/>
          <w:sz w:val="44"/>
          <w:highlight w:val="none"/>
        </w:rPr>
      </w:pPr>
      <w:r>
        <w:rPr>
          <w:color w:val="auto"/>
          <w:sz w:val="44"/>
          <w:highlight w:val="none"/>
        </w:rPr>
        <w:br w:type="page"/>
      </w:r>
    </w:p>
    <w:p w14:paraId="2C68DBAE">
      <w:pPr>
        <w:spacing w:line="360" w:lineRule="auto"/>
        <w:jc w:val="center"/>
        <w:rPr>
          <w:b/>
          <w:bCs/>
          <w:color w:val="auto"/>
          <w:sz w:val="28"/>
          <w:szCs w:val="28"/>
          <w:highlight w:val="none"/>
        </w:rPr>
      </w:pPr>
      <w:r>
        <w:rPr>
          <w:b/>
          <w:bCs/>
          <w:color w:val="auto"/>
          <w:sz w:val="28"/>
          <w:szCs w:val="28"/>
          <w:highlight w:val="none"/>
        </w:rPr>
        <w:t>投诉书（格式）</w:t>
      </w:r>
    </w:p>
    <w:p w14:paraId="0CC9E3A1">
      <w:pPr>
        <w:pStyle w:val="17"/>
        <w:snapToGrid w:val="0"/>
        <w:spacing w:line="360" w:lineRule="auto"/>
        <w:ind w:firstLine="482" w:firstLineChars="200"/>
        <w:rPr>
          <w:rFonts w:ascii="Times New Roman" w:hAnsi="Times New Roman"/>
          <w:b/>
          <w:bCs/>
          <w:color w:val="auto"/>
          <w:sz w:val="24"/>
          <w:szCs w:val="24"/>
          <w:highlight w:val="none"/>
        </w:rPr>
      </w:pPr>
    </w:p>
    <w:p w14:paraId="704A85F9">
      <w:pPr>
        <w:pStyle w:val="17"/>
        <w:snapToGrid w:val="0"/>
        <w:spacing w:before="120" w:after="120" w:line="360" w:lineRule="auto"/>
        <w:ind w:firstLine="422" w:firstLineChars="200"/>
        <w:rPr>
          <w:rFonts w:ascii="Times New Roman" w:hAnsi="Times New Roman"/>
          <w:b/>
          <w:bCs/>
          <w:color w:val="auto"/>
          <w:sz w:val="21"/>
          <w:highlight w:val="none"/>
        </w:rPr>
      </w:pPr>
      <w:r>
        <w:rPr>
          <w:rFonts w:ascii="Times New Roman" w:hAnsi="Times New Roman"/>
          <w:b/>
          <w:bCs/>
          <w:color w:val="auto"/>
          <w:sz w:val="21"/>
          <w:highlight w:val="none"/>
        </w:rPr>
        <w:t>一、投诉相关主体基本情况</w:t>
      </w:r>
    </w:p>
    <w:p w14:paraId="31E5EF5B">
      <w:pPr>
        <w:pStyle w:val="17"/>
        <w:snapToGrid w:val="0"/>
        <w:spacing w:line="360" w:lineRule="auto"/>
        <w:ind w:firstLine="420" w:firstLineChars="200"/>
        <w:rPr>
          <w:rFonts w:ascii="Times New Roman" w:hAnsi="Times New Roman"/>
          <w:bCs/>
          <w:color w:val="auto"/>
          <w:sz w:val="21"/>
          <w:highlight w:val="none"/>
          <w:u w:val="single"/>
        </w:rPr>
      </w:pPr>
      <w:r>
        <w:rPr>
          <w:rFonts w:hint="eastAsia" w:ascii="Times New Roman" w:hAnsi="Times New Roman"/>
          <w:bCs/>
          <w:color w:val="auto"/>
          <w:sz w:val="21"/>
          <w:highlight w:val="none"/>
          <w:lang w:eastAsia="zh-CN"/>
        </w:rPr>
        <w:t>投标人</w:t>
      </w:r>
      <w:r>
        <w:rPr>
          <w:rFonts w:ascii="Times New Roman" w:hAnsi="Times New Roman"/>
          <w:bCs/>
          <w:color w:val="auto"/>
          <w:sz w:val="21"/>
          <w:highlight w:val="none"/>
        </w:rPr>
        <w:t>：</w:t>
      </w:r>
      <w:r>
        <w:rPr>
          <w:rFonts w:ascii="Times New Roman" w:hAnsi="Times New Roman"/>
          <w:bCs/>
          <w:color w:val="auto"/>
          <w:sz w:val="21"/>
          <w:highlight w:val="none"/>
          <w:u w:val="single"/>
        </w:rPr>
        <w:t xml:space="preserve">                                                                        </w:t>
      </w:r>
      <w:r>
        <w:rPr>
          <w:rFonts w:ascii="Times New Roman" w:hAnsi="Times New Roman"/>
          <w:bCs/>
          <w:color w:val="auto"/>
          <w:sz w:val="21"/>
          <w:highlight w:val="none"/>
        </w:rPr>
        <w:t xml:space="preserve">                 </w:t>
      </w:r>
    </w:p>
    <w:p w14:paraId="7F0A1717">
      <w:pPr>
        <w:pStyle w:val="17"/>
        <w:snapToGrid w:val="0"/>
        <w:spacing w:line="360" w:lineRule="auto"/>
        <w:ind w:firstLine="420" w:firstLineChars="200"/>
        <w:rPr>
          <w:rFonts w:ascii="Times New Roman" w:hAnsi="Times New Roman"/>
          <w:bCs/>
          <w:color w:val="auto"/>
          <w:sz w:val="21"/>
          <w:highlight w:val="none"/>
        </w:rPr>
      </w:pPr>
      <w:r>
        <w:rPr>
          <w:rFonts w:ascii="Times New Roman" w:hAnsi="Times New Roman"/>
          <w:bCs/>
          <w:color w:val="auto"/>
          <w:sz w:val="21"/>
          <w:highlight w:val="none"/>
        </w:rPr>
        <w:t>地址：</w:t>
      </w:r>
      <w:r>
        <w:rPr>
          <w:rFonts w:ascii="Times New Roman" w:hAnsi="Times New Roman"/>
          <w:bCs/>
          <w:color w:val="auto"/>
          <w:sz w:val="21"/>
          <w:highlight w:val="none"/>
          <w:u w:val="single"/>
        </w:rPr>
        <w:t xml:space="preserve">                                          </w:t>
      </w:r>
      <w:r>
        <w:rPr>
          <w:rFonts w:ascii="Times New Roman" w:hAnsi="Times New Roman"/>
          <w:bCs/>
          <w:color w:val="auto"/>
          <w:sz w:val="21"/>
          <w:highlight w:val="none"/>
        </w:rPr>
        <w:t>邮编：</w:t>
      </w:r>
      <w:r>
        <w:rPr>
          <w:rFonts w:ascii="Times New Roman" w:hAnsi="Times New Roman"/>
          <w:bCs/>
          <w:color w:val="auto"/>
          <w:sz w:val="21"/>
          <w:highlight w:val="none"/>
          <w:u w:val="single"/>
        </w:rPr>
        <w:t xml:space="preserve">                          </w:t>
      </w:r>
      <w:r>
        <w:rPr>
          <w:rFonts w:ascii="Times New Roman" w:hAnsi="Times New Roman"/>
          <w:bCs/>
          <w:color w:val="auto"/>
          <w:sz w:val="21"/>
          <w:highlight w:val="none"/>
        </w:rPr>
        <w:t xml:space="preserve">                 </w:t>
      </w:r>
    </w:p>
    <w:p w14:paraId="3CD7F90D">
      <w:pPr>
        <w:pStyle w:val="17"/>
        <w:snapToGrid w:val="0"/>
        <w:spacing w:line="360" w:lineRule="auto"/>
        <w:ind w:firstLine="420" w:firstLineChars="200"/>
        <w:rPr>
          <w:rFonts w:ascii="Times New Roman" w:hAnsi="Times New Roman"/>
          <w:bCs/>
          <w:color w:val="auto"/>
          <w:sz w:val="21"/>
          <w:highlight w:val="none"/>
          <w:u w:val="single"/>
        </w:rPr>
      </w:pPr>
      <w:r>
        <w:rPr>
          <w:rFonts w:ascii="Times New Roman" w:hAnsi="Times New Roman"/>
          <w:bCs/>
          <w:color w:val="auto"/>
          <w:sz w:val="21"/>
          <w:highlight w:val="none"/>
        </w:rPr>
        <w:t>法定代表人/主要负责人：</w:t>
      </w:r>
      <w:r>
        <w:rPr>
          <w:rFonts w:ascii="Times New Roman" w:hAnsi="Times New Roman"/>
          <w:bCs/>
          <w:color w:val="auto"/>
          <w:sz w:val="21"/>
          <w:highlight w:val="none"/>
          <w:u w:val="single"/>
        </w:rPr>
        <w:t xml:space="preserve">                                                         </w:t>
      </w:r>
    </w:p>
    <w:p w14:paraId="6D216EE3">
      <w:pPr>
        <w:pStyle w:val="17"/>
        <w:snapToGrid w:val="0"/>
        <w:spacing w:line="360" w:lineRule="auto"/>
        <w:ind w:firstLine="420" w:firstLineChars="200"/>
        <w:rPr>
          <w:rFonts w:ascii="Times New Roman" w:hAnsi="Times New Roman"/>
          <w:bCs/>
          <w:color w:val="auto"/>
          <w:sz w:val="21"/>
          <w:highlight w:val="none"/>
        </w:rPr>
      </w:pPr>
      <w:r>
        <w:rPr>
          <w:rFonts w:ascii="Times New Roman" w:hAnsi="Times New Roman"/>
          <w:bCs/>
          <w:color w:val="auto"/>
          <w:sz w:val="21"/>
          <w:highlight w:val="none"/>
        </w:rPr>
        <w:t>联系电话：</w:t>
      </w:r>
      <w:r>
        <w:rPr>
          <w:rFonts w:ascii="Times New Roman" w:hAnsi="Times New Roman"/>
          <w:bCs/>
          <w:color w:val="auto"/>
          <w:sz w:val="21"/>
          <w:highlight w:val="none"/>
          <w:u w:val="single"/>
        </w:rPr>
        <w:t xml:space="preserve">                                         </w:t>
      </w:r>
    </w:p>
    <w:p w14:paraId="7A2F1FB1">
      <w:pPr>
        <w:pStyle w:val="17"/>
        <w:snapToGrid w:val="0"/>
        <w:spacing w:line="360" w:lineRule="auto"/>
        <w:ind w:firstLine="420" w:firstLineChars="200"/>
        <w:rPr>
          <w:rFonts w:ascii="Times New Roman" w:hAnsi="Times New Roman"/>
          <w:bCs/>
          <w:color w:val="auto"/>
          <w:sz w:val="21"/>
          <w:highlight w:val="none"/>
          <w:u w:val="single"/>
        </w:rPr>
      </w:pPr>
      <w:r>
        <w:rPr>
          <w:rFonts w:ascii="Times New Roman" w:hAnsi="Times New Roman"/>
          <w:bCs/>
          <w:color w:val="auto"/>
          <w:sz w:val="21"/>
          <w:highlight w:val="none"/>
        </w:rPr>
        <w:t>授权代表：</w:t>
      </w:r>
      <w:r>
        <w:rPr>
          <w:rFonts w:ascii="Times New Roman" w:hAnsi="Times New Roman"/>
          <w:bCs/>
          <w:color w:val="auto"/>
          <w:sz w:val="21"/>
          <w:highlight w:val="none"/>
          <w:u w:val="single"/>
        </w:rPr>
        <w:t xml:space="preserve">                                         </w:t>
      </w:r>
      <w:r>
        <w:rPr>
          <w:rFonts w:ascii="Times New Roman" w:hAnsi="Times New Roman"/>
          <w:bCs/>
          <w:color w:val="auto"/>
          <w:sz w:val="21"/>
          <w:highlight w:val="none"/>
        </w:rPr>
        <w:t>联系电话：</w:t>
      </w:r>
      <w:r>
        <w:rPr>
          <w:rFonts w:ascii="Times New Roman" w:hAnsi="Times New Roman"/>
          <w:bCs/>
          <w:color w:val="auto"/>
          <w:sz w:val="21"/>
          <w:highlight w:val="none"/>
          <w:u w:val="single"/>
        </w:rPr>
        <w:t xml:space="preserve">                   </w:t>
      </w:r>
    </w:p>
    <w:p w14:paraId="2CB041F0">
      <w:pPr>
        <w:pStyle w:val="17"/>
        <w:snapToGrid w:val="0"/>
        <w:spacing w:line="360" w:lineRule="auto"/>
        <w:ind w:firstLine="420" w:firstLineChars="200"/>
        <w:rPr>
          <w:rFonts w:ascii="Times New Roman" w:hAnsi="Times New Roman"/>
          <w:bCs/>
          <w:color w:val="auto"/>
          <w:sz w:val="21"/>
          <w:highlight w:val="none"/>
          <w:u w:val="single"/>
        </w:rPr>
      </w:pPr>
      <w:r>
        <w:rPr>
          <w:rFonts w:ascii="Times New Roman" w:hAnsi="Times New Roman"/>
          <w:bCs/>
          <w:color w:val="auto"/>
          <w:sz w:val="21"/>
          <w:highlight w:val="none"/>
        </w:rPr>
        <w:t>地址：</w:t>
      </w:r>
      <w:r>
        <w:rPr>
          <w:rFonts w:ascii="Times New Roman" w:hAnsi="Times New Roman"/>
          <w:bCs/>
          <w:color w:val="auto"/>
          <w:sz w:val="21"/>
          <w:highlight w:val="none"/>
          <w:u w:val="single"/>
        </w:rPr>
        <w:t xml:space="preserve">                                                            </w:t>
      </w:r>
    </w:p>
    <w:p w14:paraId="3A3FE85F">
      <w:pPr>
        <w:pStyle w:val="17"/>
        <w:snapToGrid w:val="0"/>
        <w:spacing w:line="360" w:lineRule="auto"/>
        <w:ind w:firstLine="420" w:firstLineChars="200"/>
        <w:rPr>
          <w:rFonts w:ascii="Times New Roman" w:hAnsi="Times New Roman"/>
          <w:bCs/>
          <w:color w:val="auto"/>
          <w:sz w:val="21"/>
          <w:highlight w:val="none"/>
        </w:rPr>
      </w:pPr>
      <w:r>
        <w:rPr>
          <w:rFonts w:ascii="Times New Roman" w:hAnsi="Times New Roman"/>
          <w:bCs/>
          <w:color w:val="auto"/>
          <w:sz w:val="21"/>
          <w:highlight w:val="none"/>
        </w:rPr>
        <w:t>邮编：</w:t>
      </w:r>
      <w:r>
        <w:rPr>
          <w:rFonts w:ascii="Times New Roman" w:hAnsi="Times New Roman"/>
          <w:bCs/>
          <w:color w:val="auto"/>
          <w:sz w:val="21"/>
          <w:highlight w:val="none"/>
          <w:u w:val="single"/>
        </w:rPr>
        <w:t xml:space="preserve">         </w:t>
      </w:r>
      <w:r>
        <w:rPr>
          <w:rFonts w:ascii="Times New Roman" w:hAnsi="Times New Roman"/>
          <w:bCs/>
          <w:color w:val="auto"/>
          <w:sz w:val="21"/>
          <w:highlight w:val="none"/>
        </w:rPr>
        <w:t xml:space="preserve">   </w:t>
      </w:r>
    </w:p>
    <w:p w14:paraId="0A5206E7">
      <w:pPr>
        <w:pStyle w:val="17"/>
        <w:snapToGrid w:val="0"/>
        <w:spacing w:line="360" w:lineRule="auto"/>
        <w:ind w:firstLine="420" w:firstLineChars="200"/>
        <w:rPr>
          <w:rFonts w:ascii="Times New Roman" w:hAnsi="Times New Roman"/>
          <w:bCs/>
          <w:color w:val="auto"/>
          <w:sz w:val="21"/>
          <w:highlight w:val="none"/>
        </w:rPr>
      </w:pPr>
      <w:r>
        <w:rPr>
          <w:rFonts w:ascii="Times New Roman" w:hAnsi="Times New Roman"/>
          <w:bCs/>
          <w:color w:val="auto"/>
          <w:sz w:val="21"/>
          <w:highlight w:val="none"/>
        </w:rPr>
        <w:t>被投诉人1：</w:t>
      </w:r>
    </w:p>
    <w:p w14:paraId="1683DF42">
      <w:pPr>
        <w:pStyle w:val="17"/>
        <w:snapToGrid w:val="0"/>
        <w:spacing w:line="360" w:lineRule="auto"/>
        <w:ind w:firstLine="420" w:firstLineChars="200"/>
        <w:rPr>
          <w:rFonts w:ascii="Times New Roman" w:hAnsi="Times New Roman"/>
          <w:bCs/>
          <w:color w:val="auto"/>
          <w:sz w:val="21"/>
          <w:highlight w:val="none"/>
          <w:u w:val="single"/>
        </w:rPr>
      </w:pPr>
      <w:r>
        <w:rPr>
          <w:rFonts w:ascii="Times New Roman" w:hAnsi="Times New Roman"/>
          <w:bCs/>
          <w:color w:val="auto"/>
          <w:sz w:val="21"/>
          <w:highlight w:val="none"/>
        </w:rPr>
        <w:t>地址：</w:t>
      </w:r>
      <w:r>
        <w:rPr>
          <w:rFonts w:ascii="Times New Roman" w:hAnsi="Times New Roman"/>
          <w:bCs/>
          <w:color w:val="auto"/>
          <w:sz w:val="21"/>
          <w:highlight w:val="none"/>
          <w:u w:val="single"/>
        </w:rPr>
        <w:t xml:space="preserve">                                                            </w:t>
      </w:r>
    </w:p>
    <w:p w14:paraId="4DF11ECA">
      <w:pPr>
        <w:pStyle w:val="17"/>
        <w:snapToGrid w:val="0"/>
        <w:spacing w:line="360" w:lineRule="auto"/>
        <w:ind w:firstLine="420" w:firstLineChars="200"/>
        <w:rPr>
          <w:rFonts w:ascii="Times New Roman" w:hAnsi="Times New Roman"/>
          <w:bCs/>
          <w:color w:val="auto"/>
          <w:sz w:val="21"/>
          <w:highlight w:val="none"/>
        </w:rPr>
      </w:pPr>
      <w:r>
        <w:rPr>
          <w:rFonts w:ascii="Times New Roman" w:hAnsi="Times New Roman"/>
          <w:bCs/>
          <w:color w:val="auto"/>
          <w:sz w:val="21"/>
          <w:highlight w:val="none"/>
        </w:rPr>
        <w:t>邮编：</w:t>
      </w:r>
      <w:r>
        <w:rPr>
          <w:rFonts w:ascii="Times New Roman" w:hAnsi="Times New Roman"/>
          <w:bCs/>
          <w:color w:val="auto"/>
          <w:sz w:val="21"/>
          <w:highlight w:val="none"/>
          <w:u w:val="single"/>
        </w:rPr>
        <w:t xml:space="preserve">         </w:t>
      </w:r>
      <w:r>
        <w:rPr>
          <w:rFonts w:ascii="Times New Roman" w:hAnsi="Times New Roman"/>
          <w:bCs/>
          <w:color w:val="auto"/>
          <w:sz w:val="21"/>
          <w:highlight w:val="none"/>
        </w:rPr>
        <w:t xml:space="preserve">  </w:t>
      </w:r>
    </w:p>
    <w:p w14:paraId="7D7740F2">
      <w:pPr>
        <w:pStyle w:val="17"/>
        <w:snapToGrid w:val="0"/>
        <w:spacing w:line="360" w:lineRule="auto"/>
        <w:ind w:firstLine="420" w:firstLineChars="200"/>
        <w:rPr>
          <w:rFonts w:ascii="Times New Roman" w:hAnsi="Times New Roman"/>
          <w:bCs/>
          <w:color w:val="auto"/>
          <w:sz w:val="21"/>
          <w:highlight w:val="none"/>
          <w:u w:val="single"/>
        </w:rPr>
      </w:pPr>
      <w:r>
        <w:rPr>
          <w:rFonts w:ascii="Times New Roman" w:hAnsi="Times New Roman"/>
          <w:bCs/>
          <w:color w:val="auto"/>
          <w:sz w:val="21"/>
          <w:highlight w:val="none"/>
        </w:rPr>
        <w:t>联系人：</w:t>
      </w:r>
      <w:r>
        <w:rPr>
          <w:rFonts w:ascii="Times New Roman" w:hAnsi="Times New Roman"/>
          <w:bCs/>
          <w:color w:val="auto"/>
          <w:sz w:val="21"/>
          <w:highlight w:val="none"/>
          <w:u w:val="single"/>
        </w:rPr>
        <w:t xml:space="preserve">                                                </w:t>
      </w:r>
      <w:r>
        <w:rPr>
          <w:rFonts w:ascii="Times New Roman" w:hAnsi="Times New Roman"/>
          <w:bCs/>
          <w:color w:val="auto"/>
          <w:sz w:val="21"/>
          <w:highlight w:val="none"/>
        </w:rPr>
        <w:t>联系电话：</w:t>
      </w:r>
      <w:r>
        <w:rPr>
          <w:rFonts w:ascii="Times New Roman" w:hAnsi="Times New Roman"/>
          <w:bCs/>
          <w:color w:val="auto"/>
          <w:sz w:val="21"/>
          <w:highlight w:val="none"/>
          <w:u w:val="single"/>
        </w:rPr>
        <w:t xml:space="preserve">                </w:t>
      </w:r>
    </w:p>
    <w:p w14:paraId="621FC4BF">
      <w:pPr>
        <w:pStyle w:val="17"/>
        <w:snapToGrid w:val="0"/>
        <w:spacing w:line="360" w:lineRule="auto"/>
        <w:ind w:firstLine="420" w:firstLineChars="200"/>
        <w:rPr>
          <w:rFonts w:ascii="Times New Roman" w:hAnsi="Times New Roman"/>
          <w:bCs/>
          <w:color w:val="auto"/>
          <w:sz w:val="21"/>
          <w:highlight w:val="none"/>
        </w:rPr>
      </w:pPr>
      <w:r>
        <w:rPr>
          <w:rFonts w:ascii="Times New Roman" w:hAnsi="Times New Roman"/>
          <w:bCs/>
          <w:color w:val="auto"/>
          <w:sz w:val="21"/>
          <w:highlight w:val="none"/>
        </w:rPr>
        <w:t>被投诉人2：</w:t>
      </w:r>
    </w:p>
    <w:p w14:paraId="0452A577">
      <w:pPr>
        <w:pStyle w:val="17"/>
        <w:snapToGrid w:val="0"/>
        <w:spacing w:line="360" w:lineRule="auto"/>
        <w:ind w:firstLine="420" w:firstLineChars="200"/>
        <w:rPr>
          <w:rFonts w:ascii="Times New Roman" w:hAnsi="Times New Roman"/>
          <w:bCs/>
          <w:color w:val="auto"/>
          <w:sz w:val="21"/>
          <w:highlight w:val="none"/>
        </w:rPr>
      </w:pPr>
      <w:r>
        <w:rPr>
          <w:rFonts w:ascii="Times New Roman" w:hAnsi="Times New Roman"/>
          <w:bCs/>
          <w:color w:val="auto"/>
          <w:sz w:val="21"/>
          <w:highlight w:val="none"/>
        </w:rPr>
        <w:t>……</w:t>
      </w:r>
    </w:p>
    <w:p w14:paraId="3ABE5904">
      <w:pPr>
        <w:pStyle w:val="17"/>
        <w:snapToGrid w:val="0"/>
        <w:spacing w:line="360" w:lineRule="auto"/>
        <w:ind w:firstLine="420" w:firstLineChars="200"/>
        <w:rPr>
          <w:rFonts w:ascii="Times New Roman" w:hAnsi="Times New Roman"/>
          <w:bCs/>
          <w:color w:val="auto"/>
          <w:sz w:val="21"/>
          <w:highlight w:val="none"/>
          <w:u w:val="single"/>
        </w:rPr>
      </w:pPr>
      <w:r>
        <w:rPr>
          <w:rFonts w:ascii="Times New Roman" w:hAnsi="Times New Roman"/>
          <w:bCs/>
          <w:color w:val="auto"/>
          <w:sz w:val="21"/>
          <w:highlight w:val="none"/>
        </w:rPr>
        <w:t>相关供应商：</w:t>
      </w:r>
      <w:r>
        <w:rPr>
          <w:rFonts w:ascii="Times New Roman" w:hAnsi="Times New Roman"/>
          <w:bCs/>
          <w:color w:val="auto"/>
          <w:sz w:val="21"/>
          <w:highlight w:val="none"/>
          <w:u w:val="single"/>
        </w:rPr>
        <w:t xml:space="preserve">                                                                       </w:t>
      </w:r>
    </w:p>
    <w:p w14:paraId="4C1B0D52">
      <w:pPr>
        <w:pStyle w:val="17"/>
        <w:snapToGrid w:val="0"/>
        <w:spacing w:line="360" w:lineRule="auto"/>
        <w:ind w:firstLine="420" w:firstLineChars="200"/>
        <w:rPr>
          <w:rFonts w:ascii="Times New Roman" w:hAnsi="Times New Roman"/>
          <w:bCs/>
          <w:color w:val="auto"/>
          <w:sz w:val="21"/>
          <w:highlight w:val="none"/>
          <w:u w:val="single"/>
        </w:rPr>
      </w:pPr>
      <w:r>
        <w:rPr>
          <w:rFonts w:ascii="Times New Roman" w:hAnsi="Times New Roman"/>
          <w:bCs/>
          <w:color w:val="auto"/>
          <w:sz w:val="21"/>
          <w:highlight w:val="none"/>
        </w:rPr>
        <w:t>地址：</w:t>
      </w:r>
      <w:r>
        <w:rPr>
          <w:rFonts w:ascii="Times New Roman" w:hAnsi="Times New Roman"/>
          <w:bCs/>
          <w:color w:val="auto"/>
          <w:sz w:val="21"/>
          <w:highlight w:val="none"/>
          <w:u w:val="single"/>
        </w:rPr>
        <w:t xml:space="preserve">                                              </w:t>
      </w:r>
      <w:r>
        <w:rPr>
          <w:rFonts w:ascii="Times New Roman" w:hAnsi="Times New Roman"/>
          <w:bCs/>
          <w:color w:val="auto"/>
          <w:sz w:val="21"/>
          <w:highlight w:val="none"/>
        </w:rPr>
        <w:t>邮编：</w:t>
      </w:r>
      <w:r>
        <w:rPr>
          <w:rFonts w:ascii="Times New Roman" w:hAnsi="Times New Roman"/>
          <w:bCs/>
          <w:color w:val="auto"/>
          <w:sz w:val="21"/>
          <w:highlight w:val="none"/>
          <w:u w:val="single"/>
        </w:rPr>
        <w:t xml:space="preserve">                         </w:t>
      </w:r>
    </w:p>
    <w:p w14:paraId="24E7F460">
      <w:pPr>
        <w:pStyle w:val="17"/>
        <w:snapToGrid w:val="0"/>
        <w:spacing w:line="360" w:lineRule="auto"/>
        <w:ind w:firstLine="420" w:firstLineChars="200"/>
        <w:rPr>
          <w:rFonts w:ascii="Times New Roman" w:hAnsi="Times New Roman"/>
          <w:bCs/>
          <w:color w:val="auto"/>
          <w:sz w:val="21"/>
          <w:highlight w:val="none"/>
        </w:rPr>
      </w:pPr>
      <w:r>
        <w:rPr>
          <w:rFonts w:ascii="Times New Roman" w:hAnsi="Times New Roman"/>
          <w:bCs/>
          <w:color w:val="auto"/>
          <w:sz w:val="21"/>
          <w:highlight w:val="none"/>
        </w:rPr>
        <w:t>联系人：</w:t>
      </w:r>
      <w:r>
        <w:rPr>
          <w:rFonts w:ascii="Times New Roman" w:hAnsi="Times New Roman"/>
          <w:bCs/>
          <w:color w:val="auto"/>
          <w:sz w:val="21"/>
          <w:highlight w:val="none"/>
          <w:u w:val="single"/>
        </w:rPr>
        <w:t xml:space="preserve">                                            </w:t>
      </w:r>
      <w:r>
        <w:rPr>
          <w:rFonts w:ascii="Times New Roman" w:hAnsi="Times New Roman"/>
          <w:bCs/>
          <w:color w:val="auto"/>
          <w:sz w:val="21"/>
          <w:highlight w:val="none"/>
        </w:rPr>
        <w:t>联系电话：</w:t>
      </w:r>
      <w:r>
        <w:rPr>
          <w:rFonts w:ascii="Times New Roman" w:hAnsi="Times New Roman"/>
          <w:bCs/>
          <w:color w:val="auto"/>
          <w:sz w:val="21"/>
          <w:highlight w:val="none"/>
          <w:u w:val="single"/>
        </w:rPr>
        <w:t xml:space="preserve">                     </w:t>
      </w:r>
      <w:r>
        <w:rPr>
          <w:rFonts w:ascii="Times New Roman" w:hAnsi="Times New Roman"/>
          <w:bCs/>
          <w:color w:val="auto"/>
          <w:sz w:val="21"/>
          <w:highlight w:val="none"/>
        </w:rPr>
        <w:t xml:space="preserve">                </w:t>
      </w:r>
    </w:p>
    <w:p w14:paraId="721A120F">
      <w:pPr>
        <w:pStyle w:val="17"/>
        <w:snapToGrid w:val="0"/>
        <w:spacing w:before="120" w:after="120" w:line="360" w:lineRule="auto"/>
        <w:ind w:firstLine="422" w:firstLineChars="200"/>
        <w:rPr>
          <w:rFonts w:ascii="Times New Roman" w:hAnsi="Times New Roman"/>
          <w:b/>
          <w:bCs/>
          <w:color w:val="auto"/>
          <w:sz w:val="21"/>
          <w:highlight w:val="none"/>
        </w:rPr>
      </w:pPr>
      <w:r>
        <w:rPr>
          <w:rFonts w:ascii="Times New Roman" w:hAnsi="Times New Roman"/>
          <w:b/>
          <w:bCs/>
          <w:color w:val="auto"/>
          <w:sz w:val="21"/>
          <w:highlight w:val="none"/>
        </w:rPr>
        <w:t>二、投诉项目基本情况</w:t>
      </w:r>
    </w:p>
    <w:p w14:paraId="2B1C4915">
      <w:pPr>
        <w:pStyle w:val="17"/>
        <w:spacing w:line="360" w:lineRule="auto"/>
        <w:ind w:left="25" w:leftChars="12" w:firstLine="413" w:firstLineChars="197"/>
        <w:rPr>
          <w:rFonts w:ascii="Times New Roman" w:hAnsi="Times New Roman"/>
          <w:color w:val="auto"/>
          <w:sz w:val="21"/>
          <w:highlight w:val="none"/>
        </w:rPr>
      </w:pPr>
      <w:r>
        <w:rPr>
          <w:rFonts w:hint="eastAsia" w:ascii="Times New Roman" w:hAnsi="Times New Roman"/>
          <w:bCs/>
          <w:color w:val="auto"/>
          <w:sz w:val="21"/>
          <w:highlight w:val="none"/>
          <w:lang w:eastAsia="zh-CN"/>
        </w:rPr>
        <w:t>招标</w:t>
      </w:r>
      <w:r>
        <w:rPr>
          <w:rFonts w:ascii="Times New Roman" w:hAnsi="Times New Roman"/>
          <w:color w:val="auto"/>
          <w:sz w:val="21"/>
          <w:highlight w:val="none"/>
        </w:rPr>
        <w:t>项目的名称：</w:t>
      </w:r>
      <w:r>
        <w:rPr>
          <w:rFonts w:ascii="Times New Roman" w:hAnsi="Times New Roman"/>
          <w:bCs/>
          <w:color w:val="auto"/>
          <w:sz w:val="21"/>
          <w:highlight w:val="none"/>
          <w:u w:val="single"/>
        </w:rPr>
        <w:t xml:space="preserve">                                                                   </w:t>
      </w:r>
    </w:p>
    <w:p w14:paraId="5CF0C773">
      <w:pPr>
        <w:pStyle w:val="17"/>
        <w:spacing w:line="360" w:lineRule="auto"/>
        <w:ind w:left="25" w:leftChars="12" w:firstLine="413" w:firstLineChars="197"/>
        <w:rPr>
          <w:rFonts w:ascii="Times New Roman" w:hAnsi="Times New Roman"/>
          <w:color w:val="auto"/>
          <w:sz w:val="21"/>
          <w:highlight w:val="none"/>
        </w:rPr>
      </w:pPr>
      <w:r>
        <w:rPr>
          <w:rFonts w:hint="eastAsia" w:ascii="Times New Roman" w:hAnsi="Times New Roman"/>
          <w:bCs/>
          <w:color w:val="auto"/>
          <w:sz w:val="21"/>
          <w:highlight w:val="none"/>
          <w:lang w:eastAsia="zh-CN"/>
        </w:rPr>
        <w:t>招标</w:t>
      </w:r>
      <w:r>
        <w:rPr>
          <w:rFonts w:ascii="Times New Roman" w:hAnsi="Times New Roman"/>
          <w:color w:val="auto"/>
          <w:sz w:val="21"/>
          <w:highlight w:val="none"/>
        </w:rPr>
        <w:t>项目的编号：</w:t>
      </w:r>
      <w:r>
        <w:rPr>
          <w:rFonts w:ascii="Times New Roman" w:hAnsi="Times New Roman"/>
          <w:bCs/>
          <w:color w:val="auto"/>
          <w:sz w:val="21"/>
          <w:highlight w:val="none"/>
          <w:u w:val="single"/>
        </w:rPr>
        <w:t xml:space="preserve">                                          </w:t>
      </w:r>
    </w:p>
    <w:p w14:paraId="5E10CE8E">
      <w:pPr>
        <w:pStyle w:val="17"/>
        <w:spacing w:line="360" w:lineRule="auto"/>
        <w:ind w:left="25" w:leftChars="12" w:firstLine="413" w:firstLineChars="197"/>
        <w:rPr>
          <w:rFonts w:ascii="Times New Roman" w:hAnsi="Times New Roman"/>
          <w:bCs/>
          <w:color w:val="auto"/>
          <w:sz w:val="21"/>
          <w:highlight w:val="none"/>
          <w:u w:val="single"/>
        </w:rPr>
      </w:pPr>
      <w:r>
        <w:rPr>
          <w:rFonts w:ascii="Times New Roman" w:hAnsi="Times New Roman"/>
          <w:color w:val="auto"/>
          <w:sz w:val="21"/>
          <w:highlight w:val="none"/>
        </w:rPr>
        <w:t>采购人名称：</w:t>
      </w:r>
      <w:r>
        <w:rPr>
          <w:rFonts w:ascii="Times New Roman" w:hAnsi="Times New Roman"/>
          <w:bCs/>
          <w:color w:val="auto"/>
          <w:sz w:val="21"/>
          <w:highlight w:val="none"/>
          <w:u w:val="single"/>
        </w:rPr>
        <w:t xml:space="preserve">                                                                        </w:t>
      </w:r>
    </w:p>
    <w:p w14:paraId="720C2EB6">
      <w:pPr>
        <w:pStyle w:val="17"/>
        <w:spacing w:line="360" w:lineRule="auto"/>
        <w:ind w:left="25" w:leftChars="12" w:firstLine="413" w:firstLineChars="197"/>
        <w:rPr>
          <w:rFonts w:ascii="Times New Roman" w:hAnsi="Times New Roman"/>
          <w:bCs/>
          <w:color w:val="auto"/>
          <w:sz w:val="21"/>
          <w:highlight w:val="none"/>
          <w:u w:val="single"/>
        </w:rPr>
      </w:pPr>
      <w:r>
        <w:rPr>
          <w:rFonts w:ascii="Times New Roman" w:hAnsi="Times New Roman"/>
          <w:color w:val="auto"/>
          <w:sz w:val="21"/>
          <w:highlight w:val="none"/>
        </w:rPr>
        <w:t>代理机构名称：</w:t>
      </w:r>
      <w:r>
        <w:rPr>
          <w:rFonts w:ascii="Times New Roman" w:hAnsi="Times New Roman"/>
          <w:bCs/>
          <w:color w:val="auto"/>
          <w:sz w:val="21"/>
          <w:highlight w:val="none"/>
          <w:u w:val="single"/>
        </w:rPr>
        <w:t xml:space="preserve">                                                                      </w:t>
      </w:r>
    </w:p>
    <w:p w14:paraId="05C3EFB2">
      <w:pPr>
        <w:pStyle w:val="17"/>
        <w:spacing w:line="360" w:lineRule="auto"/>
        <w:ind w:left="25" w:leftChars="12" w:firstLine="413" w:firstLineChars="197"/>
        <w:rPr>
          <w:rFonts w:ascii="Times New Roman" w:hAnsi="Times New Roman"/>
          <w:bCs/>
          <w:color w:val="auto"/>
          <w:sz w:val="21"/>
          <w:highlight w:val="none"/>
          <w:u w:val="single"/>
        </w:rPr>
      </w:pPr>
      <w:r>
        <w:rPr>
          <w:rFonts w:hint="eastAsia" w:ascii="Times New Roman" w:hAnsi="Times New Roman"/>
          <w:bCs/>
          <w:color w:val="auto"/>
          <w:sz w:val="21"/>
          <w:highlight w:val="none"/>
          <w:lang w:eastAsia="zh-CN"/>
        </w:rPr>
        <w:t>招标</w:t>
      </w:r>
      <w:r>
        <w:rPr>
          <w:rFonts w:hint="eastAsia" w:ascii="Times New Roman" w:hAnsi="Times New Roman"/>
          <w:bCs/>
          <w:color w:val="auto"/>
          <w:sz w:val="21"/>
          <w:highlight w:val="none"/>
        </w:rPr>
        <w:t>文件</w:t>
      </w:r>
      <w:r>
        <w:rPr>
          <w:rFonts w:ascii="Times New Roman" w:hAnsi="Times New Roman"/>
          <w:bCs/>
          <w:color w:val="auto"/>
          <w:sz w:val="21"/>
          <w:highlight w:val="none"/>
        </w:rPr>
        <w:t>公告：</w:t>
      </w:r>
      <w:r>
        <w:rPr>
          <w:rFonts w:ascii="Times New Roman" w:hAnsi="Times New Roman"/>
          <w:bCs/>
          <w:color w:val="auto"/>
          <w:sz w:val="21"/>
          <w:highlight w:val="none"/>
          <w:u w:val="single"/>
        </w:rPr>
        <w:t>是/否</w:t>
      </w:r>
      <w:r>
        <w:rPr>
          <w:rFonts w:ascii="Times New Roman" w:hAnsi="Times New Roman"/>
          <w:bCs/>
          <w:color w:val="auto"/>
          <w:sz w:val="21"/>
          <w:highlight w:val="none"/>
        </w:rPr>
        <w:t>公告期限：</w:t>
      </w:r>
      <w:r>
        <w:rPr>
          <w:rFonts w:ascii="Times New Roman" w:hAnsi="Times New Roman"/>
          <w:bCs/>
          <w:color w:val="auto"/>
          <w:sz w:val="21"/>
          <w:highlight w:val="none"/>
          <w:u w:val="single"/>
        </w:rPr>
        <w:t xml:space="preserve">                                                       </w:t>
      </w:r>
    </w:p>
    <w:p w14:paraId="7377BAA9">
      <w:pPr>
        <w:pStyle w:val="17"/>
        <w:spacing w:line="360" w:lineRule="auto"/>
        <w:ind w:left="25" w:leftChars="12" w:firstLine="413" w:firstLineChars="197"/>
        <w:rPr>
          <w:rFonts w:ascii="Times New Roman" w:hAnsi="Times New Roman"/>
          <w:b/>
          <w:color w:val="auto"/>
          <w:sz w:val="21"/>
          <w:highlight w:val="none"/>
        </w:rPr>
      </w:pPr>
      <w:r>
        <w:rPr>
          <w:rFonts w:hint="eastAsia" w:ascii="Times New Roman" w:hAnsi="Times New Roman"/>
          <w:bCs/>
          <w:color w:val="auto"/>
          <w:sz w:val="21"/>
          <w:highlight w:val="none"/>
          <w:lang w:eastAsia="zh-CN"/>
        </w:rPr>
        <w:t>中标</w:t>
      </w:r>
      <w:r>
        <w:rPr>
          <w:rFonts w:ascii="Times New Roman" w:hAnsi="Times New Roman"/>
          <w:bCs/>
          <w:color w:val="auto"/>
          <w:sz w:val="21"/>
          <w:highlight w:val="none"/>
        </w:rPr>
        <w:t>结果公告：</w:t>
      </w:r>
      <w:r>
        <w:rPr>
          <w:rFonts w:ascii="Times New Roman" w:hAnsi="Times New Roman"/>
          <w:bCs/>
          <w:color w:val="auto"/>
          <w:sz w:val="21"/>
          <w:highlight w:val="none"/>
          <w:u w:val="single"/>
        </w:rPr>
        <w:t>是/否</w:t>
      </w:r>
      <w:r>
        <w:rPr>
          <w:rFonts w:ascii="Times New Roman" w:hAnsi="Times New Roman"/>
          <w:bCs/>
          <w:color w:val="auto"/>
          <w:sz w:val="21"/>
          <w:highlight w:val="none"/>
        </w:rPr>
        <w:t>公告期限：</w:t>
      </w:r>
      <w:r>
        <w:rPr>
          <w:rFonts w:ascii="Times New Roman" w:hAnsi="Times New Roman"/>
          <w:bCs/>
          <w:color w:val="auto"/>
          <w:sz w:val="21"/>
          <w:highlight w:val="none"/>
          <w:u w:val="single"/>
        </w:rPr>
        <w:t xml:space="preserve">                                                       </w:t>
      </w:r>
    </w:p>
    <w:p w14:paraId="107F3298">
      <w:pPr>
        <w:pStyle w:val="17"/>
        <w:spacing w:before="120" w:after="120" w:line="360" w:lineRule="auto"/>
        <w:ind w:left="25" w:leftChars="12" w:firstLine="413" w:firstLineChars="196"/>
        <w:rPr>
          <w:rFonts w:ascii="Times New Roman" w:hAnsi="Times New Roman"/>
          <w:b/>
          <w:color w:val="auto"/>
          <w:sz w:val="21"/>
          <w:highlight w:val="none"/>
        </w:rPr>
      </w:pPr>
      <w:r>
        <w:rPr>
          <w:rFonts w:ascii="Times New Roman" w:hAnsi="Times New Roman"/>
          <w:b/>
          <w:color w:val="auto"/>
          <w:sz w:val="21"/>
          <w:highlight w:val="none"/>
        </w:rPr>
        <w:t>三、质疑基本情况</w:t>
      </w:r>
    </w:p>
    <w:p w14:paraId="136DAA86">
      <w:pPr>
        <w:pStyle w:val="17"/>
        <w:spacing w:line="360" w:lineRule="auto"/>
        <w:ind w:firstLine="420" w:firstLineChars="200"/>
        <w:rPr>
          <w:rFonts w:ascii="Times New Roman" w:hAnsi="Times New Roman"/>
          <w:color w:val="auto"/>
          <w:sz w:val="21"/>
          <w:highlight w:val="none"/>
        </w:rPr>
      </w:pPr>
      <w:r>
        <w:rPr>
          <w:rFonts w:ascii="Times New Roman" w:hAnsi="Times New Roman"/>
          <w:color w:val="auto"/>
          <w:sz w:val="21"/>
          <w:highlight w:val="none"/>
        </w:rPr>
        <w:t>投诉人于</w:t>
      </w:r>
      <w:r>
        <w:rPr>
          <w:rFonts w:ascii="Times New Roman" w:hAnsi="Times New Roman"/>
          <w:color w:val="auto"/>
          <w:sz w:val="21"/>
          <w:highlight w:val="none"/>
          <w:u w:val="single"/>
        </w:rPr>
        <w:t xml:space="preserve">      </w:t>
      </w:r>
      <w:r>
        <w:rPr>
          <w:rFonts w:ascii="Times New Roman" w:hAnsi="Times New Roman"/>
          <w:color w:val="auto"/>
          <w:sz w:val="21"/>
          <w:highlight w:val="none"/>
        </w:rPr>
        <w:t>年</w:t>
      </w:r>
      <w:r>
        <w:rPr>
          <w:rFonts w:ascii="Times New Roman" w:hAnsi="Times New Roman"/>
          <w:color w:val="auto"/>
          <w:sz w:val="21"/>
          <w:highlight w:val="none"/>
          <w:u w:val="single"/>
        </w:rPr>
        <w:t xml:space="preserve">   </w:t>
      </w:r>
      <w:r>
        <w:rPr>
          <w:rFonts w:ascii="Times New Roman" w:hAnsi="Times New Roman"/>
          <w:color w:val="auto"/>
          <w:sz w:val="21"/>
          <w:highlight w:val="none"/>
        </w:rPr>
        <w:t>月</w:t>
      </w:r>
      <w:r>
        <w:rPr>
          <w:rFonts w:ascii="Times New Roman" w:hAnsi="Times New Roman"/>
          <w:color w:val="auto"/>
          <w:sz w:val="21"/>
          <w:highlight w:val="none"/>
          <w:u w:val="single"/>
        </w:rPr>
        <w:t xml:space="preserve">   </w:t>
      </w:r>
      <w:r>
        <w:rPr>
          <w:rFonts w:ascii="Times New Roman" w:hAnsi="Times New Roman"/>
          <w:color w:val="auto"/>
          <w:sz w:val="21"/>
          <w:highlight w:val="none"/>
        </w:rPr>
        <w:t>日，向</w:t>
      </w:r>
      <w:r>
        <w:rPr>
          <w:rFonts w:ascii="Times New Roman" w:hAnsi="Times New Roman"/>
          <w:color w:val="auto"/>
          <w:sz w:val="21"/>
          <w:highlight w:val="none"/>
          <w:u w:val="single"/>
        </w:rPr>
        <w:t xml:space="preserve">                                </w:t>
      </w:r>
      <w:r>
        <w:rPr>
          <w:rFonts w:ascii="Times New Roman" w:hAnsi="Times New Roman"/>
          <w:color w:val="auto"/>
          <w:sz w:val="21"/>
          <w:highlight w:val="none"/>
        </w:rPr>
        <w:t>提出质疑，质疑事项为：</w:t>
      </w:r>
    </w:p>
    <w:p w14:paraId="3466CA71">
      <w:pPr>
        <w:pStyle w:val="17"/>
        <w:spacing w:line="360" w:lineRule="auto"/>
        <w:ind w:firstLine="241"/>
        <w:rPr>
          <w:rFonts w:ascii="Times New Roman" w:hAnsi="Times New Roman"/>
          <w:bCs/>
          <w:color w:val="auto"/>
          <w:sz w:val="21"/>
          <w:highlight w:val="none"/>
          <w:u w:val="single"/>
        </w:rPr>
      </w:pPr>
      <w:r>
        <w:rPr>
          <w:rFonts w:ascii="Times New Roman" w:hAnsi="Times New Roman"/>
          <w:color w:val="auto"/>
          <w:sz w:val="21"/>
          <w:highlight w:val="none"/>
        </w:rPr>
        <w:t xml:space="preserve">  </w:t>
      </w:r>
      <w:r>
        <w:rPr>
          <w:rFonts w:ascii="Times New Roman" w:hAnsi="Times New Roman"/>
          <w:bCs/>
          <w:color w:val="auto"/>
          <w:sz w:val="21"/>
          <w:highlight w:val="none"/>
          <w:u w:val="single"/>
        </w:rPr>
        <w:t xml:space="preserve">                                                                                      </w:t>
      </w:r>
    </w:p>
    <w:p w14:paraId="7942A10C">
      <w:pPr>
        <w:pStyle w:val="17"/>
        <w:spacing w:line="360" w:lineRule="auto"/>
        <w:ind w:firstLine="241"/>
        <w:rPr>
          <w:rFonts w:ascii="Times New Roman" w:hAnsi="Times New Roman"/>
          <w:bCs/>
          <w:color w:val="auto"/>
          <w:sz w:val="21"/>
          <w:highlight w:val="none"/>
          <w:u w:val="single"/>
        </w:rPr>
      </w:pPr>
      <w:r>
        <w:rPr>
          <w:rFonts w:ascii="Times New Roman" w:hAnsi="Times New Roman"/>
          <w:bCs/>
          <w:color w:val="auto"/>
          <w:sz w:val="21"/>
          <w:highlight w:val="none"/>
        </w:rPr>
        <w:t xml:space="preserve">  </w:t>
      </w:r>
      <w:r>
        <w:rPr>
          <w:rFonts w:ascii="Times New Roman" w:hAnsi="Times New Roman"/>
          <w:bCs/>
          <w:color w:val="auto"/>
          <w:sz w:val="21"/>
          <w:highlight w:val="none"/>
          <w:u w:val="single"/>
        </w:rPr>
        <w:t xml:space="preserve">                                                                                      </w:t>
      </w:r>
    </w:p>
    <w:p w14:paraId="6A53BC81">
      <w:pPr>
        <w:pStyle w:val="17"/>
        <w:spacing w:line="360" w:lineRule="auto"/>
        <w:ind w:firstLine="420" w:firstLineChars="200"/>
        <w:rPr>
          <w:rFonts w:ascii="Times New Roman" w:hAnsi="Times New Roman"/>
          <w:color w:val="auto"/>
          <w:sz w:val="21"/>
          <w:highlight w:val="none"/>
        </w:rPr>
      </w:pPr>
      <w:r>
        <w:rPr>
          <w:rFonts w:hint="eastAsia" w:ascii="Times New Roman" w:hAnsi="Times New Roman"/>
          <w:bCs/>
          <w:color w:val="auto"/>
          <w:sz w:val="21"/>
          <w:highlight w:val="none"/>
          <w:u w:val="single"/>
        </w:rPr>
        <w:t xml:space="preserve">   采</w:t>
      </w:r>
      <w:r>
        <w:rPr>
          <w:rFonts w:ascii="Times New Roman" w:hAnsi="Times New Roman"/>
          <w:bCs/>
          <w:color w:val="auto"/>
          <w:sz w:val="21"/>
          <w:highlight w:val="none"/>
          <w:u w:val="single"/>
        </w:rPr>
        <w:t>购人/代理机构</w:t>
      </w:r>
      <w:r>
        <w:rPr>
          <w:rFonts w:hint="eastAsia" w:ascii="Times New Roman" w:hAnsi="Times New Roman"/>
          <w:bCs/>
          <w:color w:val="auto"/>
          <w:sz w:val="21"/>
          <w:highlight w:val="none"/>
          <w:u w:val="single"/>
        </w:rPr>
        <w:t xml:space="preserve">   </w:t>
      </w:r>
      <w:r>
        <w:rPr>
          <w:rFonts w:ascii="Times New Roman" w:hAnsi="Times New Roman"/>
          <w:bCs/>
          <w:color w:val="auto"/>
          <w:sz w:val="21"/>
          <w:highlight w:val="none"/>
        </w:rPr>
        <w:t>于</w:t>
      </w:r>
      <w:r>
        <w:rPr>
          <w:rFonts w:ascii="Times New Roman" w:hAnsi="Times New Roman"/>
          <w:color w:val="auto"/>
          <w:sz w:val="21"/>
          <w:highlight w:val="none"/>
          <w:u w:val="single"/>
        </w:rPr>
        <w:t xml:space="preserve">    </w:t>
      </w:r>
      <w:r>
        <w:rPr>
          <w:rFonts w:hint="eastAsia" w:ascii="Times New Roman" w:hAnsi="Times New Roman"/>
          <w:color w:val="auto"/>
          <w:sz w:val="21"/>
          <w:highlight w:val="none"/>
          <w:u w:val="single"/>
        </w:rPr>
        <w:t xml:space="preserve"> </w:t>
      </w:r>
      <w:r>
        <w:rPr>
          <w:rFonts w:ascii="Times New Roman" w:hAnsi="Times New Roman"/>
          <w:color w:val="auto"/>
          <w:sz w:val="21"/>
          <w:highlight w:val="none"/>
          <w:u w:val="single"/>
        </w:rPr>
        <w:t xml:space="preserve">  </w:t>
      </w:r>
      <w:r>
        <w:rPr>
          <w:rFonts w:ascii="Times New Roman" w:hAnsi="Times New Roman"/>
          <w:color w:val="auto"/>
          <w:sz w:val="21"/>
          <w:highlight w:val="none"/>
        </w:rPr>
        <w:t>年</w:t>
      </w:r>
      <w:r>
        <w:rPr>
          <w:rFonts w:ascii="Times New Roman" w:hAnsi="Times New Roman"/>
          <w:color w:val="auto"/>
          <w:sz w:val="21"/>
          <w:highlight w:val="none"/>
          <w:u w:val="single"/>
        </w:rPr>
        <w:t xml:space="preserve"> </w:t>
      </w:r>
      <w:r>
        <w:rPr>
          <w:rFonts w:hint="eastAsia" w:ascii="Times New Roman" w:hAnsi="Times New Roman"/>
          <w:color w:val="auto"/>
          <w:sz w:val="21"/>
          <w:highlight w:val="none"/>
          <w:u w:val="single"/>
        </w:rPr>
        <w:t xml:space="preserve">   </w:t>
      </w:r>
      <w:r>
        <w:rPr>
          <w:rFonts w:ascii="Times New Roman" w:hAnsi="Times New Roman"/>
          <w:color w:val="auto"/>
          <w:sz w:val="21"/>
          <w:highlight w:val="none"/>
          <w:u w:val="single"/>
        </w:rPr>
        <w:t xml:space="preserve">  </w:t>
      </w:r>
      <w:r>
        <w:rPr>
          <w:rFonts w:ascii="Times New Roman" w:hAnsi="Times New Roman"/>
          <w:color w:val="auto"/>
          <w:sz w:val="21"/>
          <w:highlight w:val="none"/>
        </w:rPr>
        <w:t>月</w:t>
      </w:r>
      <w:r>
        <w:rPr>
          <w:rFonts w:ascii="Times New Roman" w:hAnsi="Times New Roman"/>
          <w:color w:val="auto"/>
          <w:sz w:val="21"/>
          <w:highlight w:val="none"/>
          <w:u w:val="single"/>
        </w:rPr>
        <w:t xml:space="preserve"> </w:t>
      </w:r>
      <w:r>
        <w:rPr>
          <w:rFonts w:hint="eastAsia" w:ascii="Times New Roman" w:hAnsi="Times New Roman"/>
          <w:color w:val="auto"/>
          <w:sz w:val="21"/>
          <w:highlight w:val="none"/>
          <w:u w:val="single"/>
        </w:rPr>
        <w:t xml:space="preserve">  </w:t>
      </w:r>
      <w:r>
        <w:rPr>
          <w:rFonts w:ascii="Times New Roman" w:hAnsi="Times New Roman"/>
          <w:color w:val="auto"/>
          <w:sz w:val="21"/>
          <w:highlight w:val="none"/>
          <w:u w:val="single"/>
        </w:rPr>
        <w:t xml:space="preserve">  </w:t>
      </w:r>
      <w:r>
        <w:rPr>
          <w:rFonts w:ascii="Times New Roman" w:hAnsi="Times New Roman"/>
          <w:color w:val="auto"/>
          <w:sz w:val="21"/>
          <w:highlight w:val="none"/>
        </w:rPr>
        <w:t>日，</w:t>
      </w:r>
      <w:r>
        <w:rPr>
          <w:rFonts w:ascii="Times New Roman" w:hAnsi="Times New Roman"/>
          <w:bCs/>
          <w:color w:val="auto"/>
          <w:sz w:val="21"/>
          <w:highlight w:val="none"/>
        </w:rPr>
        <w:t xml:space="preserve">就质疑事项作出了答复/没有在法定期限内作出答复。                                                                                             </w:t>
      </w:r>
    </w:p>
    <w:p w14:paraId="325A4D5B">
      <w:pPr>
        <w:pStyle w:val="17"/>
        <w:spacing w:before="120" w:after="120" w:line="360" w:lineRule="auto"/>
        <w:ind w:left="25" w:leftChars="12" w:firstLine="413" w:firstLineChars="196"/>
        <w:rPr>
          <w:rFonts w:ascii="Times New Roman" w:hAnsi="Times New Roman"/>
          <w:b/>
          <w:color w:val="auto"/>
          <w:sz w:val="21"/>
          <w:highlight w:val="none"/>
        </w:rPr>
      </w:pPr>
      <w:r>
        <w:rPr>
          <w:rFonts w:ascii="Times New Roman" w:hAnsi="Times New Roman"/>
          <w:b/>
          <w:color w:val="auto"/>
          <w:sz w:val="21"/>
          <w:highlight w:val="none"/>
        </w:rPr>
        <w:t>四、投诉事项具体内容</w:t>
      </w:r>
    </w:p>
    <w:p w14:paraId="622254EF">
      <w:pPr>
        <w:pStyle w:val="17"/>
        <w:spacing w:line="360" w:lineRule="auto"/>
        <w:ind w:left="25" w:leftChars="12" w:firstLine="413" w:firstLineChars="197"/>
        <w:rPr>
          <w:rFonts w:ascii="Times New Roman" w:hAnsi="Times New Roman"/>
          <w:bCs/>
          <w:color w:val="auto"/>
          <w:sz w:val="21"/>
          <w:highlight w:val="none"/>
          <w:u w:val="single"/>
        </w:rPr>
      </w:pPr>
      <w:r>
        <w:rPr>
          <w:rFonts w:ascii="Times New Roman" w:hAnsi="Times New Roman"/>
          <w:color w:val="auto"/>
          <w:sz w:val="21"/>
          <w:highlight w:val="none"/>
        </w:rPr>
        <w:t>投诉事项1：</w:t>
      </w:r>
      <w:r>
        <w:rPr>
          <w:rFonts w:ascii="Times New Roman" w:hAnsi="Times New Roman"/>
          <w:bCs/>
          <w:color w:val="auto"/>
          <w:sz w:val="21"/>
          <w:highlight w:val="none"/>
          <w:u w:val="single"/>
        </w:rPr>
        <w:t xml:space="preserve">                                                                           </w:t>
      </w:r>
    </w:p>
    <w:p w14:paraId="497C5E27">
      <w:pPr>
        <w:pStyle w:val="17"/>
        <w:spacing w:line="360" w:lineRule="auto"/>
        <w:ind w:firstLine="420" w:firstLineChars="200"/>
        <w:rPr>
          <w:rFonts w:ascii="Times New Roman" w:hAnsi="Times New Roman"/>
          <w:bCs/>
          <w:color w:val="auto"/>
          <w:sz w:val="21"/>
          <w:highlight w:val="none"/>
          <w:u w:val="single"/>
        </w:rPr>
      </w:pPr>
      <w:r>
        <w:rPr>
          <w:rFonts w:ascii="Times New Roman" w:hAnsi="Times New Roman"/>
          <w:bCs/>
          <w:color w:val="auto"/>
          <w:sz w:val="21"/>
          <w:highlight w:val="none"/>
        </w:rPr>
        <w:t>事实依据：</w:t>
      </w:r>
      <w:r>
        <w:rPr>
          <w:rFonts w:ascii="Times New Roman" w:hAnsi="Times New Roman"/>
          <w:color w:val="auto"/>
          <w:sz w:val="21"/>
          <w:highlight w:val="none"/>
        </w:rPr>
        <w:t xml:space="preserve"> </w:t>
      </w:r>
      <w:r>
        <w:rPr>
          <w:rFonts w:ascii="Times New Roman" w:hAnsi="Times New Roman"/>
          <w:bCs/>
          <w:color w:val="auto"/>
          <w:sz w:val="21"/>
          <w:highlight w:val="none"/>
          <w:u w:val="single"/>
        </w:rPr>
        <w:t xml:space="preserve">                                                                                      </w:t>
      </w:r>
    </w:p>
    <w:p w14:paraId="34B9278A">
      <w:pPr>
        <w:pStyle w:val="17"/>
        <w:spacing w:line="360" w:lineRule="auto"/>
        <w:ind w:left="25" w:leftChars="12" w:firstLine="413" w:firstLineChars="197"/>
        <w:rPr>
          <w:rFonts w:ascii="Times New Roman" w:hAnsi="Times New Roman"/>
          <w:color w:val="auto"/>
          <w:sz w:val="21"/>
          <w:highlight w:val="none"/>
        </w:rPr>
      </w:pPr>
      <w:r>
        <w:rPr>
          <w:rFonts w:ascii="Times New Roman" w:hAnsi="Times New Roman"/>
          <w:bCs/>
          <w:color w:val="auto"/>
          <w:sz w:val="21"/>
          <w:highlight w:val="none"/>
          <w:u w:val="single"/>
        </w:rPr>
        <w:t xml:space="preserve">                                                                                        </w:t>
      </w:r>
    </w:p>
    <w:p w14:paraId="7CAFC1A7">
      <w:pPr>
        <w:pStyle w:val="17"/>
        <w:spacing w:line="360" w:lineRule="auto"/>
        <w:ind w:firstLine="420" w:firstLineChars="200"/>
        <w:rPr>
          <w:rFonts w:ascii="Times New Roman" w:hAnsi="Times New Roman"/>
          <w:bCs/>
          <w:color w:val="auto"/>
          <w:sz w:val="21"/>
          <w:highlight w:val="none"/>
          <w:u w:val="single"/>
        </w:rPr>
      </w:pPr>
      <w:r>
        <w:rPr>
          <w:rFonts w:ascii="Times New Roman" w:hAnsi="Times New Roman"/>
          <w:bCs/>
          <w:color w:val="auto"/>
          <w:sz w:val="21"/>
          <w:highlight w:val="none"/>
        </w:rPr>
        <w:t>法律依据：</w:t>
      </w:r>
      <w:r>
        <w:rPr>
          <w:rFonts w:ascii="Times New Roman" w:hAnsi="Times New Roman"/>
          <w:color w:val="auto"/>
          <w:sz w:val="21"/>
          <w:highlight w:val="none"/>
        </w:rPr>
        <w:t xml:space="preserve"> </w:t>
      </w:r>
      <w:r>
        <w:rPr>
          <w:rFonts w:ascii="Times New Roman" w:hAnsi="Times New Roman"/>
          <w:bCs/>
          <w:color w:val="auto"/>
          <w:sz w:val="21"/>
          <w:highlight w:val="none"/>
          <w:u w:val="single"/>
        </w:rPr>
        <w:t xml:space="preserve">                                                                                      </w:t>
      </w:r>
    </w:p>
    <w:p w14:paraId="2A9E4C6D">
      <w:pPr>
        <w:pStyle w:val="17"/>
        <w:spacing w:line="360" w:lineRule="auto"/>
        <w:ind w:left="25" w:leftChars="12" w:firstLine="308" w:firstLineChars="147"/>
        <w:rPr>
          <w:rFonts w:ascii="Times New Roman" w:hAnsi="Times New Roman"/>
          <w:bCs/>
          <w:color w:val="auto"/>
          <w:sz w:val="21"/>
          <w:highlight w:val="none"/>
          <w:u w:val="single"/>
        </w:rPr>
      </w:pPr>
      <w:r>
        <w:rPr>
          <w:rFonts w:ascii="Times New Roman" w:hAnsi="Times New Roman"/>
          <w:bCs/>
          <w:color w:val="auto"/>
          <w:sz w:val="21"/>
          <w:highlight w:val="none"/>
        </w:rPr>
        <w:t xml:space="preserve"> </w:t>
      </w:r>
      <w:r>
        <w:rPr>
          <w:rFonts w:ascii="Times New Roman" w:hAnsi="Times New Roman"/>
          <w:bCs/>
          <w:color w:val="auto"/>
          <w:sz w:val="21"/>
          <w:highlight w:val="none"/>
          <w:u w:val="single"/>
        </w:rPr>
        <w:t xml:space="preserve">                                                                                        </w:t>
      </w:r>
    </w:p>
    <w:p w14:paraId="054B7135">
      <w:pPr>
        <w:pStyle w:val="17"/>
        <w:spacing w:line="360" w:lineRule="auto"/>
        <w:ind w:left="25" w:leftChars="12" w:firstLine="413" w:firstLineChars="197"/>
        <w:rPr>
          <w:rFonts w:ascii="Times New Roman" w:hAnsi="Times New Roman"/>
          <w:bCs/>
          <w:color w:val="auto"/>
          <w:sz w:val="21"/>
          <w:highlight w:val="none"/>
        </w:rPr>
      </w:pPr>
      <w:r>
        <w:rPr>
          <w:rFonts w:ascii="Times New Roman" w:hAnsi="Times New Roman"/>
          <w:color w:val="auto"/>
          <w:sz w:val="21"/>
          <w:highlight w:val="none"/>
        </w:rPr>
        <w:t xml:space="preserve">投诉事项2  </w:t>
      </w:r>
      <w:r>
        <w:rPr>
          <w:rFonts w:ascii="Times New Roman" w:hAnsi="Times New Roman"/>
          <w:bCs/>
          <w:color w:val="auto"/>
          <w:sz w:val="21"/>
          <w:highlight w:val="none"/>
        </w:rPr>
        <w:t xml:space="preserve">   </w:t>
      </w:r>
    </w:p>
    <w:p w14:paraId="5023E510">
      <w:pPr>
        <w:pStyle w:val="17"/>
        <w:spacing w:line="360" w:lineRule="auto"/>
        <w:ind w:left="25" w:leftChars="12" w:firstLine="413" w:firstLineChars="197"/>
        <w:rPr>
          <w:rFonts w:ascii="Times New Roman" w:hAnsi="Times New Roman"/>
          <w:bCs/>
          <w:color w:val="auto"/>
          <w:sz w:val="21"/>
          <w:highlight w:val="none"/>
        </w:rPr>
      </w:pPr>
      <w:r>
        <w:rPr>
          <w:rFonts w:ascii="Times New Roman" w:hAnsi="Times New Roman"/>
          <w:bCs/>
          <w:color w:val="auto"/>
          <w:sz w:val="21"/>
          <w:highlight w:val="none"/>
        </w:rPr>
        <w:t>……</w:t>
      </w:r>
    </w:p>
    <w:p w14:paraId="0DB629EF">
      <w:pPr>
        <w:pStyle w:val="17"/>
        <w:spacing w:line="360" w:lineRule="auto"/>
        <w:ind w:left="25" w:leftChars="12" w:firstLine="413" w:firstLineChars="196"/>
        <w:rPr>
          <w:rFonts w:ascii="Times New Roman" w:hAnsi="Times New Roman"/>
          <w:b/>
          <w:color w:val="auto"/>
          <w:sz w:val="21"/>
          <w:highlight w:val="none"/>
        </w:rPr>
      </w:pPr>
      <w:r>
        <w:rPr>
          <w:rFonts w:ascii="Times New Roman" w:hAnsi="Times New Roman"/>
          <w:b/>
          <w:color w:val="auto"/>
          <w:sz w:val="21"/>
          <w:highlight w:val="none"/>
        </w:rPr>
        <w:t>五、与投诉事项相关的投诉请求：</w:t>
      </w:r>
    </w:p>
    <w:p w14:paraId="21E732CB">
      <w:pPr>
        <w:pStyle w:val="17"/>
        <w:spacing w:line="360" w:lineRule="auto"/>
        <w:ind w:left="25" w:leftChars="12" w:firstLine="413" w:firstLineChars="197"/>
        <w:rPr>
          <w:rFonts w:ascii="Times New Roman" w:hAnsi="Times New Roman"/>
          <w:color w:val="auto"/>
          <w:sz w:val="21"/>
          <w:highlight w:val="none"/>
        </w:rPr>
      </w:pPr>
      <w:r>
        <w:rPr>
          <w:rFonts w:ascii="Times New Roman" w:hAnsi="Times New Roman"/>
          <w:color w:val="auto"/>
          <w:sz w:val="21"/>
          <w:highlight w:val="none"/>
        </w:rPr>
        <w:t>请求：</w:t>
      </w:r>
      <w:r>
        <w:rPr>
          <w:rFonts w:ascii="Times New Roman" w:hAnsi="Times New Roman"/>
          <w:bCs/>
          <w:color w:val="auto"/>
          <w:sz w:val="21"/>
          <w:highlight w:val="none"/>
          <w:u w:val="single"/>
        </w:rPr>
        <w:t xml:space="preserve">                                                                                 </w:t>
      </w:r>
    </w:p>
    <w:p w14:paraId="54A257AD">
      <w:pPr>
        <w:pStyle w:val="17"/>
        <w:spacing w:line="360" w:lineRule="auto"/>
        <w:ind w:left="25" w:leftChars="12" w:firstLine="308" w:firstLineChars="147"/>
        <w:rPr>
          <w:rFonts w:ascii="Times New Roman" w:hAnsi="Times New Roman"/>
          <w:color w:val="auto"/>
          <w:sz w:val="21"/>
          <w:highlight w:val="none"/>
        </w:rPr>
      </w:pPr>
    </w:p>
    <w:p w14:paraId="56D3B715">
      <w:pPr>
        <w:pStyle w:val="17"/>
        <w:spacing w:line="360" w:lineRule="auto"/>
        <w:ind w:left="25" w:leftChars="12" w:firstLine="413" w:firstLineChars="197"/>
        <w:rPr>
          <w:rFonts w:ascii="Times New Roman" w:hAnsi="Times New Roman"/>
          <w:color w:val="auto"/>
          <w:sz w:val="21"/>
          <w:highlight w:val="none"/>
        </w:rPr>
      </w:pPr>
      <w:r>
        <w:rPr>
          <w:rFonts w:ascii="Times New Roman" w:hAnsi="Times New Roman"/>
          <w:color w:val="auto"/>
          <w:sz w:val="21"/>
          <w:highlight w:val="none"/>
        </w:rPr>
        <w:t>签字（签章）：                                       公章：</w:t>
      </w:r>
    </w:p>
    <w:p w14:paraId="4DA72EED">
      <w:pPr>
        <w:pStyle w:val="17"/>
        <w:spacing w:line="360" w:lineRule="auto"/>
        <w:ind w:left="25" w:leftChars="12" w:firstLine="308" w:firstLineChars="147"/>
        <w:rPr>
          <w:rFonts w:ascii="Times New Roman" w:hAnsi="Times New Roman"/>
          <w:color w:val="auto"/>
          <w:sz w:val="21"/>
          <w:highlight w:val="none"/>
        </w:rPr>
      </w:pPr>
    </w:p>
    <w:p w14:paraId="3A2AFAEB">
      <w:pPr>
        <w:pStyle w:val="17"/>
        <w:spacing w:line="360" w:lineRule="auto"/>
        <w:ind w:left="25" w:leftChars="12" w:firstLine="413" w:firstLineChars="197"/>
        <w:rPr>
          <w:rFonts w:ascii="Times New Roman" w:hAnsi="Times New Roman"/>
          <w:color w:val="auto"/>
          <w:sz w:val="21"/>
          <w:highlight w:val="none"/>
        </w:rPr>
      </w:pPr>
      <w:r>
        <w:rPr>
          <w:rFonts w:ascii="Times New Roman" w:hAnsi="Times New Roman"/>
          <w:color w:val="auto"/>
          <w:sz w:val="21"/>
          <w:highlight w:val="none"/>
        </w:rPr>
        <w:t>日期：</w:t>
      </w:r>
    </w:p>
    <w:p w14:paraId="059D5784">
      <w:pPr>
        <w:pStyle w:val="17"/>
        <w:spacing w:line="360" w:lineRule="auto"/>
        <w:ind w:left="25" w:leftChars="12" w:firstLine="413" w:firstLineChars="197"/>
        <w:rPr>
          <w:rFonts w:ascii="Times New Roman" w:hAnsi="Times New Roman"/>
          <w:color w:val="auto"/>
          <w:sz w:val="21"/>
          <w:highlight w:val="none"/>
        </w:rPr>
      </w:pPr>
      <w:r>
        <w:rPr>
          <w:rFonts w:ascii="Times New Roman" w:hAnsi="Times New Roman"/>
          <w:bCs/>
          <w:color w:val="auto"/>
          <w:sz w:val="21"/>
          <w:highlight w:val="none"/>
        </w:rPr>
        <w:t xml:space="preserve">                                                                                 </w:t>
      </w:r>
    </w:p>
    <w:p w14:paraId="4FB813DE">
      <w:pPr>
        <w:pStyle w:val="17"/>
        <w:snapToGrid w:val="0"/>
        <w:spacing w:line="360" w:lineRule="auto"/>
        <w:rPr>
          <w:rFonts w:ascii="Times New Roman" w:hAnsi="Times New Roman"/>
          <w:b/>
          <w:color w:val="auto"/>
          <w:sz w:val="21"/>
          <w:highlight w:val="none"/>
        </w:rPr>
      </w:pPr>
    </w:p>
    <w:p w14:paraId="2A6AA7C3">
      <w:pPr>
        <w:pStyle w:val="17"/>
        <w:snapToGrid w:val="0"/>
        <w:spacing w:line="360" w:lineRule="auto"/>
        <w:rPr>
          <w:rFonts w:ascii="Times New Roman" w:hAnsi="Times New Roman"/>
          <w:b/>
          <w:color w:val="auto"/>
          <w:sz w:val="21"/>
          <w:highlight w:val="none"/>
        </w:rPr>
      </w:pPr>
      <w:r>
        <w:rPr>
          <w:rFonts w:ascii="Times New Roman" w:hAnsi="Times New Roman"/>
          <w:b/>
          <w:color w:val="auto"/>
          <w:sz w:val="21"/>
          <w:highlight w:val="none"/>
        </w:rPr>
        <w:t>说明：</w:t>
      </w:r>
    </w:p>
    <w:p w14:paraId="0C2FB948">
      <w:pPr>
        <w:pStyle w:val="17"/>
        <w:spacing w:line="360" w:lineRule="auto"/>
        <w:ind w:left="25" w:leftChars="12" w:firstLine="310" w:firstLineChars="147"/>
        <w:rPr>
          <w:rFonts w:ascii="Times New Roman" w:hAnsi="Times New Roman"/>
          <w:b/>
          <w:bCs/>
          <w:color w:val="auto"/>
          <w:sz w:val="21"/>
          <w:highlight w:val="none"/>
        </w:rPr>
      </w:pPr>
      <w:r>
        <w:rPr>
          <w:rFonts w:ascii="Times New Roman" w:hAnsi="Times New Roman"/>
          <w:b/>
          <w:color w:val="auto"/>
          <w:sz w:val="21"/>
          <w:highlight w:val="none"/>
        </w:rPr>
        <w:t>1</w:t>
      </w:r>
      <w:r>
        <w:rPr>
          <w:rFonts w:ascii="Times New Roman" w:hAnsi="Times New Roman"/>
          <w:color w:val="auto"/>
          <w:sz w:val="21"/>
          <w:highlight w:val="none"/>
        </w:rPr>
        <w:t>．</w:t>
      </w:r>
      <w:r>
        <w:rPr>
          <w:rFonts w:ascii="Times New Roman" w:hAnsi="Times New Roman"/>
          <w:b/>
          <w:color w:val="auto"/>
          <w:sz w:val="21"/>
          <w:highlight w:val="none"/>
        </w:rPr>
        <w:t>投诉人提起投诉时，应当提交投诉书和必要的证明材料，并按照被投诉人和与投诉事项有关的供应商数量提供投诉书副本</w:t>
      </w:r>
      <w:r>
        <w:rPr>
          <w:rFonts w:ascii="Times New Roman" w:hAnsi="Times New Roman"/>
          <w:b/>
          <w:bCs/>
          <w:color w:val="auto"/>
          <w:sz w:val="21"/>
          <w:highlight w:val="none"/>
        </w:rPr>
        <w:t>。</w:t>
      </w:r>
    </w:p>
    <w:p w14:paraId="63A926B2">
      <w:pPr>
        <w:pStyle w:val="17"/>
        <w:spacing w:line="360" w:lineRule="auto"/>
        <w:ind w:left="25" w:leftChars="12" w:firstLine="310" w:firstLineChars="147"/>
        <w:rPr>
          <w:rFonts w:ascii="Times New Roman" w:hAnsi="Times New Roman"/>
          <w:b/>
          <w:color w:val="auto"/>
          <w:sz w:val="21"/>
          <w:highlight w:val="none"/>
        </w:rPr>
      </w:pPr>
      <w:r>
        <w:rPr>
          <w:rFonts w:ascii="Times New Roman" w:hAnsi="Times New Roman"/>
          <w:b/>
          <w:color w:val="auto"/>
          <w:sz w:val="21"/>
          <w:highlight w:val="none"/>
        </w:rPr>
        <w:t>2</w:t>
      </w:r>
      <w:r>
        <w:rPr>
          <w:rFonts w:ascii="Times New Roman" w:hAnsi="Times New Roman"/>
          <w:color w:val="auto"/>
          <w:sz w:val="21"/>
          <w:highlight w:val="none"/>
        </w:rPr>
        <w:t>．</w:t>
      </w:r>
      <w:r>
        <w:rPr>
          <w:rFonts w:ascii="Times New Roman" w:hAnsi="Times New Roman"/>
          <w:b/>
          <w:color w:val="auto"/>
          <w:sz w:val="21"/>
          <w:highlight w:val="none"/>
        </w:rPr>
        <w:t>投诉人若委托代理人进行投诉的，投诉书应按要求列明“授权代表”的有关内容，并在附件中提交由投诉人签署的授权委托书。授权委托书应当载明代理人的姓名或者名称、代理事项、具体权限、期限和相关事项。</w:t>
      </w:r>
    </w:p>
    <w:p w14:paraId="799281CA">
      <w:pPr>
        <w:pStyle w:val="17"/>
        <w:spacing w:line="360" w:lineRule="auto"/>
        <w:ind w:left="25" w:leftChars="12" w:firstLine="310" w:firstLineChars="147"/>
        <w:rPr>
          <w:rFonts w:ascii="Times New Roman" w:hAnsi="Times New Roman"/>
          <w:b/>
          <w:color w:val="auto"/>
          <w:sz w:val="21"/>
          <w:highlight w:val="none"/>
        </w:rPr>
      </w:pPr>
      <w:r>
        <w:rPr>
          <w:rFonts w:ascii="Times New Roman" w:hAnsi="Times New Roman"/>
          <w:b/>
          <w:color w:val="auto"/>
          <w:sz w:val="21"/>
          <w:highlight w:val="none"/>
        </w:rPr>
        <w:t>3</w:t>
      </w:r>
      <w:r>
        <w:rPr>
          <w:rFonts w:ascii="Times New Roman" w:hAnsi="Times New Roman"/>
          <w:color w:val="auto"/>
          <w:sz w:val="21"/>
          <w:highlight w:val="none"/>
        </w:rPr>
        <w:t>．</w:t>
      </w:r>
      <w:r>
        <w:rPr>
          <w:rFonts w:ascii="Times New Roman" w:hAnsi="Times New Roman"/>
          <w:b/>
          <w:color w:val="auto"/>
          <w:sz w:val="21"/>
          <w:highlight w:val="none"/>
        </w:rPr>
        <w:t>投诉书应简要列明质疑事项，质疑函、质疑答复等作为附件材料提供。</w:t>
      </w:r>
    </w:p>
    <w:p w14:paraId="348B05F3">
      <w:pPr>
        <w:pStyle w:val="17"/>
        <w:spacing w:line="360" w:lineRule="auto"/>
        <w:ind w:left="25" w:leftChars="12" w:firstLine="310" w:firstLineChars="147"/>
        <w:rPr>
          <w:rFonts w:ascii="Times New Roman" w:hAnsi="Times New Roman"/>
          <w:b/>
          <w:color w:val="auto"/>
          <w:sz w:val="21"/>
          <w:highlight w:val="none"/>
        </w:rPr>
      </w:pPr>
      <w:r>
        <w:rPr>
          <w:rFonts w:ascii="Times New Roman" w:hAnsi="Times New Roman"/>
          <w:b/>
          <w:color w:val="auto"/>
          <w:sz w:val="21"/>
          <w:highlight w:val="none"/>
        </w:rPr>
        <w:t>4</w:t>
      </w:r>
      <w:r>
        <w:rPr>
          <w:rFonts w:ascii="Times New Roman" w:hAnsi="Times New Roman"/>
          <w:color w:val="auto"/>
          <w:sz w:val="21"/>
          <w:highlight w:val="none"/>
        </w:rPr>
        <w:t>．</w:t>
      </w:r>
      <w:r>
        <w:rPr>
          <w:rFonts w:ascii="Times New Roman" w:hAnsi="Times New Roman"/>
          <w:b/>
          <w:color w:val="auto"/>
          <w:sz w:val="21"/>
          <w:highlight w:val="none"/>
        </w:rPr>
        <w:t>投诉书的投诉事项应具体、明确，并有必要的事实依据和法律依据。</w:t>
      </w:r>
    </w:p>
    <w:p w14:paraId="0B5E46C3">
      <w:pPr>
        <w:pStyle w:val="17"/>
        <w:spacing w:line="360" w:lineRule="auto"/>
        <w:ind w:left="25" w:leftChars="12" w:firstLine="310" w:firstLineChars="147"/>
        <w:rPr>
          <w:rFonts w:ascii="Times New Roman" w:hAnsi="Times New Roman"/>
          <w:b/>
          <w:color w:val="auto"/>
          <w:sz w:val="21"/>
          <w:highlight w:val="none"/>
        </w:rPr>
      </w:pPr>
      <w:r>
        <w:rPr>
          <w:rFonts w:ascii="Times New Roman" w:hAnsi="Times New Roman"/>
          <w:b/>
          <w:color w:val="auto"/>
          <w:sz w:val="21"/>
          <w:highlight w:val="none"/>
        </w:rPr>
        <w:t>5</w:t>
      </w:r>
      <w:r>
        <w:rPr>
          <w:rFonts w:ascii="Times New Roman" w:hAnsi="Times New Roman"/>
          <w:color w:val="auto"/>
          <w:sz w:val="21"/>
          <w:highlight w:val="none"/>
        </w:rPr>
        <w:t>．</w:t>
      </w:r>
      <w:r>
        <w:rPr>
          <w:rFonts w:ascii="Times New Roman" w:hAnsi="Times New Roman"/>
          <w:b/>
          <w:color w:val="auto"/>
          <w:sz w:val="21"/>
          <w:highlight w:val="none"/>
        </w:rPr>
        <w:t>投诉书的投诉请求应与投诉事项相关。</w:t>
      </w:r>
    </w:p>
    <w:p w14:paraId="14D79167">
      <w:pPr>
        <w:pStyle w:val="17"/>
        <w:spacing w:line="360" w:lineRule="auto"/>
        <w:ind w:left="25" w:leftChars="12" w:firstLine="310" w:firstLineChars="147"/>
        <w:rPr>
          <w:rFonts w:ascii="Times New Roman" w:hAnsi="Times New Roman"/>
          <w:b/>
          <w:color w:val="auto"/>
          <w:sz w:val="21"/>
          <w:highlight w:val="none"/>
        </w:rPr>
      </w:pPr>
      <w:r>
        <w:rPr>
          <w:rFonts w:ascii="Times New Roman" w:hAnsi="Times New Roman"/>
          <w:b/>
          <w:color w:val="auto"/>
          <w:sz w:val="21"/>
          <w:highlight w:val="none"/>
        </w:rPr>
        <w:t>6</w:t>
      </w:r>
      <w:r>
        <w:rPr>
          <w:rFonts w:ascii="Times New Roman" w:hAnsi="Times New Roman"/>
          <w:color w:val="auto"/>
          <w:sz w:val="21"/>
          <w:highlight w:val="none"/>
        </w:rPr>
        <w:t>．</w:t>
      </w:r>
      <w:r>
        <w:rPr>
          <w:rFonts w:ascii="Times New Roman" w:hAnsi="Times New Roman"/>
          <w:b/>
          <w:color w:val="auto"/>
          <w:sz w:val="21"/>
          <w:highlight w:val="none"/>
        </w:rPr>
        <w:t>投诉人为法人或者其他组织的，投诉书应由法定代表人、主要负责人，或者其授权代表签字或者盖章，并加盖公章。</w:t>
      </w:r>
    </w:p>
    <w:p w14:paraId="345F284A">
      <w:pPr>
        <w:pStyle w:val="5"/>
        <w:rPr>
          <w:rFonts w:ascii="Times New Roman" w:hAnsi="Times New Roman"/>
          <w:color w:val="auto"/>
          <w:sz w:val="21"/>
          <w:szCs w:val="21"/>
          <w:highlight w:val="none"/>
        </w:rPr>
      </w:pPr>
    </w:p>
    <w:sectPr>
      <w:headerReference r:id="rId13" w:type="first"/>
      <w:footerReference r:id="rId15" w:type="first"/>
      <w:footerReference r:id="rId14" w:type="default"/>
      <w:pgSz w:w="11906" w:h="16838"/>
      <w:pgMar w:top="1134" w:right="1134" w:bottom="1134" w:left="1304" w:header="397" w:footer="51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C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F79E4">
    <w:pPr>
      <w:tabs>
        <w:tab w:val="center" w:pos="4337"/>
        <w:tab w:val="right" w:pos="8848"/>
      </w:tabs>
      <w:spacing w:line="259" w:lineRule="auto"/>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Quad Arrow 5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FB5938">
                          <w:pPr>
                            <w:pStyle w:val="21"/>
                          </w:pPr>
                          <w:r>
                            <w:fldChar w:fldCharType="begin"/>
                          </w:r>
                          <w:r>
                            <w:instrText xml:space="preserve"> PAGE  \* MERGEFORMAT </w:instrText>
                          </w:r>
                          <w:r>
                            <w:fldChar w:fldCharType="separate"/>
                          </w:r>
                          <w:r>
                            <w:t>22</w:t>
                          </w:r>
                          <w:r>
                            <w:fldChar w:fldCharType="end"/>
                          </w:r>
                        </w:p>
                      </w:txbxContent>
                    </wps:txbx>
                    <wps:bodyPr wrap="none" lIns="0" tIns="0" rIns="0" bIns="0" upright="1">
                      <a:spAutoFit/>
                    </wps:bodyPr>
                  </wps:wsp>
                </a:graphicData>
              </a:graphic>
            </wp:anchor>
          </w:drawing>
        </mc:Choice>
        <mc:Fallback>
          <w:pict>
            <v:shape id="Quad Arrow 512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zhgjPwAEAAJ0DAAAOAAAAAAAAAAEAIAAAAB4BAABkcnMvZTJvRG9jLnhtbFBLBQYA&#10;AAAABgAGAFkBAABQBQAAAAA=&#10;">
              <v:fill on="f" focussize="0,0"/>
              <v:stroke on="f"/>
              <v:imagedata o:title=""/>
              <o:lock v:ext="edit" aspectratio="f"/>
              <v:textbox inset="0mm,0mm,0mm,0mm" style="mso-fit-shape-to-text:t;">
                <w:txbxContent>
                  <w:p w14:paraId="1BFB5938">
                    <w:pPr>
                      <w:pStyle w:val="21"/>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353FF">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46298">
    <w:pPr>
      <w:pStyle w:val="21"/>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Quad Arrow 5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D47468">
                          <w:pPr>
                            <w:pStyle w:val="21"/>
                          </w:pPr>
                        </w:p>
                      </w:txbxContent>
                    </wps:txbx>
                    <wps:bodyPr wrap="none" lIns="0" tIns="0" rIns="0" bIns="0" upright="1">
                      <a:spAutoFit/>
                    </wps:bodyPr>
                  </wps:wsp>
                </a:graphicData>
              </a:graphic>
            </wp:anchor>
          </w:drawing>
        </mc:Choice>
        <mc:Fallback>
          <w:pict>
            <v:shape id="Quad Arrow 51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OqXm5zwAAAAUBAAAPAAAAAAAAAAEAIAAAACIAAABkcnMvZG93bnJldi54bWxQSwECFAAUAAAA&#10;CACHTuJAYOpgpr4BAACdAwAADgAAAAAAAAABACAAAAAeAQAAZHJzL2Uyb0RvYy54bWxQSwUGAAAA&#10;AAYABgBZAQAATgUAAAAA&#10;">
              <v:fill on="f" focussize="0,0"/>
              <v:stroke on="f"/>
              <v:imagedata o:title=""/>
              <o:lock v:ext="edit" aspectratio="f"/>
              <v:textbox inset="0mm,0mm,0mm,0mm" style="mso-fit-shape-to-text:t;">
                <w:txbxContent>
                  <w:p w14:paraId="45D47468">
                    <w:pPr>
                      <w:pStyle w:val="21"/>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F197F">
    <w:pPr>
      <w:pStyle w:val="21"/>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Quad Arrow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CF4473">
                          <w:pPr>
                            <w:pStyle w:val="21"/>
                          </w:pPr>
                          <w:r>
                            <w:fldChar w:fldCharType="begin"/>
                          </w:r>
                          <w:r>
                            <w:instrText xml:space="preserve"> PAGE  \* MERGEFORMAT </w:instrText>
                          </w:r>
                          <w:r>
                            <w:fldChar w:fldCharType="separate"/>
                          </w:r>
                          <w:r>
                            <w:t>5</w:t>
                          </w:r>
                          <w:r>
                            <w:fldChar w:fldCharType="end"/>
                          </w:r>
                        </w:p>
                      </w:txbxContent>
                    </wps:txbx>
                    <wps:bodyPr wrap="none" lIns="0" tIns="0" rIns="0" bIns="0" upright="1">
                      <a:spAutoFit/>
                    </wps:bodyPr>
                  </wps:wsp>
                </a:graphicData>
              </a:graphic>
            </wp:anchor>
          </w:drawing>
        </mc:Choice>
        <mc:Fallback>
          <w:pict>
            <v:shape id="Quad Arrow 512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VvtSMwAEAAJ0DAAAOAAAAAAAAAAEAIAAAAB4BAABkcnMvZTJvRG9jLnhtbFBLBQYA&#10;AAAABgAGAFkBAABQBQAAAAA=&#10;">
              <v:fill on="f" focussize="0,0"/>
              <v:stroke on="f"/>
              <v:imagedata o:title=""/>
              <o:lock v:ext="edit" aspectratio="f"/>
              <v:textbox inset="0mm,0mm,0mm,0mm" style="mso-fit-shape-to-text:t;">
                <w:txbxContent>
                  <w:p w14:paraId="68CF4473">
                    <w:pPr>
                      <w:pStyle w:val="21"/>
                    </w:pPr>
                    <w:r>
                      <w:fldChar w:fldCharType="begin"/>
                    </w:r>
                    <w:r>
                      <w:instrText xml:space="preserve"> PAGE  \* MERGEFORMAT </w:instrText>
                    </w:r>
                    <w:r>
                      <w:fldChar w:fldCharType="separate"/>
                    </w:r>
                    <w:r>
                      <w:t>5</w:t>
                    </w:r>
                    <w:r>
                      <w:fldChar w:fldCharType="end"/>
                    </w:r>
                  </w:p>
                </w:txbxContent>
              </v:textbox>
            </v:shape>
          </w:pict>
        </mc:Fallback>
      </mc:AlternateContent>
    </w:r>
  </w:p>
  <w:p w14:paraId="0F8F9B49">
    <w:pPr>
      <w:pStyle w:val="2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780F6">
    <w:pPr>
      <w:pStyle w:val="21"/>
      <w:tabs>
        <w:tab w:val="center" w:pos="4439"/>
        <w:tab w:val="clear" w:pos="4153"/>
      </w:tabs>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Quad Arrow 5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936432">
                          <w:pPr>
                            <w:pStyle w:val="21"/>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Quad Arrow 512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ARfCixwAEAAJ0DAAAOAAAAAAAAAAEAIAAAAB4BAABkcnMvZTJvRG9jLnhtbFBLBQYA&#10;AAAABgAGAFkBAABQBQAAAAA=&#10;">
              <v:fill on="f" focussize="0,0"/>
              <v:stroke on="f"/>
              <v:imagedata o:title=""/>
              <o:lock v:ext="edit" aspectratio="f"/>
              <v:textbox inset="0mm,0mm,0mm,0mm" style="mso-fit-shape-to-text:t;">
                <w:txbxContent>
                  <w:p w14:paraId="66936432">
                    <w:pPr>
                      <w:pStyle w:val="21"/>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Quad Arrow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AFE2C8"/>
                      </w:txbxContent>
                    </wps:txbx>
                    <wps:bodyPr wrap="none" lIns="0" tIns="0" rIns="0" bIns="0" upright="1">
                      <a:spAutoFit/>
                    </wps:bodyPr>
                  </wps:wsp>
                </a:graphicData>
              </a:graphic>
            </wp:anchor>
          </w:drawing>
        </mc:Choice>
        <mc:Fallback>
          <w:pict>
            <v:shape id="Quad Arrow 512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ql5uc8AAAAFAQAADwAAAAAAAAABACAAAAAiAAAAZHJzL2Rvd25yZXYueG1sUEsBAhQAFAAA&#10;AAgAh07iQMIQQNi/AQAAnQMAAA4AAAAAAAAAAQAgAAAAHgEAAGRycy9lMm9Eb2MueG1sUEsFBgAA&#10;AAAGAAYAWQEAAE8FAAAAAA==&#10;">
              <v:fill on="f" focussize="0,0"/>
              <v:stroke on="f"/>
              <v:imagedata o:title=""/>
              <o:lock v:ext="edit" aspectratio="f"/>
              <v:textbox inset="0mm,0mm,0mm,0mm" style="mso-fit-shape-to-text:t;">
                <w:txbxContent>
                  <w:p w14:paraId="29AFE2C8"/>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9A39E">
    <w:pPr>
      <w:pStyle w:val="21"/>
      <w:jc w:val="center"/>
    </w:pPr>
    <w:r>
      <mc:AlternateContent>
        <mc:Choice Requires="wps">
          <w:drawing>
            <wp:anchor distT="0" distB="0" distL="114300" distR="114300" simplePos="0" relativeHeight="251659264" behindDoc="0" locked="0" layoutInCell="1" allowOverlap="1">
              <wp:simplePos x="0" y="0"/>
              <wp:positionH relativeFrom="margin">
                <wp:posOffset>2948940</wp:posOffset>
              </wp:positionH>
              <wp:positionV relativeFrom="paragraph">
                <wp:posOffset>0</wp:posOffset>
              </wp:positionV>
              <wp:extent cx="190500" cy="149860"/>
              <wp:effectExtent l="0" t="0" r="0" b="0"/>
              <wp:wrapNone/>
              <wp:docPr id="3" name="Quad Arrow 5121"/>
              <wp:cNvGraphicFramePr/>
              <a:graphic xmlns:a="http://schemas.openxmlformats.org/drawingml/2006/main">
                <a:graphicData uri="http://schemas.microsoft.com/office/word/2010/wordprocessingShape">
                  <wps:wsp>
                    <wps:cNvSpPr txBox="1"/>
                    <wps:spPr>
                      <a:xfrm>
                        <a:off x="0" y="0"/>
                        <a:ext cx="190500" cy="149860"/>
                      </a:xfrm>
                      <a:prstGeom prst="rect">
                        <a:avLst/>
                      </a:prstGeom>
                      <a:noFill/>
                      <a:ln>
                        <a:noFill/>
                      </a:ln>
                    </wps:spPr>
                    <wps:txbx>
                      <w:txbxContent>
                        <w:p w14:paraId="06CD49B2">
                          <w:pPr>
                            <w:pStyle w:val="21"/>
                            <w:jc w:val="center"/>
                          </w:pPr>
                          <w:r>
                            <w:fldChar w:fldCharType="begin"/>
                          </w:r>
                          <w:r>
                            <w:instrText xml:space="preserve"> PAGE  \* MERGEFORMAT </w:instrText>
                          </w:r>
                          <w:r>
                            <w:fldChar w:fldCharType="separate"/>
                          </w:r>
                          <w:r>
                            <w:t>22</w:t>
                          </w:r>
                          <w:r>
                            <w:fldChar w:fldCharType="end"/>
                          </w:r>
                        </w:p>
                      </w:txbxContent>
                    </wps:txbx>
                    <wps:bodyPr wrap="square" lIns="0" tIns="0" rIns="0" bIns="0" upright="1">
                      <a:noAutofit/>
                    </wps:bodyPr>
                  </wps:wsp>
                </a:graphicData>
              </a:graphic>
            </wp:anchor>
          </w:drawing>
        </mc:Choice>
        <mc:Fallback>
          <w:pict>
            <v:shape id="Quad Arrow 5121" o:spid="_x0000_s1026" o:spt="202" type="#_x0000_t202" style="position:absolute;left:0pt;margin-left:232.2pt;margin-top:0pt;height:11.8pt;width:15pt;mso-position-horizontal-relative:margin;z-index:251659264;mso-width-relative:page;mso-height-relative:page;" filled="f" stroked="f" coordsize="21600,21600" o:gfxdata="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qquIbVAAAABwEAAA8AAAAAAAAAAQAgAAAAIgAAAGRycy9kb3ducmV2&#10;LnhtbFBLAQIUABQAAAAIAIdO4kA3mPW+xgEAAJ0DAAAOAAAAAAAAAAEAIAAAACQBAABkcnMvZTJv&#10;RG9jLnhtbFBLBQYAAAAABgAGAFkBAABcBQAAAAA=&#10;">
              <v:fill on="f" focussize="0,0"/>
              <v:stroke on="f"/>
              <v:imagedata o:title=""/>
              <o:lock v:ext="edit" aspectratio="f"/>
              <v:textbox inset="0mm,0mm,0mm,0mm">
                <w:txbxContent>
                  <w:p w14:paraId="06CD49B2">
                    <w:pPr>
                      <w:pStyle w:val="21"/>
                      <w:jc w:val="center"/>
                    </w:pPr>
                    <w:r>
                      <w:fldChar w:fldCharType="begin"/>
                    </w:r>
                    <w:r>
                      <w:instrText xml:space="preserve"> PAGE  \* MERGEFORMAT </w:instrText>
                    </w:r>
                    <w:r>
                      <w:fldChar w:fldCharType="separate"/>
                    </w:r>
                    <w:r>
                      <w:t>22</w:t>
                    </w:r>
                    <w:r>
                      <w:fldChar w:fldCharType="end"/>
                    </w:r>
                  </w:p>
                </w:txbxContent>
              </v:textbox>
            </v:shape>
          </w:pict>
        </mc:Fallback>
      </mc:AlternateContent>
    </w:r>
  </w:p>
  <w:p w14:paraId="135DAD1A">
    <w:pPr>
      <w:pStyle w:val="2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07362">
    <w:pPr>
      <w:pStyle w:val="21"/>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Quad Arrow 5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30830A">
                          <w:pPr>
                            <w:pStyle w:val="21"/>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Quad Arrow 5128"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ql5uc8AAAAFAQAADwAAAAAAAAABACAAAAAiAAAAZHJzL2Rvd25yZXYueG1sUEsBAhQAFAAA&#10;AAgAh07iQEV59/6/AQAAngMAAA4AAAAAAAAAAQAgAAAAHgEAAGRycy9lMm9Eb2MueG1sUEsFBgAA&#10;AAAGAAYAWQEAAE8FAAAAAA==&#10;">
              <v:fill on="f" focussize="0,0"/>
              <v:stroke on="f"/>
              <v:imagedata o:title=""/>
              <o:lock v:ext="edit" aspectratio="f"/>
              <v:textbox inset="0mm,0mm,0mm,0mm" style="mso-fit-shape-to-text:t;">
                <w:txbxContent>
                  <w:p w14:paraId="5430830A">
                    <w:pPr>
                      <w:pStyle w:val="21"/>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Quad Arrow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BF1D2C">
                          <w:pPr>
                            <w:pStyle w:val="21"/>
                          </w:pPr>
                        </w:p>
                      </w:txbxContent>
                    </wps:txbx>
                    <wps:bodyPr wrap="none" lIns="0" tIns="0" rIns="0" bIns="0" upright="1">
                      <a:spAutoFit/>
                    </wps:bodyPr>
                  </wps:wsp>
                </a:graphicData>
              </a:graphic>
            </wp:anchor>
          </w:drawing>
        </mc:Choice>
        <mc:Fallback>
          <w:pict>
            <v:shape id="Quad Arrow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ql5uc8AAAAFAQAADwAAAAAAAAABACAAAAAiAAAAZHJzL2Rvd25yZXYueG1sUEsBAhQAFAAA&#10;AAgAh07iQCQonJu/AQAAnQMAAA4AAAAAAAAAAQAgAAAAHgEAAGRycy9lMm9Eb2MueG1sUEsFBgAA&#10;AAAGAAYAWQEAAE8FAAAAAA==&#10;">
              <v:fill on="f" focussize="0,0"/>
              <v:stroke on="f"/>
              <v:imagedata o:title=""/>
              <o:lock v:ext="edit" aspectratio="f"/>
              <v:textbox inset="0mm,0mm,0mm,0mm" style="mso-fit-shape-to-text:t;">
                <w:txbxContent>
                  <w:p w14:paraId="48BF1D2C">
                    <w:pPr>
                      <w:pStyle w:val="21"/>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59C7C">
    <w:pPr>
      <w:spacing w:line="259" w:lineRule="auto"/>
      <w:rPr>
        <w:kern w:val="0"/>
        <w:sz w:val="18"/>
        <w:szCs w:val="18"/>
      </w:rPr>
    </w:pPr>
    <w:r>
      <w:rPr>
        <w:rFonts w:hint="eastAsia" w:ascii="宋体" w:hAnsi="宋体" w:cs="宋体"/>
        <w:color w:val="000000"/>
        <w:sz w:val="18"/>
        <w:szCs w:val="18"/>
        <w:u w:val="single"/>
      </w:rPr>
      <w:t xml:space="preserve">新圩镇污水处理厂外包运营服务项目                                               </w:t>
    </w:r>
    <w:r>
      <w:rPr>
        <w:sz w:val="18"/>
        <w:szCs w:val="18"/>
        <w:u w:val="single"/>
      </w:rPr>
      <w:t>【</w:t>
    </w:r>
    <w:r>
      <w:rPr>
        <w:rFonts w:hint="eastAsia"/>
        <w:sz w:val="18"/>
        <w:szCs w:val="18"/>
        <w:u w:val="single"/>
      </w:rPr>
      <w:t>MSZC2019-C3-09916-001</w:t>
    </w:r>
    <w:r>
      <w:rPr>
        <w:sz w:val="18"/>
        <w:szCs w:val="18"/>
        <w:u w:val="single"/>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4CE94">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0BB3A">
    <w:pPr>
      <w:pStyle w:val="22"/>
      <w:pBdr>
        <w:bottom w:val="none" w:color="auto" w:sz="0" w:space="0"/>
      </w:pBdr>
      <w:tabs>
        <w:tab w:val="center" w:pos="4680"/>
        <w:tab w:val="right" w:pos="9360"/>
        <w:tab w:val="clear" w:pos="4153"/>
        <w:tab w:val="clear"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05D76">
    <w:pPr>
      <w:pStyle w:val="22"/>
      <w:tabs>
        <w:tab w:val="right" w:pos="9460"/>
        <w:tab w:val="clear" w:pos="8306"/>
      </w:tabs>
      <w:jc w:val="both"/>
      <w:rPr>
        <w:rFonts w:hint="eastAsia"/>
      </w:rPr>
    </w:pPr>
    <w:bookmarkStart w:id="66" w:name="OLE_LINK5"/>
    <w:r>
      <w:t>项目名</w:t>
    </w:r>
    <w:r>
      <w:rPr>
        <w:rFonts w:ascii="Times New Roman" w:hAnsi="Times New Roman" w:eastAsia="宋体" w:cs="Times New Roman"/>
      </w:rPr>
      <w:t>称：</w:t>
    </w:r>
    <w:r>
      <w:rPr>
        <w:rFonts w:hint="default" w:ascii="Times New Roman" w:hAnsi="Times New Roman" w:eastAsia="宋体" w:cs="Times New Roman"/>
        <w:lang w:val="en-US" w:eastAsia="zh-CN"/>
      </w:rPr>
      <w:t>2026-2028年度蒙山县公务员补充医疗保险（医疗补助）服务采购项目</w:t>
    </w:r>
    <w:r>
      <w:rPr>
        <w:rFonts w:hint="eastAsia" w:cs="Times New Roman"/>
        <w:lang w:val="en-US" w:eastAsia="zh-CN"/>
      </w:rPr>
      <w:t>（重）</w:t>
    </w:r>
    <w:r>
      <w:rPr>
        <w:rFonts w:hint="eastAsia"/>
      </w:rPr>
      <w:t xml:space="preserve"> </w:t>
    </w:r>
  </w:p>
  <w:p w14:paraId="2B600B24">
    <w:pPr>
      <w:pStyle w:val="22"/>
      <w:tabs>
        <w:tab w:val="right" w:pos="9460"/>
        <w:tab w:val="clear" w:pos="8306"/>
      </w:tabs>
      <w:jc w:val="both"/>
      <w:rPr>
        <w:rFonts w:hint="eastAsia" w:eastAsia="宋体"/>
        <w:lang w:val="en-US" w:eastAsia="zh-CN"/>
      </w:rPr>
    </w:pPr>
    <w:r>
      <w:rPr>
        <w:rFonts w:hint="eastAsia"/>
        <w:highlight w:val="none"/>
      </w:rPr>
      <w:t>项目编号：</w:t>
    </w:r>
    <w:bookmarkEnd w:id="66"/>
    <w:r>
      <w:rPr>
        <w:rFonts w:hint="eastAsia"/>
        <w:highlight w:val="none"/>
        <w:lang w:eastAsia="zh-CN"/>
      </w:rPr>
      <w:t>WZZC2026-G3-2300</w:t>
    </w:r>
    <w:r>
      <w:rPr>
        <w:rFonts w:hint="eastAsia"/>
        <w:highlight w:val="none"/>
        <w:lang w:val="en-US" w:eastAsia="zh-CN"/>
      </w:rPr>
      <w:t>10</w:t>
    </w:r>
    <w:r>
      <w:rPr>
        <w:rFonts w:hint="eastAsia"/>
        <w:highlight w:val="none"/>
        <w:lang w:eastAsia="zh-CN"/>
      </w:rPr>
      <w:t>-GXLG</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FC137">
    <w:pPr>
      <w:pStyle w:val="22"/>
      <w:tabs>
        <w:tab w:val="right" w:pos="9460"/>
        <w:tab w:val="clear" w:pos="8306"/>
      </w:tabs>
      <w:jc w:val="both"/>
      <w:rPr>
        <w:rFonts w:hint="eastAsia"/>
      </w:rPr>
    </w:pPr>
    <w:r>
      <w:t>项目名</w:t>
    </w:r>
    <w:r>
      <w:rPr>
        <w:rFonts w:ascii="Times New Roman" w:hAnsi="Times New Roman" w:eastAsia="宋体" w:cs="Times New Roman"/>
      </w:rPr>
      <w:t>称：</w:t>
    </w:r>
    <w:r>
      <w:rPr>
        <w:rFonts w:hint="default" w:ascii="Times New Roman" w:hAnsi="Times New Roman" w:eastAsia="宋体" w:cs="Times New Roman"/>
        <w:lang w:val="en-US" w:eastAsia="zh-CN"/>
      </w:rPr>
      <w:t>2026-2028年度蒙山县公务员补充医疗保险（医疗补助）服务采购项目</w:t>
    </w:r>
    <w:r>
      <w:rPr>
        <w:rFonts w:hint="eastAsia" w:cs="Times New Roman"/>
        <w:lang w:val="en-US" w:eastAsia="zh-CN"/>
      </w:rPr>
      <w:t>（重）</w:t>
    </w:r>
    <w:r>
      <w:rPr>
        <w:rFonts w:hint="eastAsia"/>
      </w:rPr>
      <w:t xml:space="preserve"> </w:t>
    </w:r>
  </w:p>
  <w:p w14:paraId="32416056">
    <w:pPr>
      <w:pStyle w:val="22"/>
      <w:tabs>
        <w:tab w:val="right" w:pos="9460"/>
        <w:tab w:val="clear" w:pos="8306"/>
      </w:tabs>
      <w:jc w:val="both"/>
      <w:rPr>
        <w:rFonts w:hint="eastAsia"/>
        <w:lang w:val="en-US" w:eastAsia="zh-CN"/>
      </w:rPr>
    </w:pPr>
    <w:r>
      <w:rPr>
        <w:rFonts w:hint="eastAsia"/>
        <w:highlight w:val="none"/>
      </w:rPr>
      <w:t>项目编号：</w:t>
    </w:r>
    <w:r>
      <w:rPr>
        <w:rFonts w:hint="eastAsia"/>
        <w:highlight w:val="none"/>
        <w:lang w:eastAsia="zh-CN"/>
      </w:rPr>
      <w:t>WZZC2026-G3-2300</w:t>
    </w:r>
    <w:r>
      <w:rPr>
        <w:rFonts w:hint="eastAsia"/>
        <w:highlight w:val="none"/>
        <w:lang w:val="en-US" w:eastAsia="zh-CN"/>
      </w:rPr>
      <w:t>10</w:t>
    </w:r>
    <w:r>
      <w:rPr>
        <w:rFonts w:hint="eastAsia"/>
        <w:highlight w:val="none"/>
        <w:lang w:eastAsia="zh-CN"/>
      </w:rPr>
      <w:t>-GXLG</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77F7B">
    <w:pPr>
      <w:pStyle w:val="22"/>
      <w:tabs>
        <w:tab w:val="right" w:pos="9460"/>
        <w:tab w:val="clear" w:pos="8306"/>
      </w:tabs>
    </w:pPr>
    <w:r>
      <w:rPr>
        <w:rFonts w:hint="eastAsia"/>
      </w:rPr>
      <w:t xml:space="preserve">项目名称：蒙山县西河镇种植产业园建设采购项目                                               </w:t>
    </w:r>
    <w:r>
      <w:t xml:space="preserve"> </w:t>
    </w:r>
    <w:r>
      <w:rPr>
        <w:rFonts w:hint="eastAsia"/>
      </w:rPr>
      <w:t>项目编号：【】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ECA0B5"/>
    <w:multiLevelType w:val="singleLevel"/>
    <w:tmpl w:val="82ECA0B5"/>
    <w:lvl w:ilvl="0" w:tentative="0">
      <w:start w:val="2"/>
      <w:numFmt w:val="decimal"/>
      <w:suff w:val="nothing"/>
      <w:lvlText w:val="%1）"/>
      <w:lvlJc w:val="left"/>
    </w:lvl>
  </w:abstractNum>
  <w:abstractNum w:abstractNumId="1">
    <w:nsid w:val="E7CD8EA9"/>
    <w:multiLevelType w:val="singleLevel"/>
    <w:tmpl w:val="E7CD8EA9"/>
    <w:lvl w:ilvl="0" w:tentative="0">
      <w:start w:val="1"/>
      <w:numFmt w:val="decimal"/>
      <w:suff w:val="nothing"/>
      <w:lvlText w:val="%1．"/>
      <w:lvlJc w:val="left"/>
    </w:lvl>
  </w:abstractNum>
  <w:abstractNum w:abstractNumId="2">
    <w:nsid w:val="7A74D0A3"/>
    <w:multiLevelType w:val="singleLevel"/>
    <w:tmpl w:val="7A74D0A3"/>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1YTZiNTA4YjRiNTI2ODhhYmNmODA0OGYyZmY3ZWMifQ=="/>
  </w:docVars>
  <w:rsids>
    <w:rsidRoot w:val="00F34B14"/>
    <w:rsid w:val="00000672"/>
    <w:rsid w:val="00001013"/>
    <w:rsid w:val="00001799"/>
    <w:rsid w:val="00001AF2"/>
    <w:rsid w:val="00001ECA"/>
    <w:rsid w:val="00002D29"/>
    <w:rsid w:val="00003B93"/>
    <w:rsid w:val="0000474D"/>
    <w:rsid w:val="00005FDF"/>
    <w:rsid w:val="000070B3"/>
    <w:rsid w:val="000076B8"/>
    <w:rsid w:val="000109DC"/>
    <w:rsid w:val="00010D39"/>
    <w:rsid w:val="0001172C"/>
    <w:rsid w:val="00011BC9"/>
    <w:rsid w:val="00012854"/>
    <w:rsid w:val="00012EA6"/>
    <w:rsid w:val="00013359"/>
    <w:rsid w:val="000139CF"/>
    <w:rsid w:val="00013AA4"/>
    <w:rsid w:val="00013DFE"/>
    <w:rsid w:val="000141EA"/>
    <w:rsid w:val="00016ABC"/>
    <w:rsid w:val="000177DB"/>
    <w:rsid w:val="000179C9"/>
    <w:rsid w:val="00017CCC"/>
    <w:rsid w:val="00020227"/>
    <w:rsid w:val="00020263"/>
    <w:rsid w:val="00020455"/>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560F"/>
    <w:rsid w:val="0009588E"/>
    <w:rsid w:val="000959EE"/>
    <w:rsid w:val="00097183"/>
    <w:rsid w:val="000972CB"/>
    <w:rsid w:val="00097608"/>
    <w:rsid w:val="000A13D5"/>
    <w:rsid w:val="000A13F3"/>
    <w:rsid w:val="000A23B1"/>
    <w:rsid w:val="000A2B0E"/>
    <w:rsid w:val="000A398F"/>
    <w:rsid w:val="000A448C"/>
    <w:rsid w:val="000A509C"/>
    <w:rsid w:val="000A54A7"/>
    <w:rsid w:val="000A6007"/>
    <w:rsid w:val="000A65A6"/>
    <w:rsid w:val="000A70E3"/>
    <w:rsid w:val="000A7275"/>
    <w:rsid w:val="000A7A12"/>
    <w:rsid w:val="000A7A72"/>
    <w:rsid w:val="000B1202"/>
    <w:rsid w:val="000B1801"/>
    <w:rsid w:val="000B1D0C"/>
    <w:rsid w:val="000B2273"/>
    <w:rsid w:val="000B2BC6"/>
    <w:rsid w:val="000B2D03"/>
    <w:rsid w:val="000B3815"/>
    <w:rsid w:val="000B3C7B"/>
    <w:rsid w:val="000B4321"/>
    <w:rsid w:val="000B6A6B"/>
    <w:rsid w:val="000B6C95"/>
    <w:rsid w:val="000B79FC"/>
    <w:rsid w:val="000C1679"/>
    <w:rsid w:val="000C1EE3"/>
    <w:rsid w:val="000C3AE7"/>
    <w:rsid w:val="000C3CC9"/>
    <w:rsid w:val="000C6DE4"/>
    <w:rsid w:val="000C7202"/>
    <w:rsid w:val="000D0A89"/>
    <w:rsid w:val="000D1389"/>
    <w:rsid w:val="000D1798"/>
    <w:rsid w:val="000D2626"/>
    <w:rsid w:val="000D411D"/>
    <w:rsid w:val="000D4589"/>
    <w:rsid w:val="000D4809"/>
    <w:rsid w:val="000D73DD"/>
    <w:rsid w:val="000E1C51"/>
    <w:rsid w:val="000E28AB"/>
    <w:rsid w:val="000E2E3E"/>
    <w:rsid w:val="000E3583"/>
    <w:rsid w:val="000E3AF0"/>
    <w:rsid w:val="000E4E04"/>
    <w:rsid w:val="000E56FF"/>
    <w:rsid w:val="000E693B"/>
    <w:rsid w:val="000E6EC9"/>
    <w:rsid w:val="000E70B4"/>
    <w:rsid w:val="000E7B62"/>
    <w:rsid w:val="000F0E1E"/>
    <w:rsid w:val="000F1A1B"/>
    <w:rsid w:val="000F2A95"/>
    <w:rsid w:val="000F3281"/>
    <w:rsid w:val="000F32FD"/>
    <w:rsid w:val="000F3733"/>
    <w:rsid w:val="000F5F8B"/>
    <w:rsid w:val="000F6153"/>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3678"/>
    <w:rsid w:val="00113C3E"/>
    <w:rsid w:val="00115E11"/>
    <w:rsid w:val="00115EEE"/>
    <w:rsid w:val="00115F56"/>
    <w:rsid w:val="00116ADB"/>
    <w:rsid w:val="00116CA9"/>
    <w:rsid w:val="00116F38"/>
    <w:rsid w:val="001170A4"/>
    <w:rsid w:val="00117AE7"/>
    <w:rsid w:val="00117CBD"/>
    <w:rsid w:val="0012006A"/>
    <w:rsid w:val="00121979"/>
    <w:rsid w:val="00122064"/>
    <w:rsid w:val="00124341"/>
    <w:rsid w:val="00124492"/>
    <w:rsid w:val="00124B12"/>
    <w:rsid w:val="001250A0"/>
    <w:rsid w:val="001263B8"/>
    <w:rsid w:val="00130217"/>
    <w:rsid w:val="00130783"/>
    <w:rsid w:val="00130A47"/>
    <w:rsid w:val="00132B47"/>
    <w:rsid w:val="001337F8"/>
    <w:rsid w:val="001348B4"/>
    <w:rsid w:val="00134D61"/>
    <w:rsid w:val="00135135"/>
    <w:rsid w:val="001351CB"/>
    <w:rsid w:val="00135530"/>
    <w:rsid w:val="00135947"/>
    <w:rsid w:val="001359A2"/>
    <w:rsid w:val="00135F92"/>
    <w:rsid w:val="00136020"/>
    <w:rsid w:val="00136445"/>
    <w:rsid w:val="001374E9"/>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DD6"/>
    <w:rsid w:val="0016086E"/>
    <w:rsid w:val="00160D0C"/>
    <w:rsid w:val="00161172"/>
    <w:rsid w:val="00161998"/>
    <w:rsid w:val="00161E65"/>
    <w:rsid w:val="00162597"/>
    <w:rsid w:val="001629AF"/>
    <w:rsid w:val="001629FD"/>
    <w:rsid w:val="0016428A"/>
    <w:rsid w:val="001647C9"/>
    <w:rsid w:val="00165627"/>
    <w:rsid w:val="001661A3"/>
    <w:rsid w:val="00167226"/>
    <w:rsid w:val="0016782B"/>
    <w:rsid w:val="0016784D"/>
    <w:rsid w:val="00172CA8"/>
    <w:rsid w:val="00173256"/>
    <w:rsid w:val="00173B0E"/>
    <w:rsid w:val="00173E03"/>
    <w:rsid w:val="00174AEF"/>
    <w:rsid w:val="0017512C"/>
    <w:rsid w:val="0017586A"/>
    <w:rsid w:val="00175BA6"/>
    <w:rsid w:val="00176CA7"/>
    <w:rsid w:val="00176F8E"/>
    <w:rsid w:val="001778C5"/>
    <w:rsid w:val="00177E56"/>
    <w:rsid w:val="00177F0A"/>
    <w:rsid w:val="00180DA0"/>
    <w:rsid w:val="00181EAD"/>
    <w:rsid w:val="00182862"/>
    <w:rsid w:val="00184F57"/>
    <w:rsid w:val="00185544"/>
    <w:rsid w:val="00185617"/>
    <w:rsid w:val="00186FE1"/>
    <w:rsid w:val="00187A14"/>
    <w:rsid w:val="0019171E"/>
    <w:rsid w:val="00192368"/>
    <w:rsid w:val="001923A0"/>
    <w:rsid w:val="001928B1"/>
    <w:rsid w:val="00193537"/>
    <w:rsid w:val="00193846"/>
    <w:rsid w:val="00195424"/>
    <w:rsid w:val="001955FF"/>
    <w:rsid w:val="00197EDD"/>
    <w:rsid w:val="001A02B3"/>
    <w:rsid w:val="001A04BB"/>
    <w:rsid w:val="001A08D0"/>
    <w:rsid w:val="001A1B39"/>
    <w:rsid w:val="001A2120"/>
    <w:rsid w:val="001A28C6"/>
    <w:rsid w:val="001A2E69"/>
    <w:rsid w:val="001A3C34"/>
    <w:rsid w:val="001A3EDE"/>
    <w:rsid w:val="001A4222"/>
    <w:rsid w:val="001A50EA"/>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ECC"/>
    <w:rsid w:val="001C025B"/>
    <w:rsid w:val="001C115F"/>
    <w:rsid w:val="001C1EAB"/>
    <w:rsid w:val="001C25A7"/>
    <w:rsid w:val="001C318C"/>
    <w:rsid w:val="001C35C4"/>
    <w:rsid w:val="001C4287"/>
    <w:rsid w:val="001C4479"/>
    <w:rsid w:val="001C5190"/>
    <w:rsid w:val="001C6081"/>
    <w:rsid w:val="001C7A5D"/>
    <w:rsid w:val="001C7B48"/>
    <w:rsid w:val="001D0CFB"/>
    <w:rsid w:val="001D1A0D"/>
    <w:rsid w:val="001D343C"/>
    <w:rsid w:val="001D58A1"/>
    <w:rsid w:val="001D58C2"/>
    <w:rsid w:val="001D5A8A"/>
    <w:rsid w:val="001D61CA"/>
    <w:rsid w:val="001D6E87"/>
    <w:rsid w:val="001D735E"/>
    <w:rsid w:val="001D73C8"/>
    <w:rsid w:val="001D7BC6"/>
    <w:rsid w:val="001E129E"/>
    <w:rsid w:val="001E175C"/>
    <w:rsid w:val="001E1B0E"/>
    <w:rsid w:val="001E3B63"/>
    <w:rsid w:val="001E5A94"/>
    <w:rsid w:val="001F2A2E"/>
    <w:rsid w:val="001F3356"/>
    <w:rsid w:val="001F3C63"/>
    <w:rsid w:val="001F4460"/>
    <w:rsid w:val="001F6316"/>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6D2"/>
    <w:rsid w:val="002439AB"/>
    <w:rsid w:val="00243C19"/>
    <w:rsid w:val="00244AE8"/>
    <w:rsid w:val="00244DC9"/>
    <w:rsid w:val="00245587"/>
    <w:rsid w:val="00245F2B"/>
    <w:rsid w:val="00247F3A"/>
    <w:rsid w:val="00250122"/>
    <w:rsid w:val="00250755"/>
    <w:rsid w:val="00251043"/>
    <w:rsid w:val="00251C4A"/>
    <w:rsid w:val="0025271C"/>
    <w:rsid w:val="002533CD"/>
    <w:rsid w:val="002535EA"/>
    <w:rsid w:val="00254EAB"/>
    <w:rsid w:val="002557AF"/>
    <w:rsid w:val="0025589C"/>
    <w:rsid w:val="00255B62"/>
    <w:rsid w:val="002566B1"/>
    <w:rsid w:val="00256B73"/>
    <w:rsid w:val="002575E3"/>
    <w:rsid w:val="00257A74"/>
    <w:rsid w:val="002603C1"/>
    <w:rsid w:val="002609A1"/>
    <w:rsid w:val="002612B1"/>
    <w:rsid w:val="00266165"/>
    <w:rsid w:val="00266F2C"/>
    <w:rsid w:val="0027125E"/>
    <w:rsid w:val="00271767"/>
    <w:rsid w:val="00272293"/>
    <w:rsid w:val="002723C8"/>
    <w:rsid w:val="00273C2A"/>
    <w:rsid w:val="00273CBE"/>
    <w:rsid w:val="002746B1"/>
    <w:rsid w:val="00274BAD"/>
    <w:rsid w:val="00282D56"/>
    <w:rsid w:val="002835B0"/>
    <w:rsid w:val="00283C74"/>
    <w:rsid w:val="0028407E"/>
    <w:rsid w:val="0028410F"/>
    <w:rsid w:val="00284572"/>
    <w:rsid w:val="002848AA"/>
    <w:rsid w:val="00285221"/>
    <w:rsid w:val="00286FB5"/>
    <w:rsid w:val="00287763"/>
    <w:rsid w:val="002879EF"/>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770B"/>
    <w:rsid w:val="002B013E"/>
    <w:rsid w:val="002B058D"/>
    <w:rsid w:val="002B0C16"/>
    <w:rsid w:val="002B2AC5"/>
    <w:rsid w:val="002B3528"/>
    <w:rsid w:val="002B3539"/>
    <w:rsid w:val="002B4532"/>
    <w:rsid w:val="002B5042"/>
    <w:rsid w:val="002B69CC"/>
    <w:rsid w:val="002B6D71"/>
    <w:rsid w:val="002C0C1C"/>
    <w:rsid w:val="002C54C2"/>
    <w:rsid w:val="002C5D34"/>
    <w:rsid w:val="002C60BB"/>
    <w:rsid w:val="002C661A"/>
    <w:rsid w:val="002C7A60"/>
    <w:rsid w:val="002D0D6F"/>
    <w:rsid w:val="002D25FC"/>
    <w:rsid w:val="002D4AC6"/>
    <w:rsid w:val="002D5BF5"/>
    <w:rsid w:val="002D5EE8"/>
    <w:rsid w:val="002D7360"/>
    <w:rsid w:val="002D7648"/>
    <w:rsid w:val="002E109C"/>
    <w:rsid w:val="002E193E"/>
    <w:rsid w:val="002E1A94"/>
    <w:rsid w:val="002E1D55"/>
    <w:rsid w:val="002E26C4"/>
    <w:rsid w:val="002E30A5"/>
    <w:rsid w:val="002E47E4"/>
    <w:rsid w:val="002E4BF9"/>
    <w:rsid w:val="002E4D61"/>
    <w:rsid w:val="002E68A7"/>
    <w:rsid w:val="002E6E6C"/>
    <w:rsid w:val="002F0522"/>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CC1"/>
    <w:rsid w:val="00312504"/>
    <w:rsid w:val="00313026"/>
    <w:rsid w:val="00313913"/>
    <w:rsid w:val="0031421F"/>
    <w:rsid w:val="00314B31"/>
    <w:rsid w:val="00315A65"/>
    <w:rsid w:val="003165D7"/>
    <w:rsid w:val="00317BA7"/>
    <w:rsid w:val="003200B8"/>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4B35"/>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7A79"/>
    <w:rsid w:val="003C0FE1"/>
    <w:rsid w:val="003C151A"/>
    <w:rsid w:val="003C2F11"/>
    <w:rsid w:val="003C350C"/>
    <w:rsid w:val="003C3903"/>
    <w:rsid w:val="003C3BA0"/>
    <w:rsid w:val="003C4286"/>
    <w:rsid w:val="003C4580"/>
    <w:rsid w:val="003C5C5E"/>
    <w:rsid w:val="003C6746"/>
    <w:rsid w:val="003C7555"/>
    <w:rsid w:val="003C7898"/>
    <w:rsid w:val="003D0FF5"/>
    <w:rsid w:val="003D11A3"/>
    <w:rsid w:val="003D1537"/>
    <w:rsid w:val="003D183C"/>
    <w:rsid w:val="003D2D1B"/>
    <w:rsid w:val="003D48C7"/>
    <w:rsid w:val="003D4C27"/>
    <w:rsid w:val="003D572B"/>
    <w:rsid w:val="003D5E01"/>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7AE0"/>
    <w:rsid w:val="00417BAA"/>
    <w:rsid w:val="0042042B"/>
    <w:rsid w:val="00420B45"/>
    <w:rsid w:val="00420D7A"/>
    <w:rsid w:val="00421257"/>
    <w:rsid w:val="00421BBA"/>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3F0"/>
    <w:rsid w:val="00433827"/>
    <w:rsid w:val="00433A40"/>
    <w:rsid w:val="00434B70"/>
    <w:rsid w:val="004360C8"/>
    <w:rsid w:val="004371D5"/>
    <w:rsid w:val="0044006B"/>
    <w:rsid w:val="0044033F"/>
    <w:rsid w:val="00440630"/>
    <w:rsid w:val="00441F0F"/>
    <w:rsid w:val="00441F1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2429"/>
    <w:rsid w:val="004725E5"/>
    <w:rsid w:val="00472751"/>
    <w:rsid w:val="00473128"/>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0B57"/>
    <w:rsid w:val="00491FA1"/>
    <w:rsid w:val="00492A25"/>
    <w:rsid w:val="004938A3"/>
    <w:rsid w:val="0049558B"/>
    <w:rsid w:val="00496350"/>
    <w:rsid w:val="0049797C"/>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22E"/>
    <w:rsid w:val="004B72E8"/>
    <w:rsid w:val="004C01A5"/>
    <w:rsid w:val="004C041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1641"/>
    <w:rsid w:val="004E1818"/>
    <w:rsid w:val="004E1990"/>
    <w:rsid w:val="004E25A8"/>
    <w:rsid w:val="004E3930"/>
    <w:rsid w:val="004E3ED9"/>
    <w:rsid w:val="004E4E60"/>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5D4E"/>
    <w:rsid w:val="0051608F"/>
    <w:rsid w:val="0051656F"/>
    <w:rsid w:val="00520EF8"/>
    <w:rsid w:val="005210F7"/>
    <w:rsid w:val="00521753"/>
    <w:rsid w:val="0052239D"/>
    <w:rsid w:val="005224EE"/>
    <w:rsid w:val="00522879"/>
    <w:rsid w:val="00523BB1"/>
    <w:rsid w:val="005243A3"/>
    <w:rsid w:val="0052570E"/>
    <w:rsid w:val="005260CD"/>
    <w:rsid w:val="00526265"/>
    <w:rsid w:val="0052655D"/>
    <w:rsid w:val="005265E0"/>
    <w:rsid w:val="00526BC3"/>
    <w:rsid w:val="00531761"/>
    <w:rsid w:val="0053248F"/>
    <w:rsid w:val="00532759"/>
    <w:rsid w:val="00532FF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60"/>
    <w:rsid w:val="005522F2"/>
    <w:rsid w:val="005531DF"/>
    <w:rsid w:val="00553874"/>
    <w:rsid w:val="00554577"/>
    <w:rsid w:val="00554AD8"/>
    <w:rsid w:val="00554F78"/>
    <w:rsid w:val="00555DA1"/>
    <w:rsid w:val="00556BF7"/>
    <w:rsid w:val="00557F60"/>
    <w:rsid w:val="00561730"/>
    <w:rsid w:val="00561B97"/>
    <w:rsid w:val="00562149"/>
    <w:rsid w:val="00567B5D"/>
    <w:rsid w:val="00570757"/>
    <w:rsid w:val="00573733"/>
    <w:rsid w:val="00573DC8"/>
    <w:rsid w:val="00573F8B"/>
    <w:rsid w:val="00574554"/>
    <w:rsid w:val="00574E06"/>
    <w:rsid w:val="005751BB"/>
    <w:rsid w:val="00576089"/>
    <w:rsid w:val="005764B1"/>
    <w:rsid w:val="00576852"/>
    <w:rsid w:val="00576D06"/>
    <w:rsid w:val="005779E4"/>
    <w:rsid w:val="00580EC7"/>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BAF"/>
    <w:rsid w:val="005B4DA3"/>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C7777"/>
    <w:rsid w:val="005D02E3"/>
    <w:rsid w:val="005D1F34"/>
    <w:rsid w:val="005D2C1F"/>
    <w:rsid w:val="005D34B2"/>
    <w:rsid w:val="005D3B54"/>
    <w:rsid w:val="005D40CD"/>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5BBB"/>
    <w:rsid w:val="005F6D58"/>
    <w:rsid w:val="005F7383"/>
    <w:rsid w:val="0060058E"/>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7EEE"/>
    <w:rsid w:val="00620A1F"/>
    <w:rsid w:val="0062169D"/>
    <w:rsid w:val="0062181E"/>
    <w:rsid w:val="0062211B"/>
    <w:rsid w:val="00622BB7"/>
    <w:rsid w:val="00622C1E"/>
    <w:rsid w:val="00623389"/>
    <w:rsid w:val="00623DAA"/>
    <w:rsid w:val="00623FAF"/>
    <w:rsid w:val="006265C4"/>
    <w:rsid w:val="0062678A"/>
    <w:rsid w:val="006270AF"/>
    <w:rsid w:val="00634367"/>
    <w:rsid w:val="00640082"/>
    <w:rsid w:val="00640291"/>
    <w:rsid w:val="00640EFE"/>
    <w:rsid w:val="00641D6D"/>
    <w:rsid w:val="00641F12"/>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4B5"/>
    <w:rsid w:val="006859AA"/>
    <w:rsid w:val="00685BD6"/>
    <w:rsid w:val="00687116"/>
    <w:rsid w:val="006878A6"/>
    <w:rsid w:val="00687D5F"/>
    <w:rsid w:val="00690437"/>
    <w:rsid w:val="00690DC3"/>
    <w:rsid w:val="00690E65"/>
    <w:rsid w:val="006911B7"/>
    <w:rsid w:val="006911F9"/>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16EA"/>
    <w:rsid w:val="006B1780"/>
    <w:rsid w:val="006B224E"/>
    <w:rsid w:val="006B376E"/>
    <w:rsid w:val="006B4589"/>
    <w:rsid w:val="006B610E"/>
    <w:rsid w:val="006B6805"/>
    <w:rsid w:val="006B6DE0"/>
    <w:rsid w:val="006C16C3"/>
    <w:rsid w:val="006C2187"/>
    <w:rsid w:val="006C32F4"/>
    <w:rsid w:val="006C3C54"/>
    <w:rsid w:val="006C4B6B"/>
    <w:rsid w:val="006C4F9F"/>
    <w:rsid w:val="006C71A2"/>
    <w:rsid w:val="006C73EC"/>
    <w:rsid w:val="006D0C1D"/>
    <w:rsid w:val="006D0EFA"/>
    <w:rsid w:val="006D2E9D"/>
    <w:rsid w:val="006D4A4E"/>
    <w:rsid w:val="006D4C42"/>
    <w:rsid w:val="006D5263"/>
    <w:rsid w:val="006D5389"/>
    <w:rsid w:val="006D5809"/>
    <w:rsid w:val="006D607E"/>
    <w:rsid w:val="006D6E12"/>
    <w:rsid w:val="006D70CB"/>
    <w:rsid w:val="006D715C"/>
    <w:rsid w:val="006D7363"/>
    <w:rsid w:val="006D774E"/>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31"/>
    <w:rsid w:val="006F3DE3"/>
    <w:rsid w:val="006F4787"/>
    <w:rsid w:val="006F61D8"/>
    <w:rsid w:val="006F62B7"/>
    <w:rsid w:val="006F70BC"/>
    <w:rsid w:val="006F7E7C"/>
    <w:rsid w:val="0070174E"/>
    <w:rsid w:val="007018DB"/>
    <w:rsid w:val="00701DE6"/>
    <w:rsid w:val="00702740"/>
    <w:rsid w:val="0070381B"/>
    <w:rsid w:val="00703B42"/>
    <w:rsid w:val="0070796C"/>
    <w:rsid w:val="007109BB"/>
    <w:rsid w:val="00710EBF"/>
    <w:rsid w:val="007110B8"/>
    <w:rsid w:val="0071209F"/>
    <w:rsid w:val="007125A2"/>
    <w:rsid w:val="00713DD9"/>
    <w:rsid w:val="00713F79"/>
    <w:rsid w:val="007148A8"/>
    <w:rsid w:val="00716AC8"/>
    <w:rsid w:val="00716E54"/>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6D5A"/>
    <w:rsid w:val="00767BFD"/>
    <w:rsid w:val="00767EA0"/>
    <w:rsid w:val="0077068F"/>
    <w:rsid w:val="00771EDF"/>
    <w:rsid w:val="00772A90"/>
    <w:rsid w:val="00772F8D"/>
    <w:rsid w:val="0077408D"/>
    <w:rsid w:val="00774270"/>
    <w:rsid w:val="007743F6"/>
    <w:rsid w:val="0077565D"/>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1E6D"/>
    <w:rsid w:val="00791EB5"/>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7424"/>
    <w:rsid w:val="007B7490"/>
    <w:rsid w:val="007C0525"/>
    <w:rsid w:val="007C13F7"/>
    <w:rsid w:val="007C218D"/>
    <w:rsid w:val="007C2D28"/>
    <w:rsid w:val="007C3E22"/>
    <w:rsid w:val="007C6218"/>
    <w:rsid w:val="007C6484"/>
    <w:rsid w:val="007C67C6"/>
    <w:rsid w:val="007C78BE"/>
    <w:rsid w:val="007C7E59"/>
    <w:rsid w:val="007D0476"/>
    <w:rsid w:val="007D0B91"/>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5DE"/>
    <w:rsid w:val="007F66CA"/>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5E1"/>
    <w:rsid w:val="00813779"/>
    <w:rsid w:val="00813E26"/>
    <w:rsid w:val="0081481D"/>
    <w:rsid w:val="00814BE8"/>
    <w:rsid w:val="00814F6E"/>
    <w:rsid w:val="00815B84"/>
    <w:rsid w:val="00816BE9"/>
    <w:rsid w:val="00821FA1"/>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7526"/>
    <w:rsid w:val="008407A7"/>
    <w:rsid w:val="0084322B"/>
    <w:rsid w:val="00843F81"/>
    <w:rsid w:val="00844087"/>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671"/>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3B2D"/>
    <w:rsid w:val="008D58D9"/>
    <w:rsid w:val="008D5AD4"/>
    <w:rsid w:val="008D695E"/>
    <w:rsid w:val="008D6DD5"/>
    <w:rsid w:val="008D6E59"/>
    <w:rsid w:val="008D7155"/>
    <w:rsid w:val="008D76E0"/>
    <w:rsid w:val="008E0B29"/>
    <w:rsid w:val="008E141A"/>
    <w:rsid w:val="008E1A44"/>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17EC5"/>
    <w:rsid w:val="00920184"/>
    <w:rsid w:val="00920EA4"/>
    <w:rsid w:val="00921792"/>
    <w:rsid w:val="00921BEA"/>
    <w:rsid w:val="009227BE"/>
    <w:rsid w:val="009235AF"/>
    <w:rsid w:val="009238FD"/>
    <w:rsid w:val="00923998"/>
    <w:rsid w:val="00923DB4"/>
    <w:rsid w:val="0092420B"/>
    <w:rsid w:val="0092430E"/>
    <w:rsid w:val="00925345"/>
    <w:rsid w:val="00926112"/>
    <w:rsid w:val="0092625F"/>
    <w:rsid w:val="00926B28"/>
    <w:rsid w:val="00926D9C"/>
    <w:rsid w:val="00927028"/>
    <w:rsid w:val="00927763"/>
    <w:rsid w:val="00927A2D"/>
    <w:rsid w:val="00927B37"/>
    <w:rsid w:val="009321B1"/>
    <w:rsid w:val="00932ED7"/>
    <w:rsid w:val="0093422D"/>
    <w:rsid w:val="0093483B"/>
    <w:rsid w:val="00934CF9"/>
    <w:rsid w:val="00934DD7"/>
    <w:rsid w:val="009369A9"/>
    <w:rsid w:val="00936CF7"/>
    <w:rsid w:val="00937783"/>
    <w:rsid w:val="00937EAD"/>
    <w:rsid w:val="00937F28"/>
    <w:rsid w:val="00940FE1"/>
    <w:rsid w:val="00942306"/>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57A1A"/>
    <w:rsid w:val="009608E6"/>
    <w:rsid w:val="00960F57"/>
    <w:rsid w:val="00961C90"/>
    <w:rsid w:val="00965443"/>
    <w:rsid w:val="00965954"/>
    <w:rsid w:val="00965A21"/>
    <w:rsid w:val="00965D20"/>
    <w:rsid w:val="00965E55"/>
    <w:rsid w:val="0096608E"/>
    <w:rsid w:val="00966522"/>
    <w:rsid w:val="00966C33"/>
    <w:rsid w:val="009705CD"/>
    <w:rsid w:val="00970F18"/>
    <w:rsid w:val="00971CF1"/>
    <w:rsid w:val="00971F5D"/>
    <w:rsid w:val="009721E9"/>
    <w:rsid w:val="00973772"/>
    <w:rsid w:val="0097560A"/>
    <w:rsid w:val="00975E1E"/>
    <w:rsid w:val="00975E70"/>
    <w:rsid w:val="009761DE"/>
    <w:rsid w:val="009766FA"/>
    <w:rsid w:val="00977CD6"/>
    <w:rsid w:val="0098048B"/>
    <w:rsid w:val="00980DF9"/>
    <w:rsid w:val="0098243D"/>
    <w:rsid w:val="00982D26"/>
    <w:rsid w:val="00983B6E"/>
    <w:rsid w:val="00983FE5"/>
    <w:rsid w:val="009849E9"/>
    <w:rsid w:val="009859E4"/>
    <w:rsid w:val="00987812"/>
    <w:rsid w:val="00990225"/>
    <w:rsid w:val="00992A13"/>
    <w:rsid w:val="00994AAD"/>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F0"/>
    <w:rsid w:val="009B19A9"/>
    <w:rsid w:val="009B1F4C"/>
    <w:rsid w:val="009B2471"/>
    <w:rsid w:val="009B314F"/>
    <w:rsid w:val="009B439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44D"/>
    <w:rsid w:val="00A2253D"/>
    <w:rsid w:val="00A2267F"/>
    <w:rsid w:val="00A22CDB"/>
    <w:rsid w:val="00A247B8"/>
    <w:rsid w:val="00A2495A"/>
    <w:rsid w:val="00A24C7A"/>
    <w:rsid w:val="00A24D8F"/>
    <w:rsid w:val="00A259FE"/>
    <w:rsid w:val="00A25B8B"/>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0E7C"/>
    <w:rsid w:val="00A61C60"/>
    <w:rsid w:val="00A61ECB"/>
    <w:rsid w:val="00A6410C"/>
    <w:rsid w:val="00A647B1"/>
    <w:rsid w:val="00A64DEF"/>
    <w:rsid w:val="00A654D2"/>
    <w:rsid w:val="00A665DF"/>
    <w:rsid w:val="00A67FCC"/>
    <w:rsid w:val="00A70AA5"/>
    <w:rsid w:val="00A70C03"/>
    <w:rsid w:val="00A71256"/>
    <w:rsid w:val="00A7217B"/>
    <w:rsid w:val="00A73861"/>
    <w:rsid w:val="00A739A6"/>
    <w:rsid w:val="00A740ED"/>
    <w:rsid w:val="00A74C29"/>
    <w:rsid w:val="00A74C62"/>
    <w:rsid w:val="00A75EF9"/>
    <w:rsid w:val="00A8311C"/>
    <w:rsid w:val="00A835D0"/>
    <w:rsid w:val="00A84C5F"/>
    <w:rsid w:val="00A85930"/>
    <w:rsid w:val="00A863F7"/>
    <w:rsid w:val="00A86604"/>
    <w:rsid w:val="00A87519"/>
    <w:rsid w:val="00A90890"/>
    <w:rsid w:val="00A9246D"/>
    <w:rsid w:val="00A92CCA"/>
    <w:rsid w:val="00A93BD0"/>
    <w:rsid w:val="00A93CC2"/>
    <w:rsid w:val="00A974CC"/>
    <w:rsid w:val="00AA2001"/>
    <w:rsid w:val="00AA2B5C"/>
    <w:rsid w:val="00AA32D2"/>
    <w:rsid w:val="00AA4016"/>
    <w:rsid w:val="00AA4C1F"/>
    <w:rsid w:val="00AA5328"/>
    <w:rsid w:val="00AA5393"/>
    <w:rsid w:val="00AA63D4"/>
    <w:rsid w:val="00AB03FD"/>
    <w:rsid w:val="00AB2000"/>
    <w:rsid w:val="00AB2590"/>
    <w:rsid w:val="00AB38CB"/>
    <w:rsid w:val="00AB3BEC"/>
    <w:rsid w:val="00AB44E4"/>
    <w:rsid w:val="00AB4AEB"/>
    <w:rsid w:val="00AB4E5F"/>
    <w:rsid w:val="00AB5352"/>
    <w:rsid w:val="00AB56AE"/>
    <w:rsid w:val="00AB62D5"/>
    <w:rsid w:val="00AB65B5"/>
    <w:rsid w:val="00AB6BAA"/>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69F0"/>
    <w:rsid w:val="00AD7127"/>
    <w:rsid w:val="00AD730C"/>
    <w:rsid w:val="00AE123A"/>
    <w:rsid w:val="00AE1539"/>
    <w:rsid w:val="00AE28A7"/>
    <w:rsid w:val="00AE2A98"/>
    <w:rsid w:val="00AE2CF2"/>
    <w:rsid w:val="00AE3012"/>
    <w:rsid w:val="00AE33A6"/>
    <w:rsid w:val="00AE3729"/>
    <w:rsid w:val="00AE4CCE"/>
    <w:rsid w:val="00AE5C6A"/>
    <w:rsid w:val="00AE7280"/>
    <w:rsid w:val="00AF033A"/>
    <w:rsid w:val="00AF1699"/>
    <w:rsid w:val="00AF1FD3"/>
    <w:rsid w:val="00AF2910"/>
    <w:rsid w:val="00AF2B32"/>
    <w:rsid w:val="00AF34B8"/>
    <w:rsid w:val="00AF3896"/>
    <w:rsid w:val="00AF3FC2"/>
    <w:rsid w:val="00B0098A"/>
    <w:rsid w:val="00B00A5F"/>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17E"/>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21E4"/>
    <w:rsid w:val="00B823E0"/>
    <w:rsid w:val="00B8260D"/>
    <w:rsid w:val="00B82B78"/>
    <w:rsid w:val="00B845B4"/>
    <w:rsid w:val="00B84662"/>
    <w:rsid w:val="00B84C74"/>
    <w:rsid w:val="00B85191"/>
    <w:rsid w:val="00B858A1"/>
    <w:rsid w:val="00B85FEC"/>
    <w:rsid w:val="00B864A3"/>
    <w:rsid w:val="00B86C2A"/>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1427"/>
    <w:rsid w:val="00C014C7"/>
    <w:rsid w:val="00C047AB"/>
    <w:rsid w:val="00C058AF"/>
    <w:rsid w:val="00C075B6"/>
    <w:rsid w:val="00C124C1"/>
    <w:rsid w:val="00C128AE"/>
    <w:rsid w:val="00C12BA8"/>
    <w:rsid w:val="00C136D6"/>
    <w:rsid w:val="00C13D5B"/>
    <w:rsid w:val="00C141D7"/>
    <w:rsid w:val="00C1711B"/>
    <w:rsid w:val="00C17AE2"/>
    <w:rsid w:val="00C20140"/>
    <w:rsid w:val="00C20F27"/>
    <w:rsid w:val="00C215CF"/>
    <w:rsid w:val="00C2244B"/>
    <w:rsid w:val="00C22711"/>
    <w:rsid w:val="00C2280A"/>
    <w:rsid w:val="00C22965"/>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4619"/>
    <w:rsid w:val="00C35D01"/>
    <w:rsid w:val="00C360B3"/>
    <w:rsid w:val="00C37027"/>
    <w:rsid w:val="00C37B19"/>
    <w:rsid w:val="00C413CB"/>
    <w:rsid w:val="00C42752"/>
    <w:rsid w:val="00C42973"/>
    <w:rsid w:val="00C46258"/>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717"/>
    <w:rsid w:val="00C77818"/>
    <w:rsid w:val="00C8063F"/>
    <w:rsid w:val="00C81282"/>
    <w:rsid w:val="00C827B4"/>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A3D"/>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3529"/>
    <w:rsid w:val="00CE35C8"/>
    <w:rsid w:val="00CE3962"/>
    <w:rsid w:val="00CE4D1A"/>
    <w:rsid w:val="00CE4E8A"/>
    <w:rsid w:val="00CE5105"/>
    <w:rsid w:val="00CE56BD"/>
    <w:rsid w:val="00CE5EC0"/>
    <w:rsid w:val="00CE6F9F"/>
    <w:rsid w:val="00CE781A"/>
    <w:rsid w:val="00CE7B08"/>
    <w:rsid w:val="00CE7D52"/>
    <w:rsid w:val="00CF1D74"/>
    <w:rsid w:val="00CF2BE2"/>
    <w:rsid w:val="00CF3DEB"/>
    <w:rsid w:val="00CF55F9"/>
    <w:rsid w:val="00CF7074"/>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185"/>
    <w:rsid w:val="00D33488"/>
    <w:rsid w:val="00D33AB3"/>
    <w:rsid w:val="00D33F24"/>
    <w:rsid w:val="00D34160"/>
    <w:rsid w:val="00D346B8"/>
    <w:rsid w:val="00D34DCA"/>
    <w:rsid w:val="00D35AC8"/>
    <w:rsid w:val="00D36F87"/>
    <w:rsid w:val="00D37E4E"/>
    <w:rsid w:val="00D417D8"/>
    <w:rsid w:val="00D41F78"/>
    <w:rsid w:val="00D42E6C"/>
    <w:rsid w:val="00D4351C"/>
    <w:rsid w:val="00D43B80"/>
    <w:rsid w:val="00D44988"/>
    <w:rsid w:val="00D45B4C"/>
    <w:rsid w:val="00D45BA4"/>
    <w:rsid w:val="00D471AF"/>
    <w:rsid w:val="00D4724F"/>
    <w:rsid w:val="00D50519"/>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7D7"/>
    <w:rsid w:val="00DA2A64"/>
    <w:rsid w:val="00DA2D3D"/>
    <w:rsid w:val="00DA4C30"/>
    <w:rsid w:val="00DB145E"/>
    <w:rsid w:val="00DB1A94"/>
    <w:rsid w:val="00DB1D52"/>
    <w:rsid w:val="00DB1E2B"/>
    <w:rsid w:val="00DB1F62"/>
    <w:rsid w:val="00DB21E7"/>
    <w:rsid w:val="00DB2E03"/>
    <w:rsid w:val="00DB3742"/>
    <w:rsid w:val="00DB3E9B"/>
    <w:rsid w:val="00DB3F4B"/>
    <w:rsid w:val="00DB5375"/>
    <w:rsid w:val="00DB5E79"/>
    <w:rsid w:val="00DB67C1"/>
    <w:rsid w:val="00DB6C0B"/>
    <w:rsid w:val="00DB70F4"/>
    <w:rsid w:val="00DB748A"/>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47E2"/>
    <w:rsid w:val="00DE5E82"/>
    <w:rsid w:val="00DE5FA6"/>
    <w:rsid w:val="00DE6792"/>
    <w:rsid w:val="00DE6AA1"/>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913"/>
    <w:rsid w:val="00E10B87"/>
    <w:rsid w:val="00E121CE"/>
    <w:rsid w:val="00E14178"/>
    <w:rsid w:val="00E1478B"/>
    <w:rsid w:val="00E14FAC"/>
    <w:rsid w:val="00E15007"/>
    <w:rsid w:val="00E16277"/>
    <w:rsid w:val="00E16EC7"/>
    <w:rsid w:val="00E219CE"/>
    <w:rsid w:val="00E21DDE"/>
    <w:rsid w:val="00E24071"/>
    <w:rsid w:val="00E24EBC"/>
    <w:rsid w:val="00E2522C"/>
    <w:rsid w:val="00E2552F"/>
    <w:rsid w:val="00E2599B"/>
    <w:rsid w:val="00E2710C"/>
    <w:rsid w:val="00E27428"/>
    <w:rsid w:val="00E305B4"/>
    <w:rsid w:val="00E31AFA"/>
    <w:rsid w:val="00E31CB7"/>
    <w:rsid w:val="00E324EE"/>
    <w:rsid w:val="00E34DB1"/>
    <w:rsid w:val="00E35931"/>
    <w:rsid w:val="00E359FF"/>
    <w:rsid w:val="00E402C5"/>
    <w:rsid w:val="00E402F4"/>
    <w:rsid w:val="00E405F1"/>
    <w:rsid w:val="00E417DB"/>
    <w:rsid w:val="00E43054"/>
    <w:rsid w:val="00E43655"/>
    <w:rsid w:val="00E44440"/>
    <w:rsid w:val="00E46013"/>
    <w:rsid w:val="00E47099"/>
    <w:rsid w:val="00E47284"/>
    <w:rsid w:val="00E477C3"/>
    <w:rsid w:val="00E51E16"/>
    <w:rsid w:val="00E52B8B"/>
    <w:rsid w:val="00E53730"/>
    <w:rsid w:val="00E5438D"/>
    <w:rsid w:val="00E54511"/>
    <w:rsid w:val="00E54E50"/>
    <w:rsid w:val="00E55288"/>
    <w:rsid w:val="00E57577"/>
    <w:rsid w:val="00E62043"/>
    <w:rsid w:val="00E626B9"/>
    <w:rsid w:val="00E627C9"/>
    <w:rsid w:val="00E630F3"/>
    <w:rsid w:val="00E6332F"/>
    <w:rsid w:val="00E637C9"/>
    <w:rsid w:val="00E63E72"/>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398C"/>
    <w:rsid w:val="00E8410F"/>
    <w:rsid w:val="00E849D7"/>
    <w:rsid w:val="00E85E41"/>
    <w:rsid w:val="00E85EA1"/>
    <w:rsid w:val="00E86703"/>
    <w:rsid w:val="00E91044"/>
    <w:rsid w:val="00E910D3"/>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FA6"/>
    <w:rsid w:val="00EE73D0"/>
    <w:rsid w:val="00EE7CB0"/>
    <w:rsid w:val="00EF08A8"/>
    <w:rsid w:val="00EF167B"/>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EA"/>
    <w:rsid w:val="00F070E5"/>
    <w:rsid w:val="00F07DDE"/>
    <w:rsid w:val="00F07EA3"/>
    <w:rsid w:val="00F11675"/>
    <w:rsid w:val="00F12557"/>
    <w:rsid w:val="00F13599"/>
    <w:rsid w:val="00F13B28"/>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802"/>
    <w:rsid w:val="00F85B72"/>
    <w:rsid w:val="00F86540"/>
    <w:rsid w:val="00F865CE"/>
    <w:rsid w:val="00F8766F"/>
    <w:rsid w:val="00F91082"/>
    <w:rsid w:val="00F9116D"/>
    <w:rsid w:val="00F91A9A"/>
    <w:rsid w:val="00F93ABB"/>
    <w:rsid w:val="00F94D79"/>
    <w:rsid w:val="00F9658C"/>
    <w:rsid w:val="00F97A7F"/>
    <w:rsid w:val="00FA0889"/>
    <w:rsid w:val="00FA16E7"/>
    <w:rsid w:val="00FA31C7"/>
    <w:rsid w:val="00FA472D"/>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524"/>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0D5A13"/>
    <w:rsid w:val="012F5F9F"/>
    <w:rsid w:val="014A102B"/>
    <w:rsid w:val="016F7153"/>
    <w:rsid w:val="01710637"/>
    <w:rsid w:val="01AF3D99"/>
    <w:rsid w:val="01B22D99"/>
    <w:rsid w:val="01B62F5C"/>
    <w:rsid w:val="01C725D1"/>
    <w:rsid w:val="022573A2"/>
    <w:rsid w:val="02387397"/>
    <w:rsid w:val="02511F9D"/>
    <w:rsid w:val="02742081"/>
    <w:rsid w:val="02935F01"/>
    <w:rsid w:val="02C04675"/>
    <w:rsid w:val="02CB619B"/>
    <w:rsid w:val="02CD2AC9"/>
    <w:rsid w:val="02E22580"/>
    <w:rsid w:val="031145FE"/>
    <w:rsid w:val="031B3C40"/>
    <w:rsid w:val="036B492A"/>
    <w:rsid w:val="036E5B01"/>
    <w:rsid w:val="03914DFC"/>
    <w:rsid w:val="03926B79"/>
    <w:rsid w:val="03A314B8"/>
    <w:rsid w:val="03A82039"/>
    <w:rsid w:val="03C232AA"/>
    <w:rsid w:val="03D82B98"/>
    <w:rsid w:val="03F05EC4"/>
    <w:rsid w:val="03F4702C"/>
    <w:rsid w:val="03F83E8B"/>
    <w:rsid w:val="040A6783"/>
    <w:rsid w:val="0436002A"/>
    <w:rsid w:val="04720037"/>
    <w:rsid w:val="047B0408"/>
    <w:rsid w:val="048168F2"/>
    <w:rsid w:val="048F14A4"/>
    <w:rsid w:val="04F956C3"/>
    <w:rsid w:val="05412745"/>
    <w:rsid w:val="05433F34"/>
    <w:rsid w:val="056B3910"/>
    <w:rsid w:val="0587293D"/>
    <w:rsid w:val="05C56868"/>
    <w:rsid w:val="05F15243"/>
    <w:rsid w:val="06523B84"/>
    <w:rsid w:val="06696793"/>
    <w:rsid w:val="06846997"/>
    <w:rsid w:val="06975FDD"/>
    <w:rsid w:val="069E0C0B"/>
    <w:rsid w:val="06E365D3"/>
    <w:rsid w:val="06EA6888"/>
    <w:rsid w:val="06FB7D55"/>
    <w:rsid w:val="07196F1F"/>
    <w:rsid w:val="072E1D42"/>
    <w:rsid w:val="07B72767"/>
    <w:rsid w:val="07C4187D"/>
    <w:rsid w:val="08015805"/>
    <w:rsid w:val="08077E72"/>
    <w:rsid w:val="081751D4"/>
    <w:rsid w:val="082779D0"/>
    <w:rsid w:val="0828199A"/>
    <w:rsid w:val="085E779D"/>
    <w:rsid w:val="08627862"/>
    <w:rsid w:val="0863785E"/>
    <w:rsid w:val="086B07FE"/>
    <w:rsid w:val="08882DD0"/>
    <w:rsid w:val="08892439"/>
    <w:rsid w:val="088D0955"/>
    <w:rsid w:val="08E20AF0"/>
    <w:rsid w:val="091E2541"/>
    <w:rsid w:val="092D02E0"/>
    <w:rsid w:val="094F6556"/>
    <w:rsid w:val="09701778"/>
    <w:rsid w:val="099442C4"/>
    <w:rsid w:val="099D2E50"/>
    <w:rsid w:val="09B35FA1"/>
    <w:rsid w:val="09BE6112"/>
    <w:rsid w:val="09C1778E"/>
    <w:rsid w:val="09CC2AAC"/>
    <w:rsid w:val="09D26E76"/>
    <w:rsid w:val="09EC6054"/>
    <w:rsid w:val="0A051A88"/>
    <w:rsid w:val="0A087F03"/>
    <w:rsid w:val="0A397E8E"/>
    <w:rsid w:val="0A4F09D9"/>
    <w:rsid w:val="0A5963A4"/>
    <w:rsid w:val="0A652A31"/>
    <w:rsid w:val="0A652D3E"/>
    <w:rsid w:val="0AB07C20"/>
    <w:rsid w:val="0B024724"/>
    <w:rsid w:val="0B0C26B0"/>
    <w:rsid w:val="0B19437E"/>
    <w:rsid w:val="0B1A7CC0"/>
    <w:rsid w:val="0B2226D0"/>
    <w:rsid w:val="0B326F2A"/>
    <w:rsid w:val="0B3348DE"/>
    <w:rsid w:val="0BAF7DA1"/>
    <w:rsid w:val="0BBD50C2"/>
    <w:rsid w:val="0BFF5852"/>
    <w:rsid w:val="0C1E2888"/>
    <w:rsid w:val="0C2D3557"/>
    <w:rsid w:val="0C311318"/>
    <w:rsid w:val="0C6F33B2"/>
    <w:rsid w:val="0C86227D"/>
    <w:rsid w:val="0C92213C"/>
    <w:rsid w:val="0D704BD2"/>
    <w:rsid w:val="0D84032B"/>
    <w:rsid w:val="0D8C392C"/>
    <w:rsid w:val="0D9D1A98"/>
    <w:rsid w:val="0DBE1E7E"/>
    <w:rsid w:val="0DC72CA7"/>
    <w:rsid w:val="0DD2472B"/>
    <w:rsid w:val="0DF456F3"/>
    <w:rsid w:val="0DF60851"/>
    <w:rsid w:val="0DF9080A"/>
    <w:rsid w:val="0E5232CD"/>
    <w:rsid w:val="0E5A0100"/>
    <w:rsid w:val="0E7E2907"/>
    <w:rsid w:val="0E8E0957"/>
    <w:rsid w:val="0EC35F79"/>
    <w:rsid w:val="0EE80FB0"/>
    <w:rsid w:val="0EEB433F"/>
    <w:rsid w:val="0EEC7088"/>
    <w:rsid w:val="0F2A74C4"/>
    <w:rsid w:val="0F64150A"/>
    <w:rsid w:val="0F8110A9"/>
    <w:rsid w:val="0F935F8A"/>
    <w:rsid w:val="0F952878"/>
    <w:rsid w:val="0F9D76F0"/>
    <w:rsid w:val="0FDC19E8"/>
    <w:rsid w:val="0FF755A2"/>
    <w:rsid w:val="102D04A8"/>
    <w:rsid w:val="10811B8B"/>
    <w:rsid w:val="10966464"/>
    <w:rsid w:val="10972E22"/>
    <w:rsid w:val="10973F44"/>
    <w:rsid w:val="10A27F31"/>
    <w:rsid w:val="10AA3894"/>
    <w:rsid w:val="10C46484"/>
    <w:rsid w:val="10E155FC"/>
    <w:rsid w:val="10F11C50"/>
    <w:rsid w:val="112655D7"/>
    <w:rsid w:val="115C30BB"/>
    <w:rsid w:val="116457F1"/>
    <w:rsid w:val="1182211B"/>
    <w:rsid w:val="11927058"/>
    <w:rsid w:val="1199108E"/>
    <w:rsid w:val="11A44274"/>
    <w:rsid w:val="11CC2458"/>
    <w:rsid w:val="11EF5559"/>
    <w:rsid w:val="12787244"/>
    <w:rsid w:val="128F4AEF"/>
    <w:rsid w:val="129A6873"/>
    <w:rsid w:val="12C90BF9"/>
    <w:rsid w:val="12E57A14"/>
    <w:rsid w:val="12E94ECD"/>
    <w:rsid w:val="133C4D0F"/>
    <w:rsid w:val="13477178"/>
    <w:rsid w:val="13513982"/>
    <w:rsid w:val="1360023A"/>
    <w:rsid w:val="13656C7B"/>
    <w:rsid w:val="137E4505"/>
    <w:rsid w:val="139A1ADD"/>
    <w:rsid w:val="13AF4F03"/>
    <w:rsid w:val="13C6466B"/>
    <w:rsid w:val="13CC25A2"/>
    <w:rsid w:val="13FA41EA"/>
    <w:rsid w:val="142459BC"/>
    <w:rsid w:val="142716C1"/>
    <w:rsid w:val="145626A0"/>
    <w:rsid w:val="14736E66"/>
    <w:rsid w:val="147F458F"/>
    <w:rsid w:val="14CF52C6"/>
    <w:rsid w:val="14D958EC"/>
    <w:rsid w:val="15093A44"/>
    <w:rsid w:val="1534169A"/>
    <w:rsid w:val="15351C3A"/>
    <w:rsid w:val="1542409B"/>
    <w:rsid w:val="154B36CB"/>
    <w:rsid w:val="154D1AB5"/>
    <w:rsid w:val="155420C2"/>
    <w:rsid w:val="15747FCD"/>
    <w:rsid w:val="158F122C"/>
    <w:rsid w:val="15B10FFB"/>
    <w:rsid w:val="15C03E03"/>
    <w:rsid w:val="15D441B2"/>
    <w:rsid w:val="15EE3DF5"/>
    <w:rsid w:val="1621324F"/>
    <w:rsid w:val="162A25EB"/>
    <w:rsid w:val="162B3D30"/>
    <w:rsid w:val="164E193C"/>
    <w:rsid w:val="16703B7D"/>
    <w:rsid w:val="16A1618C"/>
    <w:rsid w:val="16D84048"/>
    <w:rsid w:val="16F52006"/>
    <w:rsid w:val="16FD2A55"/>
    <w:rsid w:val="17067C1A"/>
    <w:rsid w:val="171F21BA"/>
    <w:rsid w:val="17281D27"/>
    <w:rsid w:val="17366761"/>
    <w:rsid w:val="174A3B00"/>
    <w:rsid w:val="174B2FAF"/>
    <w:rsid w:val="176C6F1B"/>
    <w:rsid w:val="177C01F0"/>
    <w:rsid w:val="179761F4"/>
    <w:rsid w:val="179F0784"/>
    <w:rsid w:val="17B1437D"/>
    <w:rsid w:val="17CE6630"/>
    <w:rsid w:val="17E84E3D"/>
    <w:rsid w:val="182773DC"/>
    <w:rsid w:val="1857039D"/>
    <w:rsid w:val="18E86D07"/>
    <w:rsid w:val="190F6BAC"/>
    <w:rsid w:val="19301CCB"/>
    <w:rsid w:val="193B4258"/>
    <w:rsid w:val="194D74B2"/>
    <w:rsid w:val="196D1903"/>
    <w:rsid w:val="19B76750"/>
    <w:rsid w:val="19BE5CBA"/>
    <w:rsid w:val="19EF7265"/>
    <w:rsid w:val="19F93196"/>
    <w:rsid w:val="1A037B71"/>
    <w:rsid w:val="1A0A5421"/>
    <w:rsid w:val="1A281E43"/>
    <w:rsid w:val="1A5B49E0"/>
    <w:rsid w:val="1A722BCA"/>
    <w:rsid w:val="1A77384A"/>
    <w:rsid w:val="1AB86765"/>
    <w:rsid w:val="1AE47B50"/>
    <w:rsid w:val="1AFF0AFE"/>
    <w:rsid w:val="1B335EE6"/>
    <w:rsid w:val="1B4B5BC3"/>
    <w:rsid w:val="1B4F19F8"/>
    <w:rsid w:val="1B7E070A"/>
    <w:rsid w:val="1B8A22F8"/>
    <w:rsid w:val="1BA87EC6"/>
    <w:rsid w:val="1BAE30A8"/>
    <w:rsid w:val="1BBB0703"/>
    <w:rsid w:val="1BBC5D68"/>
    <w:rsid w:val="1BC25F36"/>
    <w:rsid w:val="1BC9748D"/>
    <w:rsid w:val="1C0876C1"/>
    <w:rsid w:val="1C0E6049"/>
    <w:rsid w:val="1C226F03"/>
    <w:rsid w:val="1C856F63"/>
    <w:rsid w:val="1CBA4E5F"/>
    <w:rsid w:val="1CEB3F26"/>
    <w:rsid w:val="1D03319F"/>
    <w:rsid w:val="1D1D4F7C"/>
    <w:rsid w:val="1D28776C"/>
    <w:rsid w:val="1D311D2C"/>
    <w:rsid w:val="1D66692B"/>
    <w:rsid w:val="1D727452"/>
    <w:rsid w:val="1D85697E"/>
    <w:rsid w:val="1DA04055"/>
    <w:rsid w:val="1DEF6CC5"/>
    <w:rsid w:val="1E110AAE"/>
    <w:rsid w:val="1E1B2E7B"/>
    <w:rsid w:val="1E214BAB"/>
    <w:rsid w:val="1E2C19A9"/>
    <w:rsid w:val="1E311151"/>
    <w:rsid w:val="1E4A5710"/>
    <w:rsid w:val="1E4F0E0A"/>
    <w:rsid w:val="1E5944B9"/>
    <w:rsid w:val="1E6E057B"/>
    <w:rsid w:val="1E7159F1"/>
    <w:rsid w:val="1E9D4307"/>
    <w:rsid w:val="1EA334F7"/>
    <w:rsid w:val="1EAA53B9"/>
    <w:rsid w:val="1EB53B95"/>
    <w:rsid w:val="1ECC44FA"/>
    <w:rsid w:val="1ED56D3C"/>
    <w:rsid w:val="1EE24661"/>
    <w:rsid w:val="1EE34478"/>
    <w:rsid w:val="1F041A78"/>
    <w:rsid w:val="1F063325"/>
    <w:rsid w:val="1F2E75F3"/>
    <w:rsid w:val="1F5D41BA"/>
    <w:rsid w:val="1F806AFD"/>
    <w:rsid w:val="1FA802B9"/>
    <w:rsid w:val="1FB07AC3"/>
    <w:rsid w:val="1FB333BE"/>
    <w:rsid w:val="1FBB5C27"/>
    <w:rsid w:val="1FBC5DF5"/>
    <w:rsid w:val="1FBC7140"/>
    <w:rsid w:val="1FC065C3"/>
    <w:rsid w:val="1FF73CD4"/>
    <w:rsid w:val="1FF90588"/>
    <w:rsid w:val="20386183"/>
    <w:rsid w:val="20412549"/>
    <w:rsid w:val="20764259"/>
    <w:rsid w:val="20764D4C"/>
    <w:rsid w:val="20A97CAF"/>
    <w:rsid w:val="20B67FE5"/>
    <w:rsid w:val="20C3623F"/>
    <w:rsid w:val="2132119A"/>
    <w:rsid w:val="21492C29"/>
    <w:rsid w:val="215313DE"/>
    <w:rsid w:val="21781212"/>
    <w:rsid w:val="218B2F7A"/>
    <w:rsid w:val="21B83F86"/>
    <w:rsid w:val="21C52588"/>
    <w:rsid w:val="21DC6599"/>
    <w:rsid w:val="21E035E5"/>
    <w:rsid w:val="221178A8"/>
    <w:rsid w:val="221213CF"/>
    <w:rsid w:val="22324ED2"/>
    <w:rsid w:val="22327A92"/>
    <w:rsid w:val="22416F62"/>
    <w:rsid w:val="22604438"/>
    <w:rsid w:val="22A95E69"/>
    <w:rsid w:val="22C428C8"/>
    <w:rsid w:val="22E94620"/>
    <w:rsid w:val="22F928A5"/>
    <w:rsid w:val="22FB06B8"/>
    <w:rsid w:val="231D53A2"/>
    <w:rsid w:val="231F3C6E"/>
    <w:rsid w:val="232E0C7E"/>
    <w:rsid w:val="234826EF"/>
    <w:rsid w:val="236C15E7"/>
    <w:rsid w:val="236D5383"/>
    <w:rsid w:val="237A72E0"/>
    <w:rsid w:val="237D01AC"/>
    <w:rsid w:val="239A1546"/>
    <w:rsid w:val="23B7504C"/>
    <w:rsid w:val="23C3397A"/>
    <w:rsid w:val="23D80212"/>
    <w:rsid w:val="240810C5"/>
    <w:rsid w:val="242F0C3B"/>
    <w:rsid w:val="244A37BC"/>
    <w:rsid w:val="24571307"/>
    <w:rsid w:val="245E2574"/>
    <w:rsid w:val="24A071F2"/>
    <w:rsid w:val="24A82AF4"/>
    <w:rsid w:val="25110A2A"/>
    <w:rsid w:val="251A11AA"/>
    <w:rsid w:val="251C33AB"/>
    <w:rsid w:val="25251562"/>
    <w:rsid w:val="25407ECB"/>
    <w:rsid w:val="256C0944"/>
    <w:rsid w:val="258B5691"/>
    <w:rsid w:val="25902D1D"/>
    <w:rsid w:val="25F130E8"/>
    <w:rsid w:val="26414A3D"/>
    <w:rsid w:val="26446DE3"/>
    <w:rsid w:val="264F6A06"/>
    <w:rsid w:val="266460DD"/>
    <w:rsid w:val="26647768"/>
    <w:rsid w:val="26717F73"/>
    <w:rsid w:val="269669E7"/>
    <w:rsid w:val="26B7661F"/>
    <w:rsid w:val="26B86B20"/>
    <w:rsid w:val="26D7699F"/>
    <w:rsid w:val="26F602DF"/>
    <w:rsid w:val="2769529E"/>
    <w:rsid w:val="27CF26C3"/>
    <w:rsid w:val="280D678A"/>
    <w:rsid w:val="28151343"/>
    <w:rsid w:val="28237E6F"/>
    <w:rsid w:val="28615C50"/>
    <w:rsid w:val="287D436A"/>
    <w:rsid w:val="28D77AC5"/>
    <w:rsid w:val="28EC1CD4"/>
    <w:rsid w:val="290A15C7"/>
    <w:rsid w:val="291D3201"/>
    <w:rsid w:val="29235B3A"/>
    <w:rsid w:val="294E41DD"/>
    <w:rsid w:val="298F4F7D"/>
    <w:rsid w:val="299759DF"/>
    <w:rsid w:val="29986C4B"/>
    <w:rsid w:val="29A46C7B"/>
    <w:rsid w:val="29CE5FB1"/>
    <w:rsid w:val="29D73804"/>
    <w:rsid w:val="2A226154"/>
    <w:rsid w:val="2A272F99"/>
    <w:rsid w:val="2A2E522E"/>
    <w:rsid w:val="2A376AB0"/>
    <w:rsid w:val="2A45035E"/>
    <w:rsid w:val="2A5135AE"/>
    <w:rsid w:val="2A5F2957"/>
    <w:rsid w:val="2A7D127A"/>
    <w:rsid w:val="2A8F73B5"/>
    <w:rsid w:val="2A9860B3"/>
    <w:rsid w:val="2AC04BDC"/>
    <w:rsid w:val="2ADC1861"/>
    <w:rsid w:val="2AE15478"/>
    <w:rsid w:val="2AF14A8E"/>
    <w:rsid w:val="2AF14E45"/>
    <w:rsid w:val="2B2106C7"/>
    <w:rsid w:val="2B2E7803"/>
    <w:rsid w:val="2B3A025C"/>
    <w:rsid w:val="2B3C541C"/>
    <w:rsid w:val="2B4A1AA4"/>
    <w:rsid w:val="2B6C4A39"/>
    <w:rsid w:val="2B735258"/>
    <w:rsid w:val="2B774624"/>
    <w:rsid w:val="2B793A04"/>
    <w:rsid w:val="2BB93ED9"/>
    <w:rsid w:val="2BDA4BD6"/>
    <w:rsid w:val="2BE312E2"/>
    <w:rsid w:val="2BFE5BCC"/>
    <w:rsid w:val="2C0E75DC"/>
    <w:rsid w:val="2C4B5AD3"/>
    <w:rsid w:val="2C7A72BE"/>
    <w:rsid w:val="2C9A7D75"/>
    <w:rsid w:val="2CA3146B"/>
    <w:rsid w:val="2CB00F7B"/>
    <w:rsid w:val="2CC17412"/>
    <w:rsid w:val="2CE368A0"/>
    <w:rsid w:val="2D0C069C"/>
    <w:rsid w:val="2D1F5570"/>
    <w:rsid w:val="2D2532F7"/>
    <w:rsid w:val="2D356039"/>
    <w:rsid w:val="2D3826D4"/>
    <w:rsid w:val="2D3B446B"/>
    <w:rsid w:val="2D4C1B03"/>
    <w:rsid w:val="2D5C161A"/>
    <w:rsid w:val="2D9E4EF5"/>
    <w:rsid w:val="2DA34EFD"/>
    <w:rsid w:val="2DBE1B19"/>
    <w:rsid w:val="2E8902BD"/>
    <w:rsid w:val="2E9976CE"/>
    <w:rsid w:val="2EA51BE7"/>
    <w:rsid w:val="2EDF6121"/>
    <w:rsid w:val="2EEE2746"/>
    <w:rsid w:val="2EFA6479"/>
    <w:rsid w:val="2F0562AC"/>
    <w:rsid w:val="2F1A389B"/>
    <w:rsid w:val="2F401D3C"/>
    <w:rsid w:val="2F481BD5"/>
    <w:rsid w:val="2F495FDF"/>
    <w:rsid w:val="2F5B24E1"/>
    <w:rsid w:val="2F723377"/>
    <w:rsid w:val="2F797A5E"/>
    <w:rsid w:val="2F922799"/>
    <w:rsid w:val="2FA95C88"/>
    <w:rsid w:val="2FB677DE"/>
    <w:rsid w:val="30354AD0"/>
    <w:rsid w:val="3041370F"/>
    <w:rsid w:val="304B0C73"/>
    <w:rsid w:val="30533BF6"/>
    <w:rsid w:val="305C4F41"/>
    <w:rsid w:val="306975FC"/>
    <w:rsid w:val="306B04D9"/>
    <w:rsid w:val="306F5407"/>
    <w:rsid w:val="3076628F"/>
    <w:rsid w:val="307F1F3A"/>
    <w:rsid w:val="308A360E"/>
    <w:rsid w:val="30D0779E"/>
    <w:rsid w:val="30D46DD6"/>
    <w:rsid w:val="312B50A3"/>
    <w:rsid w:val="31470B66"/>
    <w:rsid w:val="317434EE"/>
    <w:rsid w:val="318339AF"/>
    <w:rsid w:val="31F42D6D"/>
    <w:rsid w:val="32186458"/>
    <w:rsid w:val="321D0FA8"/>
    <w:rsid w:val="3244105E"/>
    <w:rsid w:val="32453A27"/>
    <w:rsid w:val="32467653"/>
    <w:rsid w:val="3263064A"/>
    <w:rsid w:val="328037A4"/>
    <w:rsid w:val="32891E95"/>
    <w:rsid w:val="329E001B"/>
    <w:rsid w:val="32A43132"/>
    <w:rsid w:val="32A85EEA"/>
    <w:rsid w:val="32A96F99"/>
    <w:rsid w:val="32AC0C06"/>
    <w:rsid w:val="32B372FC"/>
    <w:rsid w:val="33344EF5"/>
    <w:rsid w:val="336C5A75"/>
    <w:rsid w:val="338B4A07"/>
    <w:rsid w:val="33C1603C"/>
    <w:rsid w:val="33D77A11"/>
    <w:rsid w:val="33DC34B5"/>
    <w:rsid w:val="33E701B5"/>
    <w:rsid w:val="341B0BAB"/>
    <w:rsid w:val="34403A44"/>
    <w:rsid w:val="348F1C20"/>
    <w:rsid w:val="34961252"/>
    <w:rsid w:val="34B2171E"/>
    <w:rsid w:val="34B40E55"/>
    <w:rsid w:val="34D832FB"/>
    <w:rsid w:val="34DE7044"/>
    <w:rsid w:val="34DF406C"/>
    <w:rsid w:val="34F3561E"/>
    <w:rsid w:val="351D6D40"/>
    <w:rsid w:val="3537750C"/>
    <w:rsid w:val="3537798C"/>
    <w:rsid w:val="35C13FC9"/>
    <w:rsid w:val="35C97A69"/>
    <w:rsid w:val="35CF650A"/>
    <w:rsid w:val="35ED22FA"/>
    <w:rsid w:val="36180D06"/>
    <w:rsid w:val="362F20B8"/>
    <w:rsid w:val="364257B6"/>
    <w:rsid w:val="36703DAC"/>
    <w:rsid w:val="36A715E2"/>
    <w:rsid w:val="36EC0E8D"/>
    <w:rsid w:val="36EF52AD"/>
    <w:rsid w:val="37570DB0"/>
    <w:rsid w:val="376510BF"/>
    <w:rsid w:val="377834F5"/>
    <w:rsid w:val="37784227"/>
    <w:rsid w:val="37C065A4"/>
    <w:rsid w:val="37E54253"/>
    <w:rsid w:val="37EA5922"/>
    <w:rsid w:val="37EB3A58"/>
    <w:rsid w:val="38200EF4"/>
    <w:rsid w:val="38276B93"/>
    <w:rsid w:val="383E64EC"/>
    <w:rsid w:val="388B0C24"/>
    <w:rsid w:val="38AC3431"/>
    <w:rsid w:val="38C73EF6"/>
    <w:rsid w:val="38DD3F57"/>
    <w:rsid w:val="38E8229D"/>
    <w:rsid w:val="38F8669B"/>
    <w:rsid w:val="39001359"/>
    <w:rsid w:val="39033292"/>
    <w:rsid w:val="39053BD7"/>
    <w:rsid w:val="3905525C"/>
    <w:rsid w:val="39083421"/>
    <w:rsid w:val="390B41DF"/>
    <w:rsid w:val="390F5CCE"/>
    <w:rsid w:val="392F2E16"/>
    <w:rsid w:val="392F4087"/>
    <w:rsid w:val="39355F61"/>
    <w:rsid w:val="393C4D69"/>
    <w:rsid w:val="395A71DA"/>
    <w:rsid w:val="396443EC"/>
    <w:rsid w:val="397321C6"/>
    <w:rsid w:val="399A6AFF"/>
    <w:rsid w:val="39AF6B0C"/>
    <w:rsid w:val="39E00529"/>
    <w:rsid w:val="39E66E3B"/>
    <w:rsid w:val="39E872B5"/>
    <w:rsid w:val="3A0B64A7"/>
    <w:rsid w:val="3A5313ED"/>
    <w:rsid w:val="3A574DDA"/>
    <w:rsid w:val="3A8B03F2"/>
    <w:rsid w:val="3AAD00AC"/>
    <w:rsid w:val="3AC47AA2"/>
    <w:rsid w:val="3AD3075A"/>
    <w:rsid w:val="3AD43138"/>
    <w:rsid w:val="3AEB0C0E"/>
    <w:rsid w:val="3AEE59A4"/>
    <w:rsid w:val="3AF74C02"/>
    <w:rsid w:val="3B034519"/>
    <w:rsid w:val="3B0B6BFA"/>
    <w:rsid w:val="3B2C3541"/>
    <w:rsid w:val="3B36756B"/>
    <w:rsid w:val="3B3871C1"/>
    <w:rsid w:val="3B597E46"/>
    <w:rsid w:val="3B641AD1"/>
    <w:rsid w:val="3B846932"/>
    <w:rsid w:val="3BAB60AE"/>
    <w:rsid w:val="3BBF500B"/>
    <w:rsid w:val="3BD45B6A"/>
    <w:rsid w:val="3BF21AC7"/>
    <w:rsid w:val="3C0059A5"/>
    <w:rsid w:val="3C134E78"/>
    <w:rsid w:val="3C2F4ACA"/>
    <w:rsid w:val="3C6D114E"/>
    <w:rsid w:val="3C722C08"/>
    <w:rsid w:val="3C763B91"/>
    <w:rsid w:val="3C7E6012"/>
    <w:rsid w:val="3CBD051B"/>
    <w:rsid w:val="3CBD2E74"/>
    <w:rsid w:val="3CE96BF5"/>
    <w:rsid w:val="3CEC4769"/>
    <w:rsid w:val="3D275F1E"/>
    <w:rsid w:val="3D2C2DB7"/>
    <w:rsid w:val="3D3A1978"/>
    <w:rsid w:val="3D70096A"/>
    <w:rsid w:val="3D9D1F07"/>
    <w:rsid w:val="3D9E2154"/>
    <w:rsid w:val="3DAB12B1"/>
    <w:rsid w:val="3DAD1691"/>
    <w:rsid w:val="3DEC7285"/>
    <w:rsid w:val="3DF243A7"/>
    <w:rsid w:val="3DF6345D"/>
    <w:rsid w:val="3E1C68A5"/>
    <w:rsid w:val="3E2B5515"/>
    <w:rsid w:val="3E4D4F28"/>
    <w:rsid w:val="3E8E35FE"/>
    <w:rsid w:val="3EA80B63"/>
    <w:rsid w:val="3EB638C8"/>
    <w:rsid w:val="3EB915ED"/>
    <w:rsid w:val="3EE13701"/>
    <w:rsid w:val="3EF177DA"/>
    <w:rsid w:val="3EFE1167"/>
    <w:rsid w:val="3F055FB6"/>
    <w:rsid w:val="3F1A4BB3"/>
    <w:rsid w:val="3F26323A"/>
    <w:rsid w:val="3F5E5689"/>
    <w:rsid w:val="3F6C1B91"/>
    <w:rsid w:val="3FAA2EE9"/>
    <w:rsid w:val="3FB83676"/>
    <w:rsid w:val="3FD96AD0"/>
    <w:rsid w:val="3FEC20F1"/>
    <w:rsid w:val="400242A3"/>
    <w:rsid w:val="4004626D"/>
    <w:rsid w:val="40192BA6"/>
    <w:rsid w:val="401A1FBB"/>
    <w:rsid w:val="40297D67"/>
    <w:rsid w:val="402E537D"/>
    <w:rsid w:val="40C160A8"/>
    <w:rsid w:val="40E97773"/>
    <w:rsid w:val="40EF3AB1"/>
    <w:rsid w:val="40FF7E5C"/>
    <w:rsid w:val="411F1601"/>
    <w:rsid w:val="41481729"/>
    <w:rsid w:val="41553E7C"/>
    <w:rsid w:val="41766EA9"/>
    <w:rsid w:val="417967E7"/>
    <w:rsid w:val="418770DC"/>
    <w:rsid w:val="418D28F1"/>
    <w:rsid w:val="41910D8A"/>
    <w:rsid w:val="41950970"/>
    <w:rsid w:val="41981F64"/>
    <w:rsid w:val="41DA108E"/>
    <w:rsid w:val="41F32A9F"/>
    <w:rsid w:val="42277434"/>
    <w:rsid w:val="423544BC"/>
    <w:rsid w:val="423B07D0"/>
    <w:rsid w:val="42457DC2"/>
    <w:rsid w:val="42550A18"/>
    <w:rsid w:val="427B0293"/>
    <w:rsid w:val="429D496A"/>
    <w:rsid w:val="42DE55E5"/>
    <w:rsid w:val="42EA0F45"/>
    <w:rsid w:val="42F473A1"/>
    <w:rsid w:val="433C187A"/>
    <w:rsid w:val="4342080D"/>
    <w:rsid w:val="4360218F"/>
    <w:rsid w:val="436678D8"/>
    <w:rsid w:val="43901E92"/>
    <w:rsid w:val="43AF029E"/>
    <w:rsid w:val="43CF242B"/>
    <w:rsid w:val="43F26A07"/>
    <w:rsid w:val="440B60EA"/>
    <w:rsid w:val="44111204"/>
    <w:rsid w:val="441E2768"/>
    <w:rsid w:val="441E62C0"/>
    <w:rsid w:val="444A7FC7"/>
    <w:rsid w:val="44625310"/>
    <w:rsid w:val="447943E7"/>
    <w:rsid w:val="44957452"/>
    <w:rsid w:val="44A437AF"/>
    <w:rsid w:val="44CD7E13"/>
    <w:rsid w:val="45142F3A"/>
    <w:rsid w:val="451819E4"/>
    <w:rsid w:val="45325D14"/>
    <w:rsid w:val="4539703F"/>
    <w:rsid w:val="454D30CF"/>
    <w:rsid w:val="456B790A"/>
    <w:rsid w:val="45811C7C"/>
    <w:rsid w:val="45906116"/>
    <w:rsid w:val="45A123B0"/>
    <w:rsid w:val="45AE4F80"/>
    <w:rsid w:val="45C36F0A"/>
    <w:rsid w:val="45FF1C64"/>
    <w:rsid w:val="46361443"/>
    <w:rsid w:val="463C2A1C"/>
    <w:rsid w:val="465A1F46"/>
    <w:rsid w:val="46821C9A"/>
    <w:rsid w:val="468B3EFB"/>
    <w:rsid w:val="468E04C5"/>
    <w:rsid w:val="46B37526"/>
    <w:rsid w:val="46DC3AA0"/>
    <w:rsid w:val="46E2098A"/>
    <w:rsid w:val="470A6193"/>
    <w:rsid w:val="473608E5"/>
    <w:rsid w:val="47385210"/>
    <w:rsid w:val="479D547F"/>
    <w:rsid w:val="47A73B06"/>
    <w:rsid w:val="47AC0A26"/>
    <w:rsid w:val="47C80B2F"/>
    <w:rsid w:val="47CB08BD"/>
    <w:rsid w:val="47DC4F5C"/>
    <w:rsid w:val="47E67EE8"/>
    <w:rsid w:val="482E19AF"/>
    <w:rsid w:val="4880045B"/>
    <w:rsid w:val="48801A15"/>
    <w:rsid w:val="48851AA9"/>
    <w:rsid w:val="48952BEE"/>
    <w:rsid w:val="48B40671"/>
    <w:rsid w:val="48B677F5"/>
    <w:rsid w:val="48D12A65"/>
    <w:rsid w:val="48D474DF"/>
    <w:rsid w:val="48DD28EF"/>
    <w:rsid w:val="48E22EC4"/>
    <w:rsid w:val="48E67415"/>
    <w:rsid w:val="48EC5AF0"/>
    <w:rsid w:val="48F1131F"/>
    <w:rsid w:val="48F96074"/>
    <w:rsid w:val="490275D6"/>
    <w:rsid w:val="49486498"/>
    <w:rsid w:val="49642D2B"/>
    <w:rsid w:val="498F4DFA"/>
    <w:rsid w:val="49973CAE"/>
    <w:rsid w:val="499B5738"/>
    <w:rsid w:val="499F244D"/>
    <w:rsid w:val="49AB725B"/>
    <w:rsid w:val="49F138A5"/>
    <w:rsid w:val="4A1277D9"/>
    <w:rsid w:val="4A1A1D0B"/>
    <w:rsid w:val="4A5F3D79"/>
    <w:rsid w:val="4A6A65AC"/>
    <w:rsid w:val="4A747FDC"/>
    <w:rsid w:val="4A973F3F"/>
    <w:rsid w:val="4AA91EEB"/>
    <w:rsid w:val="4AF14502"/>
    <w:rsid w:val="4AF96BC7"/>
    <w:rsid w:val="4B05601E"/>
    <w:rsid w:val="4B1177E2"/>
    <w:rsid w:val="4B1A3180"/>
    <w:rsid w:val="4B204F76"/>
    <w:rsid w:val="4B221C9D"/>
    <w:rsid w:val="4B400B9A"/>
    <w:rsid w:val="4B5A416B"/>
    <w:rsid w:val="4B7476DE"/>
    <w:rsid w:val="4B862A85"/>
    <w:rsid w:val="4BEA4569"/>
    <w:rsid w:val="4C3457E4"/>
    <w:rsid w:val="4C3F1B21"/>
    <w:rsid w:val="4C8A7AFA"/>
    <w:rsid w:val="4CA423D2"/>
    <w:rsid w:val="4CEF36E2"/>
    <w:rsid w:val="4CEF4DC5"/>
    <w:rsid w:val="4CF5570F"/>
    <w:rsid w:val="4D03547C"/>
    <w:rsid w:val="4D116855"/>
    <w:rsid w:val="4D6640C3"/>
    <w:rsid w:val="4D7270BA"/>
    <w:rsid w:val="4D97614A"/>
    <w:rsid w:val="4DA70A60"/>
    <w:rsid w:val="4DB766CD"/>
    <w:rsid w:val="4DDE5BC7"/>
    <w:rsid w:val="4DE631AB"/>
    <w:rsid w:val="4E094D8C"/>
    <w:rsid w:val="4E10402F"/>
    <w:rsid w:val="4E137DBE"/>
    <w:rsid w:val="4E257655"/>
    <w:rsid w:val="4E3257CD"/>
    <w:rsid w:val="4E6F0E89"/>
    <w:rsid w:val="4E8E7871"/>
    <w:rsid w:val="4EBC34E2"/>
    <w:rsid w:val="4F1A10CE"/>
    <w:rsid w:val="4F1D6A04"/>
    <w:rsid w:val="4F372380"/>
    <w:rsid w:val="4F372FFB"/>
    <w:rsid w:val="4F5201BA"/>
    <w:rsid w:val="4F976E35"/>
    <w:rsid w:val="4FB858AB"/>
    <w:rsid w:val="4FD05EDE"/>
    <w:rsid w:val="4FE83327"/>
    <w:rsid w:val="4FF4243B"/>
    <w:rsid w:val="50036F77"/>
    <w:rsid w:val="50065519"/>
    <w:rsid w:val="5025116D"/>
    <w:rsid w:val="507375BC"/>
    <w:rsid w:val="507765E7"/>
    <w:rsid w:val="507E4AF4"/>
    <w:rsid w:val="5082240F"/>
    <w:rsid w:val="50984E9F"/>
    <w:rsid w:val="50BF558D"/>
    <w:rsid w:val="50CC40DC"/>
    <w:rsid w:val="50D5645D"/>
    <w:rsid w:val="50ED39CF"/>
    <w:rsid w:val="515626A1"/>
    <w:rsid w:val="51822C4D"/>
    <w:rsid w:val="51AF3DD6"/>
    <w:rsid w:val="51B51BFC"/>
    <w:rsid w:val="51E47CAD"/>
    <w:rsid w:val="51FD0A31"/>
    <w:rsid w:val="52202D8A"/>
    <w:rsid w:val="52395ECD"/>
    <w:rsid w:val="52400F03"/>
    <w:rsid w:val="524B2CB1"/>
    <w:rsid w:val="52A021FD"/>
    <w:rsid w:val="52B24474"/>
    <w:rsid w:val="52C10D75"/>
    <w:rsid w:val="52CE4475"/>
    <w:rsid w:val="52F12BAE"/>
    <w:rsid w:val="53047D78"/>
    <w:rsid w:val="53250649"/>
    <w:rsid w:val="53306E6B"/>
    <w:rsid w:val="53482A0D"/>
    <w:rsid w:val="536F11BD"/>
    <w:rsid w:val="538A3C55"/>
    <w:rsid w:val="53C27FF8"/>
    <w:rsid w:val="5455304B"/>
    <w:rsid w:val="54701443"/>
    <w:rsid w:val="548117E3"/>
    <w:rsid w:val="549E1A80"/>
    <w:rsid w:val="54AA5C7B"/>
    <w:rsid w:val="54AC72FA"/>
    <w:rsid w:val="54C10199"/>
    <w:rsid w:val="54C658F4"/>
    <w:rsid w:val="54F81E02"/>
    <w:rsid w:val="55016A04"/>
    <w:rsid w:val="550C4BD7"/>
    <w:rsid w:val="551E0533"/>
    <w:rsid w:val="55266662"/>
    <w:rsid w:val="554C1D56"/>
    <w:rsid w:val="55572986"/>
    <w:rsid w:val="557B04EA"/>
    <w:rsid w:val="55837044"/>
    <w:rsid w:val="559D4C79"/>
    <w:rsid w:val="55B72CB0"/>
    <w:rsid w:val="55C062DD"/>
    <w:rsid w:val="55C434CC"/>
    <w:rsid w:val="55E43837"/>
    <w:rsid w:val="55EA2E2D"/>
    <w:rsid w:val="560146BF"/>
    <w:rsid w:val="560A6AE7"/>
    <w:rsid w:val="565340FA"/>
    <w:rsid w:val="56650857"/>
    <w:rsid w:val="56666EE2"/>
    <w:rsid w:val="568252C2"/>
    <w:rsid w:val="56B55774"/>
    <w:rsid w:val="56BF62D6"/>
    <w:rsid w:val="56CA2A83"/>
    <w:rsid w:val="56D06A51"/>
    <w:rsid w:val="56D07D38"/>
    <w:rsid w:val="56E44B68"/>
    <w:rsid w:val="570E4887"/>
    <w:rsid w:val="5723343E"/>
    <w:rsid w:val="57374124"/>
    <w:rsid w:val="573D7EAB"/>
    <w:rsid w:val="574D6CAF"/>
    <w:rsid w:val="57594208"/>
    <w:rsid w:val="57642C41"/>
    <w:rsid w:val="57A55E05"/>
    <w:rsid w:val="57C6778C"/>
    <w:rsid w:val="57FF7605"/>
    <w:rsid w:val="58532CEE"/>
    <w:rsid w:val="5875338D"/>
    <w:rsid w:val="588675CA"/>
    <w:rsid w:val="589915B3"/>
    <w:rsid w:val="58A22654"/>
    <w:rsid w:val="58BA1767"/>
    <w:rsid w:val="58DF4D2A"/>
    <w:rsid w:val="59234ECA"/>
    <w:rsid w:val="59791E19"/>
    <w:rsid w:val="597A2EC2"/>
    <w:rsid w:val="59DC732E"/>
    <w:rsid w:val="59F33E0A"/>
    <w:rsid w:val="59F64A21"/>
    <w:rsid w:val="5A24361D"/>
    <w:rsid w:val="5A2F2CC8"/>
    <w:rsid w:val="5A4579FB"/>
    <w:rsid w:val="5A6951F3"/>
    <w:rsid w:val="5ACC627D"/>
    <w:rsid w:val="5ACE4728"/>
    <w:rsid w:val="5B062A42"/>
    <w:rsid w:val="5B081FD1"/>
    <w:rsid w:val="5B215555"/>
    <w:rsid w:val="5B3C1155"/>
    <w:rsid w:val="5B731651"/>
    <w:rsid w:val="5BA16940"/>
    <w:rsid w:val="5BA26962"/>
    <w:rsid w:val="5BCB1420"/>
    <w:rsid w:val="5BCC3AF9"/>
    <w:rsid w:val="5C10702D"/>
    <w:rsid w:val="5C152601"/>
    <w:rsid w:val="5C591F03"/>
    <w:rsid w:val="5C6779D6"/>
    <w:rsid w:val="5C7D7635"/>
    <w:rsid w:val="5C8A1B2F"/>
    <w:rsid w:val="5C9127DF"/>
    <w:rsid w:val="5C9E22CC"/>
    <w:rsid w:val="5CA93BD1"/>
    <w:rsid w:val="5CDE4A8F"/>
    <w:rsid w:val="5CE11509"/>
    <w:rsid w:val="5CEA5705"/>
    <w:rsid w:val="5CF15933"/>
    <w:rsid w:val="5D067C6F"/>
    <w:rsid w:val="5D263ABE"/>
    <w:rsid w:val="5D4810F0"/>
    <w:rsid w:val="5D7C348F"/>
    <w:rsid w:val="5D914004"/>
    <w:rsid w:val="5D9C143B"/>
    <w:rsid w:val="5D9E1657"/>
    <w:rsid w:val="5E2900FB"/>
    <w:rsid w:val="5E364A4E"/>
    <w:rsid w:val="5ECE1AC8"/>
    <w:rsid w:val="5ED54C05"/>
    <w:rsid w:val="5F000437"/>
    <w:rsid w:val="5F142A2A"/>
    <w:rsid w:val="5F4408D8"/>
    <w:rsid w:val="5F561B72"/>
    <w:rsid w:val="5F576DEF"/>
    <w:rsid w:val="5F8F5092"/>
    <w:rsid w:val="5FF87FC2"/>
    <w:rsid w:val="5FF91928"/>
    <w:rsid w:val="60161979"/>
    <w:rsid w:val="602E3873"/>
    <w:rsid w:val="60366F66"/>
    <w:rsid w:val="604007A4"/>
    <w:rsid w:val="604C4EBE"/>
    <w:rsid w:val="606007BB"/>
    <w:rsid w:val="607A699F"/>
    <w:rsid w:val="60995D18"/>
    <w:rsid w:val="60AC7F66"/>
    <w:rsid w:val="60DE17E3"/>
    <w:rsid w:val="60E07718"/>
    <w:rsid w:val="60F92C0A"/>
    <w:rsid w:val="611201B6"/>
    <w:rsid w:val="611A2DA3"/>
    <w:rsid w:val="615A4E62"/>
    <w:rsid w:val="616E21A6"/>
    <w:rsid w:val="618625C5"/>
    <w:rsid w:val="6198016C"/>
    <w:rsid w:val="619A7E71"/>
    <w:rsid w:val="61A84853"/>
    <w:rsid w:val="61AA5526"/>
    <w:rsid w:val="61AF5EE3"/>
    <w:rsid w:val="61BF10D9"/>
    <w:rsid w:val="61DA3D4C"/>
    <w:rsid w:val="61E36235"/>
    <w:rsid w:val="61E866B7"/>
    <w:rsid w:val="6200258C"/>
    <w:rsid w:val="62015D11"/>
    <w:rsid w:val="621136B5"/>
    <w:rsid w:val="623519E9"/>
    <w:rsid w:val="62492E30"/>
    <w:rsid w:val="626741B4"/>
    <w:rsid w:val="62AC22DC"/>
    <w:rsid w:val="62B22F28"/>
    <w:rsid w:val="62C60B34"/>
    <w:rsid w:val="62CD2196"/>
    <w:rsid w:val="62EC3FD4"/>
    <w:rsid w:val="63712233"/>
    <w:rsid w:val="637C5953"/>
    <w:rsid w:val="638E22CC"/>
    <w:rsid w:val="63916E82"/>
    <w:rsid w:val="63CC6E81"/>
    <w:rsid w:val="63CF0994"/>
    <w:rsid w:val="63D27965"/>
    <w:rsid w:val="64124205"/>
    <w:rsid w:val="641D2EB9"/>
    <w:rsid w:val="6421269A"/>
    <w:rsid w:val="64637B6F"/>
    <w:rsid w:val="64850907"/>
    <w:rsid w:val="64B92818"/>
    <w:rsid w:val="64B96D77"/>
    <w:rsid w:val="64D5744C"/>
    <w:rsid w:val="64E45EF7"/>
    <w:rsid w:val="64FF704E"/>
    <w:rsid w:val="653D6952"/>
    <w:rsid w:val="65416BA1"/>
    <w:rsid w:val="65553CD0"/>
    <w:rsid w:val="6584420B"/>
    <w:rsid w:val="659D2847"/>
    <w:rsid w:val="65C43C25"/>
    <w:rsid w:val="65C6174B"/>
    <w:rsid w:val="65CE0A1F"/>
    <w:rsid w:val="65ED2252"/>
    <w:rsid w:val="661213B8"/>
    <w:rsid w:val="66391CB4"/>
    <w:rsid w:val="667A34CA"/>
    <w:rsid w:val="668263D9"/>
    <w:rsid w:val="6691014E"/>
    <w:rsid w:val="66C87CCE"/>
    <w:rsid w:val="66D46B11"/>
    <w:rsid w:val="66DF121A"/>
    <w:rsid w:val="6718068C"/>
    <w:rsid w:val="671D539B"/>
    <w:rsid w:val="672A5D0A"/>
    <w:rsid w:val="67583471"/>
    <w:rsid w:val="677435B2"/>
    <w:rsid w:val="67876CB8"/>
    <w:rsid w:val="678A0557"/>
    <w:rsid w:val="678A5E4A"/>
    <w:rsid w:val="67EF75F1"/>
    <w:rsid w:val="67F4025F"/>
    <w:rsid w:val="68094DF3"/>
    <w:rsid w:val="682E7987"/>
    <w:rsid w:val="687105C3"/>
    <w:rsid w:val="68955CFE"/>
    <w:rsid w:val="689F21EE"/>
    <w:rsid w:val="68D706F1"/>
    <w:rsid w:val="68F6059A"/>
    <w:rsid w:val="69124F16"/>
    <w:rsid w:val="69164798"/>
    <w:rsid w:val="693B1256"/>
    <w:rsid w:val="694A5205"/>
    <w:rsid w:val="694F1A91"/>
    <w:rsid w:val="697B7922"/>
    <w:rsid w:val="699C6E9D"/>
    <w:rsid w:val="699F6EE6"/>
    <w:rsid w:val="69CD5C14"/>
    <w:rsid w:val="69CF0D33"/>
    <w:rsid w:val="69FB3605"/>
    <w:rsid w:val="6A1D56B2"/>
    <w:rsid w:val="6A3F7854"/>
    <w:rsid w:val="6A4B221F"/>
    <w:rsid w:val="6A681023"/>
    <w:rsid w:val="6A763BAE"/>
    <w:rsid w:val="6B076CC9"/>
    <w:rsid w:val="6B280878"/>
    <w:rsid w:val="6B55668F"/>
    <w:rsid w:val="6B901C87"/>
    <w:rsid w:val="6B9946B3"/>
    <w:rsid w:val="6BB81B36"/>
    <w:rsid w:val="6BEC6B68"/>
    <w:rsid w:val="6C20556B"/>
    <w:rsid w:val="6C7007C7"/>
    <w:rsid w:val="6C9951CE"/>
    <w:rsid w:val="6C9C12EA"/>
    <w:rsid w:val="6CA639CD"/>
    <w:rsid w:val="6CF44DF0"/>
    <w:rsid w:val="6CFD636D"/>
    <w:rsid w:val="6D036DE1"/>
    <w:rsid w:val="6D334AA9"/>
    <w:rsid w:val="6D480C98"/>
    <w:rsid w:val="6D5B6839"/>
    <w:rsid w:val="6D8033A0"/>
    <w:rsid w:val="6D881A99"/>
    <w:rsid w:val="6DA9668D"/>
    <w:rsid w:val="6DE76850"/>
    <w:rsid w:val="6DFB3020"/>
    <w:rsid w:val="6E8C1058"/>
    <w:rsid w:val="6EB90B61"/>
    <w:rsid w:val="6F122C62"/>
    <w:rsid w:val="6F1B793E"/>
    <w:rsid w:val="6F394E0F"/>
    <w:rsid w:val="6FAA309A"/>
    <w:rsid w:val="6FB20BD4"/>
    <w:rsid w:val="6FB650F7"/>
    <w:rsid w:val="6FBA59BE"/>
    <w:rsid w:val="6FC203E7"/>
    <w:rsid w:val="6FC66AD9"/>
    <w:rsid w:val="6FE1008D"/>
    <w:rsid w:val="6FE77CA0"/>
    <w:rsid w:val="70296B3E"/>
    <w:rsid w:val="70432BB6"/>
    <w:rsid w:val="70611204"/>
    <w:rsid w:val="707C064B"/>
    <w:rsid w:val="709E482E"/>
    <w:rsid w:val="70D876AB"/>
    <w:rsid w:val="70F07812"/>
    <w:rsid w:val="71166FDE"/>
    <w:rsid w:val="7118679B"/>
    <w:rsid w:val="713E2ADE"/>
    <w:rsid w:val="715C11B6"/>
    <w:rsid w:val="715E368C"/>
    <w:rsid w:val="716972BA"/>
    <w:rsid w:val="71716249"/>
    <w:rsid w:val="71B9157B"/>
    <w:rsid w:val="720D2CCA"/>
    <w:rsid w:val="72152CDC"/>
    <w:rsid w:val="72687AE8"/>
    <w:rsid w:val="72740B05"/>
    <w:rsid w:val="72897D89"/>
    <w:rsid w:val="72D36A71"/>
    <w:rsid w:val="73022E89"/>
    <w:rsid w:val="73231CF3"/>
    <w:rsid w:val="738B75C2"/>
    <w:rsid w:val="73911760"/>
    <w:rsid w:val="73A87D4E"/>
    <w:rsid w:val="73B65182"/>
    <w:rsid w:val="73B928EF"/>
    <w:rsid w:val="73BE1CB4"/>
    <w:rsid w:val="73EC1C67"/>
    <w:rsid w:val="73F039F8"/>
    <w:rsid w:val="74042951"/>
    <w:rsid w:val="74082F2F"/>
    <w:rsid w:val="741B6770"/>
    <w:rsid w:val="742C401B"/>
    <w:rsid w:val="7448613B"/>
    <w:rsid w:val="74600FBD"/>
    <w:rsid w:val="746C32A0"/>
    <w:rsid w:val="748E78D8"/>
    <w:rsid w:val="74E729DA"/>
    <w:rsid w:val="74E76732"/>
    <w:rsid w:val="74FA2C30"/>
    <w:rsid w:val="74FA506D"/>
    <w:rsid w:val="751122B7"/>
    <w:rsid w:val="751312EF"/>
    <w:rsid w:val="75460CEC"/>
    <w:rsid w:val="754C40BB"/>
    <w:rsid w:val="754D5C4B"/>
    <w:rsid w:val="755D72AA"/>
    <w:rsid w:val="756A0C65"/>
    <w:rsid w:val="75DA3E06"/>
    <w:rsid w:val="75FB260F"/>
    <w:rsid w:val="76067942"/>
    <w:rsid w:val="76163EBD"/>
    <w:rsid w:val="761738FD"/>
    <w:rsid w:val="76842F55"/>
    <w:rsid w:val="769320F8"/>
    <w:rsid w:val="76B156C5"/>
    <w:rsid w:val="76C240A7"/>
    <w:rsid w:val="76C961F4"/>
    <w:rsid w:val="76E750F0"/>
    <w:rsid w:val="77460CB4"/>
    <w:rsid w:val="775246B7"/>
    <w:rsid w:val="77A61D6B"/>
    <w:rsid w:val="77AE366B"/>
    <w:rsid w:val="77B0551E"/>
    <w:rsid w:val="77D277BF"/>
    <w:rsid w:val="77DF044B"/>
    <w:rsid w:val="78191A01"/>
    <w:rsid w:val="781C5A02"/>
    <w:rsid w:val="781E69D1"/>
    <w:rsid w:val="78374022"/>
    <w:rsid w:val="78770F6B"/>
    <w:rsid w:val="788B67B4"/>
    <w:rsid w:val="78E859E8"/>
    <w:rsid w:val="791C3561"/>
    <w:rsid w:val="7929003A"/>
    <w:rsid w:val="794E13B7"/>
    <w:rsid w:val="7971780B"/>
    <w:rsid w:val="79B47C46"/>
    <w:rsid w:val="79BD59E7"/>
    <w:rsid w:val="79D62A71"/>
    <w:rsid w:val="79FF033D"/>
    <w:rsid w:val="7A1E34AC"/>
    <w:rsid w:val="7A263B6B"/>
    <w:rsid w:val="7A2F7125"/>
    <w:rsid w:val="7A38103F"/>
    <w:rsid w:val="7A4617DB"/>
    <w:rsid w:val="7A4B0140"/>
    <w:rsid w:val="7A573AC2"/>
    <w:rsid w:val="7AAB7379"/>
    <w:rsid w:val="7AAF0196"/>
    <w:rsid w:val="7AF46346"/>
    <w:rsid w:val="7B0F5EBF"/>
    <w:rsid w:val="7B130FB9"/>
    <w:rsid w:val="7B160DEB"/>
    <w:rsid w:val="7B2745E3"/>
    <w:rsid w:val="7B2E0AA4"/>
    <w:rsid w:val="7B5F0163"/>
    <w:rsid w:val="7B6E4BE6"/>
    <w:rsid w:val="7B8C2EAC"/>
    <w:rsid w:val="7B98709D"/>
    <w:rsid w:val="7BD1454E"/>
    <w:rsid w:val="7BDD53C4"/>
    <w:rsid w:val="7BF64EDE"/>
    <w:rsid w:val="7C2648D1"/>
    <w:rsid w:val="7C291B6E"/>
    <w:rsid w:val="7C350F81"/>
    <w:rsid w:val="7C3A2CCD"/>
    <w:rsid w:val="7C400C1E"/>
    <w:rsid w:val="7C647491"/>
    <w:rsid w:val="7C6F7FEF"/>
    <w:rsid w:val="7CB759B4"/>
    <w:rsid w:val="7CBC36ED"/>
    <w:rsid w:val="7CF130FA"/>
    <w:rsid w:val="7CFF4C00"/>
    <w:rsid w:val="7D026637"/>
    <w:rsid w:val="7D3C766F"/>
    <w:rsid w:val="7D4A280A"/>
    <w:rsid w:val="7D587488"/>
    <w:rsid w:val="7D787377"/>
    <w:rsid w:val="7D7F0374"/>
    <w:rsid w:val="7D9135D3"/>
    <w:rsid w:val="7DA515CA"/>
    <w:rsid w:val="7DAF706F"/>
    <w:rsid w:val="7DC442B0"/>
    <w:rsid w:val="7DC45624"/>
    <w:rsid w:val="7DD11708"/>
    <w:rsid w:val="7E0E3838"/>
    <w:rsid w:val="7E7838BC"/>
    <w:rsid w:val="7E7A711F"/>
    <w:rsid w:val="7E9D7148"/>
    <w:rsid w:val="7EAC551A"/>
    <w:rsid w:val="7EBD579E"/>
    <w:rsid w:val="7EC167BD"/>
    <w:rsid w:val="7ECD56B5"/>
    <w:rsid w:val="7EE9524C"/>
    <w:rsid w:val="7EE9621B"/>
    <w:rsid w:val="7EF702E0"/>
    <w:rsid w:val="7F166E48"/>
    <w:rsid w:val="7F272D9E"/>
    <w:rsid w:val="7F392B36"/>
    <w:rsid w:val="7F563EA0"/>
    <w:rsid w:val="7F5D6825"/>
    <w:rsid w:val="7F9035D7"/>
    <w:rsid w:val="7FB81FF3"/>
    <w:rsid w:val="7FDB4BA4"/>
    <w:rsid w:val="7FE35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15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qFormat="1" w:unhideWhenUsed="0" w:uiPriority="0" w:semiHidden="0"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6"/>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line="360" w:lineRule="auto"/>
      <w:outlineLvl w:val="2"/>
    </w:pPr>
    <w:rPr>
      <w:rFonts w:eastAsia="黑体"/>
      <w:b/>
      <w:bCs/>
      <w:szCs w:val="32"/>
    </w:rPr>
  </w:style>
  <w:style w:type="paragraph" w:styleId="5">
    <w:name w:val="heading 4"/>
    <w:basedOn w:val="1"/>
    <w:next w:val="1"/>
    <w:qFormat/>
    <w:uiPriority w:val="0"/>
    <w:pPr>
      <w:keepNext/>
      <w:keepLines/>
      <w:spacing w:before="280" w:after="290" w:line="374" w:lineRule="auto"/>
      <w:outlineLvl w:val="3"/>
    </w:pPr>
    <w:rPr>
      <w:rFonts w:ascii="Cambria" w:hAnsi="Cambria"/>
      <w:b/>
      <w:bCs/>
      <w:kern w:val="0"/>
      <w:sz w:val="28"/>
      <w:szCs w:val="28"/>
    </w:rPr>
  </w:style>
  <w:style w:type="paragraph" w:styleId="6">
    <w:name w:val="heading 5"/>
    <w:basedOn w:val="1"/>
    <w:next w:val="7"/>
    <w:link w:val="48"/>
    <w:qFormat/>
    <w:uiPriority w:val="9"/>
    <w:pPr>
      <w:keepNext/>
      <w:keepLines/>
      <w:spacing w:before="280" w:after="290" w:line="376" w:lineRule="auto"/>
      <w:outlineLvl w:val="4"/>
    </w:pPr>
    <w:rPr>
      <w:b/>
      <w:bCs/>
      <w:sz w:val="28"/>
      <w:szCs w:val="28"/>
    </w:rPr>
  </w:style>
  <w:style w:type="paragraph" w:styleId="8">
    <w:name w:val="heading 8"/>
    <w:basedOn w:val="1"/>
    <w:next w:val="1"/>
    <w:link w:val="49"/>
    <w:qFormat/>
    <w:uiPriority w:val="9"/>
    <w:pPr>
      <w:keepNext/>
      <w:keepLines/>
      <w:spacing w:before="240" w:after="64" w:line="320" w:lineRule="auto"/>
      <w:outlineLvl w:val="7"/>
    </w:pPr>
    <w:rPr>
      <w:rFonts w:ascii="等线 Light" w:hAnsi="等线 Light" w:eastAsia="等线 Light"/>
      <w:sz w:val="24"/>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9">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0">
    <w:name w:val="caption"/>
    <w:basedOn w:val="1"/>
    <w:next w:val="1"/>
    <w:qFormat/>
    <w:uiPriority w:val="0"/>
    <w:pPr>
      <w:spacing w:before="152" w:after="160"/>
    </w:pPr>
    <w:rPr>
      <w:rFonts w:ascii="Arial" w:hAnsi="Arial" w:eastAsia="黑体" w:cs="Arial"/>
      <w:sz w:val="20"/>
      <w:szCs w:val="20"/>
    </w:rPr>
  </w:style>
  <w:style w:type="paragraph" w:styleId="11">
    <w:name w:val="annotation text"/>
    <w:basedOn w:val="1"/>
    <w:link w:val="50"/>
    <w:qFormat/>
    <w:uiPriority w:val="0"/>
    <w:pPr>
      <w:jc w:val="left"/>
    </w:pPr>
  </w:style>
  <w:style w:type="paragraph" w:styleId="12">
    <w:name w:val="Body Text 3"/>
    <w:basedOn w:val="1"/>
    <w:link w:val="51"/>
    <w:unhideWhenUsed/>
    <w:qFormat/>
    <w:uiPriority w:val="99"/>
    <w:pPr>
      <w:spacing w:after="120"/>
    </w:pPr>
    <w:rPr>
      <w:sz w:val="16"/>
      <w:szCs w:val="16"/>
    </w:rPr>
  </w:style>
  <w:style w:type="paragraph" w:styleId="13">
    <w:name w:val="Body Text"/>
    <w:basedOn w:val="1"/>
    <w:next w:val="14"/>
    <w:link w:val="52"/>
    <w:unhideWhenUsed/>
    <w:qFormat/>
    <w:uiPriority w:val="0"/>
    <w:pPr>
      <w:spacing w:after="120"/>
    </w:pPr>
  </w:style>
  <w:style w:type="paragraph" w:customStyle="1" w:styleId="1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5">
    <w:name w:val="Body Text Indent"/>
    <w:basedOn w:val="1"/>
    <w:link w:val="53"/>
    <w:qFormat/>
    <w:uiPriority w:val="0"/>
    <w:pPr>
      <w:ind w:firstLine="830" w:firstLineChars="352"/>
    </w:pPr>
    <w:rPr>
      <w:rFonts w:ascii="仿宋_GB2312" w:eastAsia="仿宋_GB2312"/>
      <w:kern w:val="0"/>
      <w:sz w:val="32"/>
      <w:szCs w:val="20"/>
    </w:rPr>
  </w:style>
  <w:style w:type="paragraph" w:styleId="16">
    <w:name w:val="List 2"/>
    <w:basedOn w:val="1"/>
    <w:unhideWhenUsed/>
    <w:qFormat/>
    <w:uiPriority w:val="99"/>
    <w:pPr>
      <w:ind w:left="100" w:leftChars="200" w:hanging="200" w:hangingChars="200"/>
      <w:contextualSpacing/>
    </w:pPr>
  </w:style>
  <w:style w:type="paragraph" w:styleId="17">
    <w:name w:val="Plain Text"/>
    <w:basedOn w:val="1"/>
    <w:link w:val="54"/>
    <w:qFormat/>
    <w:uiPriority w:val="0"/>
    <w:rPr>
      <w:rFonts w:ascii="宋体" w:hAnsi="Courier New"/>
      <w:kern w:val="0"/>
      <w:sz w:val="20"/>
      <w:szCs w:val="21"/>
    </w:rPr>
  </w:style>
  <w:style w:type="paragraph" w:styleId="18">
    <w:name w:val="toc 8"/>
    <w:basedOn w:val="1"/>
    <w:next w:val="1"/>
    <w:qFormat/>
    <w:uiPriority w:val="0"/>
    <w:pPr>
      <w:wordWrap w:val="0"/>
      <w:ind w:left="1270"/>
    </w:pPr>
  </w:style>
  <w:style w:type="paragraph" w:styleId="19">
    <w:name w:val="Date"/>
    <w:basedOn w:val="1"/>
    <w:next w:val="1"/>
    <w:link w:val="55"/>
    <w:unhideWhenUsed/>
    <w:qFormat/>
    <w:uiPriority w:val="99"/>
    <w:pPr>
      <w:ind w:left="100" w:leftChars="2500"/>
    </w:pPr>
  </w:style>
  <w:style w:type="paragraph" w:styleId="20">
    <w:name w:val="Balloon Text"/>
    <w:basedOn w:val="1"/>
    <w:semiHidden/>
    <w:qFormat/>
    <w:uiPriority w:val="0"/>
    <w:rPr>
      <w:sz w:val="18"/>
      <w:szCs w:val="18"/>
    </w:rPr>
  </w:style>
  <w:style w:type="paragraph" w:styleId="21">
    <w:name w:val="footer"/>
    <w:basedOn w:val="1"/>
    <w:link w:val="56"/>
    <w:unhideWhenUsed/>
    <w:qFormat/>
    <w:uiPriority w:val="99"/>
    <w:pPr>
      <w:tabs>
        <w:tab w:val="center" w:pos="4153"/>
        <w:tab w:val="right" w:pos="8306"/>
      </w:tabs>
      <w:snapToGrid w:val="0"/>
      <w:jc w:val="left"/>
    </w:pPr>
    <w:rPr>
      <w:kern w:val="0"/>
      <w:sz w:val="18"/>
      <w:szCs w:val="18"/>
    </w:rPr>
  </w:style>
  <w:style w:type="paragraph" w:styleId="22">
    <w:name w:val="header"/>
    <w:basedOn w:val="1"/>
    <w:next w:val="1"/>
    <w:link w:val="5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3">
    <w:name w:val="toc 1"/>
    <w:basedOn w:val="1"/>
    <w:next w:val="1"/>
    <w:unhideWhenUsed/>
    <w:qFormat/>
    <w:uiPriority w:val="39"/>
  </w:style>
  <w:style w:type="paragraph" w:styleId="24">
    <w:name w:val="List"/>
    <w:basedOn w:val="1"/>
    <w:qFormat/>
    <w:uiPriority w:val="0"/>
    <w:pPr>
      <w:ind w:left="200" w:hanging="200" w:hangingChars="200"/>
    </w:pPr>
    <w:rPr>
      <w:sz w:val="28"/>
    </w:rPr>
  </w:style>
  <w:style w:type="paragraph" w:styleId="25">
    <w:name w:val="toc 2"/>
    <w:basedOn w:val="1"/>
    <w:next w:val="1"/>
    <w:unhideWhenUsed/>
    <w:qFormat/>
    <w:uiPriority w:val="39"/>
    <w:pPr>
      <w:tabs>
        <w:tab w:val="right" w:leader="dot" w:pos="8296"/>
      </w:tabs>
      <w:ind w:left="420" w:leftChars="200"/>
    </w:pPr>
  </w:style>
  <w:style w:type="paragraph" w:styleId="26">
    <w:name w:val="Body Text 2"/>
    <w:basedOn w:val="1"/>
    <w:qFormat/>
    <w:uiPriority w:val="0"/>
    <w:pPr>
      <w:spacing w:after="120" w:line="480" w:lineRule="auto"/>
    </w:pPr>
    <w:rPr>
      <w:kern w:val="0"/>
      <w:sz w:val="20"/>
    </w:rPr>
  </w:style>
  <w:style w:type="paragraph" w:styleId="27">
    <w:name w:val="Normal (Web)"/>
    <w:basedOn w:val="1"/>
    <w:unhideWhenUsed/>
    <w:qFormat/>
    <w:uiPriority w:val="99"/>
    <w:rPr>
      <w:rFonts w:ascii="Calibri" w:hAnsi="Calibri"/>
      <w:kern w:val="0"/>
      <w:sz w:val="24"/>
    </w:rPr>
  </w:style>
  <w:style w:type="paragraph" w:styleId="28">
    <w:name w:val="index 1"/>
    <w:basedOn w:val="1"/>
    <w:next w:val="1"/>
    <w:semiHidden/>
    <w:qFormat/>
    <w:uiPriority w:val="0"/>
    <w:pPr>
      <w:spacing w:line="400" w:lineRule="exact"/>
      <w:ind w:firstLine="420" w:firstLineChars="200"/>
    </w:pPr>
    <w:rPr>
      <w:rFonts w:ascii="宋体" w:hAnsi="Courier New"/>
      <w:b/>
      <w:szCs w:val="20"/>
    </w:rPr>
  </w:style>
  <w:style w:type="paragraph" w:styleId="29">
    <w:name w:val="annotation subject"/>
    <w:basedOn w:val="11"/>
    <w:next w:val="11"/>
    <w:link w:val="58"/>
    <w:qFormat/>
    <w:uiPriority w:val="99"/>
    <w:rPr>
      <w:b/>
      <w:bCs/>
    </w:rPr>
  </w:style>
  <w:style w:type="paragraph" w:styleId="30">
    <w:name w:val="Body Text First Indent"/>
    <w:basedOn w:val="13"/>
    <w:qFormat/>
    <w:uiPriority w:val="0"/>
    <w:pPr>
      <w:ind w:firstLine="420" w:firstLineChars="100"/>
    </w:pPr>
    <w:rPr>
      <w:rFonts w:ascii="宋体" w:hAnsi="Courier New"/>
      <w:kern w:val="0"/>
      <w:sz w:val="20"/>
      <w:szCs w:val="21"/>
    </w:rPr>
  </w:style>
  <w:style w:type="paragraph" w:styleId="31">
    <w:name w:val="Body Text First Indent 2"/>
    <w:basedOn w:val="15"/>
    <w:next w:val="1"/>
    <w:unhideWhenUsed/>
    <w:qFormat/>
    <w:uiPriority w:val="0"/>
    <w:pPr>
      <w:ind w:firstLine="420" w:firstLineChars="200"/>
    </w:pPr>
  </w:style>
  <w:style w:type="table" w:styleId="33">
    <w:name w:val="Table Grid"/>
    <w:basedOn w:val="3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qFormat/>
    <w:uiPriority w:val="22"/>
    <w:rPr>
      <w:b/>
    </w:rPr>
  </w:style>
  <w:style w:type="character" w:styleId="36">
    <w:name w:val="endnote reference"/>
    <w:unhideWhenUsed/>
    <w:qFormat/>
    <w:uiPriority w:val="99"/>
    <w:rPr>
      <w:vertAlign w:val="superscript"/>
    </w:rPr>
  </w:style>
  <w:style w:type="character" w:styleId="37">
    <w:name w:val="Hyperlink"/>
    <w:unhideWhenUsed/>
    <w:qFormat/>
    <w:uiPriority w:val="99"/>
    <w:rPr>
      <w:color w:val="0000FF"/>
      <w:u w:val="single"/>
    </w:rPr>
  </w:style>
  <w:style w:type="character" w:styleId="38">
    <w:name w:val="annotation reference"/>
    <w:qFormat/>
    <w:uiPriority w:val="99"/>
    <w:rPr>
      <w:sz w:val="21"/>
      <w:szCs w:val="21"/>
    </w:rPr>
  </w:style>
  <w:style w:type="paragraph" w:customStyle="1" w:styleId="3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40">
    <w:name w:val="列表段落1"/>
    <w:basedOn w:val="1"/>
    <w:qFormat/>
    <w:uiPriority w:val="34"/>
    <w:pPr>
      <w:ind w:firstLine="420" w:firstLineChars="200"/>
    </w:pPr>
  </w:style>
  <w:style w:type="paragraph" w:customStyle="1" w:styleId="41">
    <w:name w:val="默认段落字体 Para Char Char Char Char Char Char Char Char Char1 Char Char Char Char"/>
    <w:basedOn w:val="1"/>
    <w:qFormat/>
    <w:uiPriority w:val="0"/>
    <w:rPr>
      <w:rFonts w:ascii="Tahoma" w:hAnsi="Tahoma"/>
      <w:sz w:val="24"/>
      <w:szCs w:val="20"/>
    </w:rPr>
  </w:style>
  <w:style w:type="paragraph" w:customStyle="1" w:styleId="42">
    <w:name w:val="Table Paragraph"/>
    <w:basedOn w:val="1"/>
    <w:qFormat/>
    <w:uiPriority w:val="1"/>
    <w:pPr>
      <w:jc w:val="left"/>
    </w:pPr>
    <w:rPr>
      <w:rFonts w:ascii="Calibri" w:hAnsi="Calibri"/>
      <w:kern w:val="0"/>
      <w:sz w:val="22"/>
      <w:szCs w:val="22"/>
      <w:lang w:eastAsia="en-US"/>
    </w:rPr>
  </w:style>
  <w:style w:type="paragraph" w:customStyle="1" w:styleId="43">
    <w:name w:val="HtmlNormal"/>
    <w:basedOn w:val="1"/>
    <w:qFormat/>
    <w:uiPriority w:val="0"/>
    <w:pPr>
      <w:spacing w:before="75" w:after="75"/>
      <w:jc w:val="left"/>
    </w:pPr>
    <w:rPr>
      <w:rFonts w:ascii="宋体" w:hAnsi="宋体"/>
      <w:kern w:val="0"/>
    </w:rPr>
  </w:style>
  <w:style w:type="paragraph" w:customStyle="1" w:styleId="44">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无间隔1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46">
    <w:name w:val="标题 2 字符"/>
    <w:link w:val="3"/>
    <w:qFormat/>
    <w:uiPriority w:val="9"/>
    <w:rPr>
      <w:rFonts w:ascii="Cambria" w:hAnsi="Cambria" w:eastAsia="宋体" w:cs="Times New Roman"/>
      <w:b/>
      <w:bCs/>
      <w:kern w:val="2"/>
      <w:sz w:val="32"/>
      <w:szCs w:val="32"/>
    </w:rPr>
  </w:style>
  <w:style w:type="character" w:customStyle="1" w:styleId="47">
    <w:name w:val="标题 1 字符1"/>
    <w:link w:val="2"/>
    <w:qFormat/>
    <w:uiPriority w:val="0"/>
    <w:rPr>
      <w:b/>
      <w:bCs/>
      <w:kern w:val="44"/>
      <w:sz w:val="44"/>
      <w:szCs w:val="44"/>
    </w:rPr>
  </w:style>
  <w:style w:type="character" w:customStyle="1" w:styleId="48">
    <w:name w:val="标题 5 字符"/>
    <w:link w:val="6"/>
    <w:semiHidden/>
    <w:qFormat/>
    <w:uiPriority w:val="9"/>
    <w:rPr>
      <w:rFonts w:ascii="Times New Roman" w:hAnsi="Times New Roman"/>
      <w:b/>
      <w:bCs/>
      <w:kern w:val="2"/>
      <w:sz w:val="28"/>
      <w:szCs w:val="28"/>
    </w:rPr>
  </w:style>
  <w:style w:type="character" w:customStyle="1" w:styleId="49">
    <w:name w:val="标题 8 字符"/>
    <w:link w:val="8"/>
    <w:semiHidden/>
    <w:qFormat/>
    <w:uiPriority w:val="9"/>
    <w:rPr>
      <w:rFonts w:ascii="等线 Light" w:hAnsi="等线 Light" w:eastAsia="等线 Light" w:cs="Times New Roman"/>
      <w:kern w:val="2"/>
      <w:sz w:val="24"/>
      <w:szCs w:val="24"/>
    </w:rPr>
  </w:style>
  <w:style w:type="character" w:customStyle="1" w:styleId="50">
    <w:name w:val="批注文字 字符2"/>
    <w:link w:val="11"/>
    <w:qFormat/>
    <w:uiPriority w:val="0"/>
    <w:rPr>
      <w:rFonts w:ascii="Times New Roman" w:hAnsi="Times New Roman"/>
      <w:kern w:val="2"/>
      <w:sz w:val="21"/>
      <w:szCs w:val="24"/>
    </w:rPr>
  </w:style>
  <w:style w:type="character" w:customStyle="1" w:styleId="51">
    <w:name w:val="正文文本 3 字符"/>
    <w:link w:val="12"/>
    <w:semiHidden/>
    <w:qFormat/>
    <w:uiPriority w:val="99"/>
    <w:rPr>
      <w:kern w:val="2"/>
      <w:sz w:val="16"/>
      <w:szCs w:val="16"/>
    </w:rPr>
  </w:style>
  <w:style w:type="character" w:customStyle="1" w:styleId="52">
    <w:name w:val="正文文本 字符1"/>
    <w:link w:val="13"/>
    <w:qFormat/>
    <w:uiPriority w:val="0"/>
    <w:rPr>
      <w:rFonts w:ascii="Times New Roman" w:hAnsi="Times New Roman"/>
      <w:kern w:val="2"/>
      <w:sz w:val="21"/>
      <w:szCs w:val="24"/>
    </w:rPr>
  </w:style>
  <w:style w:type="character" w:customStyle="1" w:styleId="53">
    <w:name w:val="正文文本缩进 字符"/>
    <w:link w:val="15"/>
    <w:qFormat/>
    <w:uiPriority w:val="0"/>
    <w:rPr>
      <w:rFonts w:ascii="仿宋_GB2312" w:hAnsi="Times New Roman" w:eastAsia="仿宋_GB2312" w:cs="Times New Roman"/>
      <w:sz w:val="32"/>
      <w:szCs w:val="20"/>
    </w:rPr>
  </w:style>
  <w:style w:type="character" w:customStyle="1" w:styleId="54">
    <w:name w:val="纯文本 字符3"/>
    <w:link w:val="17"/>
    <w:qFormat/>
    <w:uiPriority w:val="0"/>
    <w:rPr>
      <w:rFonts w:ascii="宋体" w:hAnsi="Courier New" w:eastAsia="宋体" w:cs="Courier New"/>
      <w:szCs w:val="21"/>
    </w:rPr>
  </w:style>
  <w:style w:type="character" w:customStyle="1" w:styleId="55">
    <w:name w:val="日期 字符"/>
    <w:link w:val="19"/>
    <w:semiHidden/>
    <w:qFormat/>
    <w:uiPriority w:val="99"/>
    <w:rPr>
      <w:rFonts w:ascii="Times New Roman" w:hAnsi="Times New Roman"/>
      <w:kern w:val="2"/>
      <w:sz w:val="21"/>
      <w:szCs w:val="24"/>
    </w:rPr>
  </w:style>
  <w:style w:type="character" w:customStyle="1" w:styleId="56">
    <w:name w:val="页脚 字符"/>
    <w:link w:val="21"/>
    <w:qFormat/>
    <w:uiPriority w:val="99"/>
    <w:rPr>
      <w:sz w:val="18"/>
      <w:szCs w:val="18"/>
    </w:rPr>
  </w:style>
  <w:style w:type="character" w:customStyle="1" w:styleId="57">
    <w:name w:val="页眉 字符"/>
    <w:link w:val="22"/>
    <w:qFormat/>
    <w:uiPriority w:val="99"/>
    <w:rPr>
      <w:sz w:val="18"/>
      <w:szCs w:val="18"/>
    </w:rPr>
  </w:style>
  <w:style w:type="character" w:customStyle="1" w:styleId="58">
    <w:name w:val="批注主题 字符"/>
    <w:link w:val="29"/>
    <w:qFormat/>
    <w:uiPriority w:val="99"/>
    <w:rPr>
      <w:rFonts w:ascii="Times New Roman" w:hAnsi="Times New Roman"/>
      <w:b/>
      <w:bCs/>
      <w:kern w:val="2"/>
      <w:sz w:val="21"/>
      <w:szCs w:val="24"/>
    </w:rPr>
  </w:style>
  <w:style w:type="character" w:customStyle="1" w:styleId="59">
    <w:name w:val="标题 1 字符"/>
    <w:qFormat/>
    <w:uiPriority w:val="9"/>
    <w:rPr>
      <w:b/>
      <w:bCs/>
      <w:kern w:val="44"/>
      <w:sz w:val="44"/>
      <w:szCs w:val="44"/>
    </w:rPr>
  </w:style>
  <w:style w:type="character" w:customStyle="1" w:styleId="60">
    <w:name w:val="NormalCharacter"/>
    <w:qFormat/>
    <w:uiPriority w:val="0"/>
    <w:rPr>
      <w:kern w:val="2"/>
      <w:sz w:val="21"/>
      <w:szCs w:val="24"/>
      <w:lang w:val="en-US" w:eastAsia="zh-CN" w:bidi="ar-SA"/>
    </w:rPr>
  </w:style>
  <w:style w:type="character" w:customStyle="1" w:styleId="61">
    <w:name w:val="纯文本 字符2"/>
    <w:qFormat/>
    <w:uiPriority w:val="0"/>
    <w:rPr>
      <w:rFonts w:ascii="宋体" w:hAnsi="Courier New" w:eastAsia="宋体" w:cs="Courier New"/>
      <w:szCs w:val="21"/>
    </w:rPr>
  </w:style>
  <w:style w:type="character" w:customStyle="1" w:styleId="62">
    <w:name w:val="apple-style-span"/>
    <w:qFormat/>
    <w:uiPriority w:val="0"/>
  </w:style>
  <w:style w:type="character" w:customStyle="1" w:styleId="63">
    <w:name w:val="标题 2 Char"/>
    <w:qFormat/>
    <w:uiPriority w:val="9"/>
    <w:rPr>
      <w:rFonts w:ascii="Cambria" w:hAnsi="Cambria" w:eastAsia="宋体" w:cs="Times New Roman"/>
      <w:b/>
      <w:bCs/>
      <w:kern w:val="2"/>
      <w:sz w:val="32"/>
      <w:szCs w:val="32"/>
    </w:rPr>
  </w:style>
  <w:style w:type="character" w:customStyle="1" w:styleId="64">
    <w:name w:val="纯文本 字符"/>
    <w:qFormat/>
    <w:uiPriority w:val="0"/>
    <w:rPr>
      <w:rFonts w:ascii="宋体" w:hAnsi="Courier New" w:eastAsia="宋体" w:cs="Courier New"/>
      <w:szCs w:val="21"/>
    </w:rPr>
  </w:style>
  <w:style w:type="character" w:customStyle="1" w:styleId="65">
    <w:name w:val="纯文本 字符1"/>
    <w:qFormat/>
    <w:uiPriority w:val="0"/>
    <w:rPr>
      <w:rFonts w:ascii="宋体" w:hAnsi="Courier New"/>
    </w:rPr>
  </w:style>
  <w:style w:type="character" w:customStyle="1" w:styleId="66">
    <w:name w:val="标题 8 Char"/>
    <w:qFormat/>
    <w:uiPriority w:val="0"/>
    <w:rPr>
      <w:rFonts w:ascii="Arial" w:hAnsi="Arial" w:eastAsia="黑体"/>
      <w:kern w:val="2"/>
      <w:sz w:val="24"/>
      <w:szCs w:val="24"/>
    </w:rPr>
  </w:style>
  <w:style w:type="character" w:customStyle="1" w:styleId="67">
    <w:name w:val="纯文本 Char"/>
    <w:qFormat/>
    <w:uiPriority w:val="0"/>
    <w:rPr>
      <w:rFonts w:ascii="宋体" w:hAnsi="Courier New" w:eastAsia="宋体" w:cs="Courier New"/>
      <w:szCs w:val="21"/>
    </w:rPr>
  </w:style>
  <w:style w:type="character" w:customStyle="1" w:styleId="68">
    <w:name w:val="正文文本 Char"/>
    <w:qFormat/>
    <w:uiPriority w:val="0"/>
    <w:rPr>
      <w:rFonts w:ascii="Times New Roman" w:hAnsi="Times New Roman"/>
      <w:kern w:val="2"/>
      <w:sz w:val="21"/>
      <w:szCs w:val="24"/>
    </w:rPr>
  </w:style>
  <w:style w:type="character" w:customStyle="1" w:styleId="69">
    <w:name w:val="批注文字 字符1"/>
    <w:qFormat/>
    <w:uiPriority w:val="0"/>
    <w:rPr>
      <w:rFonts w:ascii="Times New Roman" w:hAnsi="Times New Roman"/>
      <w:kern w:val="2"/>
      <w:sz w:val="21"/>
      <w:szCs w:val="24"/>
    </w:rPr>
  </w:style>
  <w:style w:type="character" w:customStyle="1" w:styleId="70">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1">
    <w:name w:val="正文文本 字符"/>
    <w:qFormat/>
    <w:uiPriority w:val="0"/>
    <w:rPr>
      <w:rFonts w:ascii="Times New Roman" w:hAnsi="Times New Roman"/>
      <w:kern w:val="2"/>
      <w:sz w:val="21"/>
      <w:szCs w:val="24"/>
    </w:rPr>
  </w:style>
  <w:style w:type="character" w:customStyle="1" w:styleId="72">
    <w:name w:val="批注文字 字符"/>
    <w:qFormat/>
    <w:uiPriority w:val="0"/>
    <w:rPr>
      <w:rFonts w:ascii="Times New Roman" w:hAnsi="Times New Roman"/>
      <w:kern w:val="2"/>
      <w:sz w:val="21"/>
      <w:szCs w:val="24"/>
    </w:rPr>
  </w:style>
  <w:style w:type="character" w:customStyle="1" w:styleId="73">
    <w:name w:val="textcontents"/>
    <w:qFormat/>
    <w:uiPriority w:val="0"/>
  </w:style>
  <w:style w:type="character" w:customStyle="1" w:styleId="74">
    <w:name w:val="批注文字 Char"/>
    <w:qFormat/>
    <w:uiPriority w:val="0"/>
    <w:rPr>
      <w:rFonts w:ascii="Times New Roman" w:hAnsi="Times New Roman"/>
      <w:kern w:val="2"/>
      <w:sz w:val="21"/>
      <w:szCs w:val="24"/>
    </w:rPr>
  </w:style>
  <w:style w:type="character" w:customStyle="1" w:styleId="75">
    <w:name w:val="UserStyle_8"/>
    <w:qFormat/>
    <w:uiPriority w:val="0"/>
  </w:style>
  <w:style w:type="character" w:customStyle="1" w:styleId="76">
    <w:name w:val="ant-form-item-children1"/>
    <w:basedOn w:val="34"/>
    <w:qFormat/>
    <w:uiPriority w:val="0"/>
  </w:style>
  <w:style w:type="table" w:customStyle="1" w:styleId="77">
    <w:name w:val="Table Normal"/>
    <w:unhideWhenUsed/>
    <w:qFormat/>
    <w:uiPriority w:val="0"/>
    <w:tblPr>
      <w:tblCellMar>
        <w:top w:w="0" w:type="dxa"/>
        <w:left w:w="0" w:type="dxa"/>
        <w:bottom w:w="0" w:type="dxa"/>
        <w:right w:w="0" w:type="dxa"/>
      </w:tblCellMar>
    </w:tblPr>
  </w:style>
  <w:style w:type="paragraph" w:customStyle="1" w:styleId="78">
    <w:name w:val="正文1"/>
    <w:basedOn w:val="1"/>
    <w:qFormat/>
    <w:uiPriority w:val="0"/>
    <w:pPr>
      <w:adjustRightInd w:val="0"/>
      <w:spacing w:line="318" w:lineRule="atLeast"/>
      <w:ind w:left="369" w:firstLine="369"/>
    </w:pPr>
    <w:rPr>
      <w:rFonts w:hint="eastAsia" w:ascii="宋体"/>
      <w:szCs w:val="20"/>
    </w:rPr>
  </w:style>
  <w:style w:type="paragraph" w:customStyle="1" w:styleId="79">
    <w:name w:val="Other|1"/>
    <w:basedOn w:val="1"/>
    <w:qFormat/>
    <w:uiPriority w:val="0"/>
    <w:pPr>
      <w:spacing w:line="263" w:lineRule="exact"/>
    </w:pPr>
    <w:rPr>
      <w:rFonts w:ascii="宋体" w:hAnsi="宋体" w:cs="宋体"/>
      <w:sz w:val="18"/>
      <w:szCs w:val="18"/>
      <w:lang w:val="zh-TW" w:eastAsia="zh-TW" w:bidi="zh-TW"/>
    </w:rPr>
  </w:style>
  <w:style w:type="character" w:customStyle="1" w:styleId="80">
    <w:name w:val="font01"/>
    <w:basedOn w:val="34"/>
    <w:qFormat/>
    <w:uiPriority w:val="0"/>
    <w:rPr>
      <w:rFonts w:hint="eastAsia" w:ascii="宋体" w:hAnsi="宋体" w:eastAsia="宋体" w:cs="宋体"/>
      <w:color w:val="000000"/>
      <w:sz w:val="22"/>
      <w:szCs w:val="22"/>
      <w:u w:val="none"/>
    </w:rPr>
  </w:style>
  <w:style w:type="character" w:customStyle="1" w:styleId="81">
    <w:name w:val="font11"/>
    <w:basedOn w:val="34"/>
    <w:qFormat/>
    <w:uiPriority w:val="0"/>
    <w:rPr>
      <w:rFonts w:hint="default" w:ascii="Calibri" w:hAnsi="Calibri" w:cs="Calibri"/>
      <w:color w:val="000000"/>
      <w:sz w:val="21"/>
      <w:szCs w:val="21"/>
      <w:u w:val="none"/>
    </w:rPr>
  </w:style>
  <w:style w:type="character" w:customStyle="1" w:styleId="82">
    <w:name w:val="font41"/>
    <w:basedOn w:val="34"/>
    <w:qFormat/>
    <w:uiPriority w:val="0"/>
    <w:rPr>
      <w:rFonts w:hint="eastAsia" w:ascii="宋体" w:hAnsi="宋体" w:eastAsia="宋体" w:cs="宋体"/>
      <w:color w:val="000000"/>
      <w:sz w:val="21"/>
      <w:szCs w:val="21"/>
      <w:u w:val="none"/>
    </w:rPr>
  </w:style>
  <w:style w:type="character" w:customStyle="1" w:styleId="83">
    <w:name w:val="font51"/>
    <w:basedOn w:val="34"/>
    <w:qFormat/>
    <w:uiPriority w:val="0"/>
    <w:rPr>
      <w:rFonts w:hint="eastAsia" w:ascii="宋体" w:hAnsi="宋体" w:eastAsia="宋体" w:cs="宋体"/>
      <w:color w:val="000000"/>
      <w:sz w:val="21"/>
      <w:szCs w:val="21"/>
      <w:u w:val="none"/>
    </w:rPr>
  </w:style>
  <w:style w:type="character" w:customStyle="1" w:styleId="84">
    <w:name w:val="font21"/>
    <w:basedOn w:val="34"/>
    <w:qFormat/>
    <w:uiPriority w:val="0"/>
    <w:rPr>
      <w:rFonts w:hint="default" w:ascii="Calibri" w:hAnsi="Calibri" w:cs="Calibri"/>
      <w:color w:val="000000"/>
      <w:sz w:val="21"/>
      <w:szCs w:val="21"/>
      <w:u w:val="none"/>
    </w:rPr>
  </w:style>
  <w:style w:type="character" w:customStyle="1" w:styleId="85">
    <w:name w:val="font31"/>
    <w:basedOn w:val="34"/>
    <w:qFormat/>
    <w:uiPriority w:val="0"/>
    <w:rPr>
      <w:rFonts w:hint="eastAsia" w:ascii="宋体" w:hAnsi="宋体" w:eastAsia="宋体" w:cs="宋体"/>
      <w:b/>
      <w:bCs/>
      <w:color w:val="000000"/>
      <w:sz w:val="22"/>
      <w:szCs w:val="22"/>
      <w:u w:val="none"/>
    </w:rPr>
  </w:style>
  <w:style w:type="paragraph" w:customStyle="1" w:styleId="8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63</Pages>
  <Words>17171</Words>
  <Characters>18280</Characters>
  <Lines>302</Lines>
  <Paragraphs>85</Paragraphs>
  <TotalTime>21</TotalTime>
  <ScaleCrop>false</ScaleCrop>
  <LinksUpToDate>false</LinksUpToDate>
  <CharactersWithSpaces>18479</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2022-05-30T02:01:00Z</dcterms:created>
  <dc:creator>唐冰</dc:creator>
  <cp:lastModifiedBy>黄燕柳—最后的水笔仔</cp:lastModifiedBy>
  <cp:lastPrinted>2026-03-17T08:40:00Z</cp:lastPrinted>
  <dcterms:modified xsi:type="dcterms:W3CDTF">2026-03-19T08:10:29Z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27817407453048B2B34CBC7DD28ECC9E_13</vt:lpwstr>
  </property>
  <property fmtid="{D5CDD505-2E9C-101B-9397-08002B2CF9AE}" pid="4" name="KSOTemplateDocerSaveRecord">
    <vt:lpwstr>eyJoZGlkIjoiMmQ4OWY1ZWZiZTVkZWNkMzU3MzNkMTMzYWRhZmJjNDUiLCJ1c2VySWQiOiI2NTAwMDY1MzQifQ==</vt:lpwstr>
  </property>
</Properties>
</file>